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240" w:line="396"/>
        <w:ind w:left="0" w:right="0"/>
        <w:rPr>
          <w:color w:val="1a5fb4"/>
        </w:rPr>
      </w:pPr>
      <w:r>
        <w:rPr>
          <w:rFonts w:hint="eastAsia" w:ascii="黑体" w:hAnsi="黑体" w:eastAsia="黑体" w:cs="黑体"/>
          <w:b w:val="1"/>
          <w:color w:val="1a5fb4"/>
          <w:spacing w:val="19"/>
          <w:sz w:val="28"/>
        </w:rPr>
        <w:t>智课平台 · 技术报告</w:t>
      </w:r>
    </w:p>
    <w:p w14:paraId="00000002">
      <w:pPr>
        <w:spacing w:before="0" w:after="168" w:line="324"/>
        <w:ind w:left="0" w:right="0"/>
        <w:rPr>
          <w:color w:val="1a5fb4"/>
        </w:rPr>
      </w:pPr>
      <w:r>
        <w:rPr>
          <w:rFonts w:hint="eastAsia" w:ascii="黑体" w:hAnsi="黑体" w:eastAsia="黑体" w:cs="黑体"/>
          <w:b w:val="1"/>
          <w:color w:val="1a5fb4"/>
          <w:sz w:val="52"/>
        </w:rPr>
        <w:t>智课平台单门课程大模型调用成本实测与推算报告</w:t>
      </w:r>
    </w:p>
    <w:p w14:paraId="00000003">
      <w:pPr>
        <w:spacing w:before="0" w:after="480" w:line="396"/>
        <w:ind w:left="0" w:right="0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30"/>
        </w:rPr>
        <w:t>—— 以《计算机网络与信息安全》完整建课案例为样本 ——</w:t>
      </w:r>
    </w:p>
    <w:p w14:paraId="00000004">
      <w:pPr>
        <w:spacing w:before="0" w:after="0" w:line="432"/>
        <w:ind w:left="0" w:right="0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数据来源：生产环境 AI 调用审计日志（2026-10-27 备份快照）</w:t>
      </w:r>
    </w:p>
    <w:p w14:paraId="00000005">
      <w:pPr>
        <w:spacing w:before="0" w:after="0" w:line="432"/>
        <w:ind w:left="0" w:right="0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定价依据：阿里云百炼中国大陆现行公开价（2026-10-28 查询）</w:t>
      </w:r>
    </w:p>
    <w:p w14:paraId="00000006">
      <w:pPr>
        <w:spacing w:before="0" w:after="0" w:line="432"/>
        <w:ind w:left="0" w:right="0"/>
        <w:rPr>
          <w:color w:val="555555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55555"/>
          <w:sz w:val="20"/>
        </w:rPr>
        <w:t>报告日期：2026 年 10 月 28 日</w:t>
      </w:r>
    </w:p>
    <w:p w14:paraId="00000007">
      <w:pPr>
        <w:spacing w:before="240" w:after="120"/>
      </w:pPr>
      <w:r>
        <w:rPr>
          <w:rFonts w:hint="eastAsia"/>
          <w:b w:val="1"/>
        </w:rPr>
        <w:t>目录</w:t>
      </w:r>
    </w:p>
    <w:p w14:paraId="00000008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一、报告摘要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二、样本说明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三、模型定价依据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四、建课一次性消耗（实测）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五、运营期单次成本模型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六、学期规模推算与敏感性分析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七、成本优化建议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八、方法学与局限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0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1">
      <w:pPr>
        <w:pStyle w:val="000003"/>
        <w:keepNext w:val="1"/>
        <w:keepLines w:val="1"/>
        <w:pBdr>
          <w:bottom w:val="single" w:color="1a5fb4" w:sz="12" w:space="3"/>
        </w:pBdr>
        <w:spacing w:before="288" w:beforeAutospacing="1" w:after="168" w:afterAutospacing="1" w:line="396"/>
        <w:ind w:left="0" w:right="0"/>
        <w:outlineLvl w:val="1"/>
        <w:rPr>
          <w:color w:val="1a5fb4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5fb4"/>
          <w:sz w:val="44"/>
        </w:rPr>
        <w:t>一、报告摘要</w:t>
      </w:r>
      <w:bookmarkEnd w:id="1"/>
    </w:p>
    <w:p w14:paraId="00000012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本报告基于生产环境真实调用日志（AI 调用审计表 61,216 条），以王国勇老师（wgy）的《计算机网络与信息安全》课程为样本——该课程已完成完整建课流程：7 章、955 页课件（PPT 上传并解析）、955 页讲稿（AI 逐页生成）、955 页配音（AI 语音合成），全程使用阿里云百炼真实模型（无模拟模式）。核心结论：</w:t>
      </w:r>
    </w:p>
    <w:p w14:paraId="00000013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建课一次性投入约 15.97 元</w:t>
      </w:r>
      <w:r>
        <w:rPr>
          <w:rFonts w:hint="eastAsia" w:ascii="宋体" w:hAnsi="宋体" w:eastAsia="宋体" w:cs="宋体"/>
          <w:color w:val="000000"/>
          <w:sz w:val="24"/>
        </w:rPr>
        <w:t>（其中配音合成占 90%，讲稿生成占 9%）；</w:t>
      </w:r>
      <w:r>
        <w:rPr>
          <w:rFonts w:hint="eastAsia" w:ascii="宋体" w:hAnsi="宋体" w:eastAsia="宋体" w:cs="宋体"/>
          <w:b w:val="1"/>
          <w:color w:val="000000"/>
          <w:sz w:val="24"/>
        </w:rPr>
        <w:t>单次 AI 问答成本约 0.009 元（不足 1 分钱）</w:t>
      </w:r>
      <w:r>
        <w:rPr>
          <w:rFonts w:hint="eastAsia" w:ascii="宋体" w:hAnsi="宋体" w:eastAsia="宋体" w:cs="宋体"/>
          <w:color w:val="000000"/>
          <w:sz w:val="24"/>
        </w:rPr>
        <w:t>，章节 AI 总结约 0.024 元/次，班级学情分析报告约 0.02 元/次；</w:t>
      </w:r>
      <w:r>
        <w:rPr>
          <w:rFonts w:hint="eastAsia" w:ascii="宋体" w:hAnsi="宋体" w:eastAsia="宋体" w:cs="宋体"/>
          <w:b w:val="1"/>
          <w:color w:val="000000"/>
          <w:sz w:val="24"/>
        </w:rPr>
        <w:t>按 40 人教学班、一学期 100 天推算：运营期约 120 元/学期，全周期（建课＋运营）约 136 元/门课·学期</w:t>
      </w:r>
      <w:r>
        <w:rPr>
          <w:rFonts w:hint="eastAsia" w:ascii="宋体" w:hAnsi="宋体" w:eastAsia="宋体" w:cs="宋体"/>
          <w:color w:val="000000"/>
          <w:sz w:val="24"/>
        </w:rPr>
        <w:t>（生均 3.4 元/学期）。大规模部署时，配音合成是最大成本项，可通过自托管语音合成模型（如 CosyVoice）将建课成本降低约 90%。</w:t>
      </w:r>
    </w:p>
    <w:p w14:paraId="00000014">
      <w:pPr>
        <w:pStyle w:val="000003"/>
        <w:keepNext w:val="1"/>
        <w:keepLines w:val="1"/>
        <w:pBdr>
          <w:bottom w:val="single" w:color="1a5fb4" w:sz="12" w:space="3"/>
        </w:pBdr>
        <w:spacing w:before="288" w:beforeAutospacing="1" w:after="168" w:afterAutospacing="1" w:line="396"/>
        <w:ind w:left="0" w:right="0"/>
        <w:outlineLvl w:val="1"/>
        <w:rPr>
          <w:color w:val="1a5fb4"/>
          <w:sz w:val="32"/>
          <w:szCs w:val="32"/>
        </w:rPr>
      </w:pPr>
      <w:bookmarkStart w:id="2" w:name="section-2"/>
      <w:r>
        <w:rPr>
          <w:rFonts w:hint="eastAsia" w:ascii="黑体" w:hAnsi="黑体" w:eastAsia="黑体" w:cs="黑体"/>
          <w:b w:val="1"/>
          <w:color w:val="1a5fb4"/>
          <w:sz w:val="44"/>
        </w:rPr>
        <w:t>二、样本说明</w:t>
      </w:r>
      <w:bookmarkEnd w:id="2"/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57"/>
        <w:gridCol w:w="5649"/>
      </w:tblGrid>
      <w:tr>
        <w:trPr>
          <w:tblHeader w:val="1"/>
        </w:trPr>
        <w:tc>
          <w:tcPr>
            <w:tcW w:w="265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项目</w:t>
            </w:r>
          </w:p>
        </w:tc>
        <w:tc>
          <w:tcPr>
            <w:tcW w:w="5649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内容</w:t>
            </w:r>
          </w:p>
        </w:tc>
      </w:tr>
      <w:tr>
        <w:trPr/>
        <w:tc>
          <w:tcPr>
            <w:tcW w:w="265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样本课程</w:t>
            </w:r>
          </w:p>
        </w:tc>
        <w:tc>
          <w:tcPr>
            <w:tcW w:w="5649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计算机网络与信息安全（课程 ID 10）</w:t>
            </w:r>
          </w:p>
        </w:tc>
      </w:tr>
      <w:tr>
        <w:trPr/>
        <w:tc>
          <w:tcPr>
            <w:tcW w:w="265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授课教师</w:t>
            </w:r>
          </w:p>
        </w:tc>
        <w:tc>
          <w:tcPr>
            <w:tcW w:w="5649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王国勇（wgy / wgy123147）</w:t>
            </w:r>
          </w:p>
        </w:tc>
      </w:tr>
      <w:tr>
        <w:trPr/>
        <w:tc>
          <w:tcPr>
            <w:tcW w:w="265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建课时间</w:t>
            </w:r>
          </w:p>
        </w:tc>
        <w:tc>
          <w:tcPr>
            <w:tcW w:w="5649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2026-10-26（单日完成全流程）</w:t>
            </w:r>
          </w:p>
        </w:tc>
      </w:tr>
      <w:tr>
        <w:trPr/>
        <w:tc>
          <w:tcPr>
            <w:tcW w:w="265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课程规模</w:t>
            </w:r>
          </w:p>
        </w:tc>
        <w:tc>
          <w:tcPr>
            <w:tcW w:w="5649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7 章 / 955 页课件 / 955 页讲稿 / 955 页配音</w:t>
            </w:r>
          </w:p>
        </w:tc>
      </w:tr>
      <w:tr>
        <w:trPr/>
        <w:tc>
          <w:tcPr>
            <w:tcW w:w="265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数据来源</w:t>
            </w:r>
          </w:p>
        </w:tc>
        <w:tc>
          <w:tcPr>
            <w:tcW w:w="5649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生产数据库 AI 调用审计日志（备份快照 zhike-db-20261027）</w:t>
            </w:r>
          </w:p>
        </w:tc>
      </w:tr>
      <w:tr>
        <w:trPr/>
        <w:tc>
          <w:tcPr>
            <w:tcW w:w="265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调用真实性</w:t>
            </w:r>
          </w:p>
        </w:tc>
        <w:tc>
          <w:tcPr>
            <w:tcW w:w="5649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1,389 次调用全部为真实模型（0 次模拟模式）</w:t>
            </w:r>
          </w:p>
        </w:tc>
      </w:tr>
    </w:tbl>
    <w:p w14:paraId="00000023">
      <w:pPr>
        <w:pStyle w:val="000003"/>
        <w:keepNext w:val="1"/>
        <w:keepLines w:val="1"/>
        <w:pBdr>
          <w:bottom w:val="single" w:color="1a5fb4" w:sz="12" w:space="3"/>
        </w:pBdr>
        <w:spacing w:before="288" w:beforeAutospacing="1" w:after="168" w:afterAutospacing="1" w:line="396"/>
        <w:ind w:left="0" w:right="0"/>
        <w:outlineLvl w:val="1"/>
        <w:rPr>
          <w:color w:val="1a5fb4"/>
          <w:sz w:val="32"/>
          <w:szCs w:val="32"/>
        </w:rPr>
      </w:pPr>
      <w:bookmarkStart w:id="3" w:name="section-3"/>
      <w:r>
        <w:rPr>
          <w:rFonts w:hint="eastAsia" w:ascii="黑体" w:hAnsi="黑体" w:eastAsia="黑体" w:cs="黑体"/>
          <w:b w:val="1"/>
          <w:color w:val="1a5fb4"/>
          <w:sz w:val="44"/>
        </w:rPr>
        <w:t>三、模型定价依据（阿里云百炼中国大陆，2026-10 现行价）</w:t>
      </w:r>
      <w:bookmarkEnd w:id="3"/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模型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用途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计费方式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单价</w:t>
            </w:r>
          </w:p>
        </w:tc>
      </w:tr>
      <w:tr>
        <w:trPr/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qwen3.7-plus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对话（讲稿生成、问答、改写、学情分析）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输入＋输出分开计费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输入 2 元/百万 tokens，输出 8 元/百万 tokens</w:t>
            </w:r>
          </w:p>
        </w:tc>
      </w:tr>
      <w:tr>
        <w:trPr/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qwen3-tts-flash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配音合成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按输入文本字符数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0.8 元/万字符（输出音频免费）</w:t>
            </w:r>
          </w:p>
        </w:tc>
      </w:tr>
      <w:tr>
        <w:trPr/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text-embedding-v3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向量化（课件入库、问题向量化）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按 tokens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0.5 元/百万 tokens</w:t>
            </w:r>
          </w:p>
        </w:tc>
      </w:tr>
      <w:tr>
        <w:trPr/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gte-rerank-v2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检索重排序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按 tokens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0.8 元/百万 tokens</w:t>
            </w:r>
          </w:p>
        </w:tc>
      </w:tr>
      <w:tr>
        <w:trPr/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BGE-M3 / Qwen3-Reranker-0.6B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本地内置备选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本机 CPU 推理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免费（仅电费）</w:t>
            </w:r>
          </w:p>
        </w:tc>
      </w:tr>
    </w:tbl>
    <w:p w14:paraId="0000003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2f6fc"/>
            <w:tcMar>
              <w:top w:w="72" w:type="dxa"/>
              <w:bottom w:w="72" w:type="dxa"/>
            </w:tcMar>
            <w:vAlign w:val="center"/>
          </w:tcPr>
          <w:p w14:paraId="0000003D">
            <w:pPr>
              <w:rPr>
                <w:color w:val="555555"/>
              </w:rPr>
            </w:pPr>
            <w:r>
              <w:rPr>
                <w:rFonts w:hint="eastAsia" w:ascii="宋体" w:hAnsi="宋体" w:eastAsia="宋体" w:cs="宋体"/>
                <w:color w:val="555555"/>
                <w:sz w:val="20"/>
              </w:rPr>
              <w:t xml:space="preserve"> m</w:t>
            </w:r>
            <w:r>
              <w:rPr>
                <w:rFonts w:hint="eastAsia" w:ascii="宋体" w:hAnsi="宋体" w:eastAsia="宋体" w:cs="宋体"/>
                <w:color w:val="555555"/>
                <w:sz w:val="20"/>
              </w:rPr>
              <w:t>定价来源：阿里云百炼控制台与帮助中心 2026-10-28 查询结果，为公开原价，不含限时折扣与资源包优惠。</w:t>
            </w:r>
          </w:p>
        </w:tc>
      </w:tr>
    </w:tbl>
    <w:p w14:paraId="0000003E">
      <w:pPr>
        <w:pStyle w:val="000003"/>
        <w:keepNext w:val="1"/>
        <w:keepLines w:val="1"/>
        <w:pBdr>
          <w:bottom w:val="single" w:color="1a5fb4" w:sz="12" w:space="3"/>
        </w:pBdr>
        <w:spacing w:before="288" w:beforeAutospacing="1" w:after="168" w:afterAutospacing="1" w:line="396"/>
        <w:ind w:left="0" w:right="0"/>
        <w:outlineLvl w:val="1"/>
        <w:rPr>
          <w:color w:val="1a5fb4"/>
          <w:sz w:val="32"/>
          <w:szCs w:val="32"/>
        </w:rPr>
      </w:pPr>
      <w:bookmarkStart w:id="4" w:name="section-4"/>
      <w:r>
        <w:rPr>
          <w:rFonts w:hint="eastAsia" w:ascii="黑体" w:hAnsi="黑体" w:eastAsia="黑体" w:cs="黑体"/>
          <w:b w:val="1"/>
          <w:color w:val="1a5fb4"/>
          <w:sz w:val="44"/>
        </w:rPr>
        <w:t>四、建课一次性消耗（实测）</w:t>
      </w:r>
      <w:bookmarkEnd w:id="4"/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环节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0">
            <w:pPr>
              <w:jc w:val="righ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调用次数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计量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单价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3">
            <w:pPr>
              <w:jc w:val="righ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费用（元）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4">
            <w:pPr>
              <w:jc w:val="righ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占比</w:t>
            </w:r>
          </w:p>
        </w:tc>
      </w:tr>
      <w:tr>
        <w:trPr/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讲稿生成（AI 逐页）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6">
            <w:pPr>
              <w:jc w:val="righ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321 次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输入 250,470 tok＋输出 122,982 tok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qwen3.7-plus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9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1.48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A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9.3%</w:t>
            </w:r>
          </w:p>
        </w:tc>
      </w:tr>
      <w:tr>
        <w:trPr/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配音合成（AI 逐页）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C">
            <w:pPr>
              <w:jc w:val="righ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958 次（成功）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180,279 字符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qwen3-tts-flash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F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14.42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0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90.3%</w:t>
            </w:r>
          </w:p>
        </w:tc>
      </w:tr>
      <w:tr>
        <w:trPr/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课件向量化入库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2">
            <w:pPr>
              <w:jc w:val="righ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98 次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126,366 tok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text-embedding-v3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5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0.06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6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0.4%</w:t>
            </w:r>
          </w:p>
        </w:tc>
      </w:tr>
      <w:tr>
        <w:trPr/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检索重排序（问答测试）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8">
            <w:pPr>
              <w:jc w:val="righ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1 次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2,000 tok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gte-rerank-v2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B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0.002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C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≈0%</w:t>
            </w:r>
          </w:p>
        </w:tc>
      </w:tr>
      <w:tr>
        <w:trPr/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eaf1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建课合计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eaf1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E">
            <w:pPr>
              <w:jc w:val="righ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1,378 次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eaf1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5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2"/>
              </w:rPr>
              <w:t>—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eaf1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2"/>
              </w:rPr>
              <w:t>—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eaf1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1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2"/>
              </w:rPr>
              <w:t>15.97</w:t>
            </w:r>
          </w:p>
        </w:tc>
        <w:tc>
          <w:tcPr>
            <w:tcW w:w="1384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eaf1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2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2"/>
              </w:rPr>
              <w:t>100%</w:t>
            </w:r>
          </w:p>
        </w:tc>
      </w:tr>
    </w:tbl>
    <w:p w14:paraId="00000063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页均成本 0.0167 元/页，章均成本 2.28 元/章。补充事实：课件解析（版式/文本抽取）不产生大模型调用；讲稿生成按 3 页/块并发分批调用（321 次覆盖 955 页），单次调用平均输入 780 tok、输出 383 tok；配音平均 188 字符/页，单次合成平均延迟约 11 秒（3 并发跑批）。</w:t>
      </w:r>
    </w:p>
    <w:p w14:paraId="00000064">
      <w:pPr>
        <w:pStyle w:val="000003"/>
        <w:keepNext w:val="1"/>
        <w:keepLines w:val="1"/>
        <w:pBdr>
          <w:bottom w:val="single" w:color="1a5fb4" w:sz="12" w:space="3"/>
        </w:pBdr>
        <w:spacing w:before="288" w:beforeAutospacing="1" w:after="168" w:afterAutospacing="1" w:line="396"/>
        <w:ind w:left="0" w:right="0"/>
        <w:outlineLvl w:val="1"/>
        <w:rPr>
          <w:color w:val="1a5fb4"/>
          <w:sz w:val="32"/>
          <w:szCs w:val="32"/>
        </w:rPr>
      </w:pPr>
      <w:bookmarkStart w:id="5" w:name="section-5"/>
      <w:r>
        <w:rPr>
          <w:rFonts w:hint="eastAsia" w:ascii="黑体" w:hAnsi="黑体" w:eastAsia="黑体" w:cs="黑体"/>
          <w:b w:val="1"/>
          <w:color w:val="1a5fb4"/>
          <w:sz w:val="44"/>
        </w:rPr>
        <w:t>五、运营期单次成本模型（基于实测样本）</w:t>
      </w:r>
      <w:bookmarkEnd w:id="5"/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91"/>
        <w:gridCol w:w="2907"/>
        <w:gridCol w:w="2907"/>
      </w:tblGrid>
      <w:tr>
        <w:trPr>
          <w:tblHeader w:val="1"/>
        </w:trPr>
        <w:tc>
          <w:tcPr>
            <w:tcW w:w="2491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功能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单次调用构成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7">
            <w:pPr>
              <w:jc w:val="righ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单次成本（元）</w:t>
            </w:r>
          </w:p>
        </w:tc>
      </w:tr>
      <w:tr>
        <w:trPr/>
        <w:tc>
          <w:tcPr>
            <w:tcW w:w="2491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AI 问答（单轮，含检索）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对话 3,000 输入＋240 输出 tok；问题向量化 6 tok；15 候选重排 1,800 tok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A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2"/>
              </w:rPr>
              <w:t>0.0094</w:t>
            </w:r>
          </w:p>
        </w:tc>
      </w:tr>
      <w:tr>
        <w:trPr/>
        <w:tc>
          <w:tcPr>
            <w:tcW w:w="2491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AI 问答（多轮追问，含查询改写）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上述＋改写调用 212 输入＋6 输出 tok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D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0.0098</w:t>
            </w:r>
          </w:p>
        </w:tc>
      </w:tr>
      <w:tr>
        <w:trPr/>
        <w:tc>
          <w:tcPr>
            <w:tcW w:w="2491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章节 AI 学习总结（每生每章）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6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估算 2,000 输入＋2,500 输出 tok（聚合进度/练习/作业/考试/问答证据）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0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2"/>
              </w:rPr>
              <w:t>0.024</w:t>
            </w:r>
          </w:p>
        </w:tc>
      </w:tr>
      <w:tr>
        <w:trPr/>
        <w:tc>
          <w:tcPr>
            <w:tcW w:w="2491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班级学情分析报告（每次）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实测 524 输入＋2,539 输出 tok</w:t>
            </w:r>
          </w:p>
        </w:tc>
        <w:tc>
          <w:tcPr>
            <w:tcW w:w="2907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3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2"/>
              </w:rPr>
              <w:t>0.021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（含异步分批按 0.03 保守计）</w:t>
            </w:r>
          </w:p>
        </w:tc>
      </w:tr>
    </w:tbl>
    <w:p w14:paraId="00000074">
      <w:pPr>
        <w:spacing w:before="0" w:after="192" w:line="396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注：问答为课程级整体问题时（未选中章节），系统额外注入课程大纲（约＋300 tok/次），成本增幅约 6%；课程级检索已放宽至 8 条（章节内默认 5 条），上表已按放宽后口径计入。</w:t>
      </w:r>
    </w:p>
    <w:p w14:paraId="00000075">
      <w:pPr>
        <w:pStyle w:val="000003"/>
        <w:keepNext w:val="1"/>
        <w:keepLines w:val="1"/>
        <w:pBdr>
          <w:bottom w:val="single" w:color="1a5fb4" w:sz="12" w:space="3"/>
        </w:pBdr>
        <w:spacing w:before="288" w:beforeAutospacing="1" w:after="168" w:afterAutospacing="1" w:line="396"/>
        <w:ind w:left="0" w:right="0"/>
        <w:outlineLvl w:val="1"/>
        <w:rPr>
          <w:color w:val="1a5fb4"/>
          <w:sz w:val="32"/>
          <w:szCs w:val="32"/>
        </w:rPr>
      </w:pPr>
      <w:bookmarkStart w:id="6" w:name="section-6"/>
      <w:r>
        <w:rPr>
          <w:rFonts w:hint="eastAsia" w:ascii="黑体" w:hAnsi="黑体" w:eastAsia="黑体" w:cs="黑体"/>
          <w:b w:val="1"/>
          <w:color w:val="1a5fb4"/>
          <w:sz w:val="44"/>
        </w:rPr>
        <w:t>六、学期规模推算与敏感性分析（40 人教学班 · 一学期 100 天）</w:t>
      </w:r>
      <w:bookmarkEnd w:id="6"/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场景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用量假设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8">
            <w:pPr>
              <w:jc w:val="righ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学期费用（元）</w:t>
            </w:r>
          </w:p>
        </w:tc>
      </w:tr>
      <w:tr>
        <w:trPr/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AI 问答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人均 3 题/天 × 100 天＝12,000 题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B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112</w:t>
            </w:r>
          </w:p>
        </w:tc>
      </w:tr>
      <w:tr>
        <w:trPr/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章节 AI 总结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7 章 × 40 人＝280 次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E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6.7</w:t>
            </w:r>
          </w:p>
        </w:tc>
      </w:tr>
      <w:tr>
        <w:trPr/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学情分析报告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每周 1 次 × 16 周＝16 次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1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1.0</w:t>
            </w:r>
          </w:p>
        </w:tc>
      </w:tr>
      <w:tr>
        <w:trPr/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eaf1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运营期合计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eaf1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2"/>
              </w:rPr>
              <w:t>—</w:t>
            </w:r>
          </w:p>
        </w:tc>
        <w:tc>
          <w:tcPr>
            <w:tcW w:w="2768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eaf1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4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2"/>
              </w:rPr>
              <w:t>≈120</w:t>
            </w:r>
          </w:p>
        </w:tc>
      </w:tr>
    </w:tbl>
    <w:p w14:paraId="00000085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全周期：建课 16 元＋运营 120 元 ≈ 136 元/门课·学期（生均 3.4 元/学期）。</w:t>
      </w:r>
    </w:p>
    <w:p w14:paraId="00000086">
      <w:pPr>
        <w:spacing w:before="0" w:after="192" w:line="396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敏感性分析（使用强度分档）：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使用强度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问答量（人均/学期）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9">
            <w:pPr>
              <w:jc w:val="righ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运营期/学期（元）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fill="f2f6fc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A">
            <w:pPr>
              <w:jc w:val="righ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2"/>
              </w:rPr>
              <w:t>全周期/学期（元）</w:t>
            </w:r>
          </w:p>
        </w:tc>
      </w:tr>
      <w:tr>
        <w:trPr/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轻度（1 题/天）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4,000 题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D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38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E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54</w:t>
            </w:r>
          </w:p>
        </w:tc>
      </w:tr>
      <w:tr>
        <w:trPr/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中度（3 题/天，基准）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12,000 题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1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120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2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136</w:t>
            </w:r>
          </w:p>
        </w:tc>
      </w:tr>
      <w:tr>
        <w:trPr/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重度（8 题/天＋高频追问）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32,000 题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5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315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6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331</w:t>
            </w:r>
          </w:p>
        </w:tc>
      </w:tr>
      <w:tr>
        <w:trPr/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超重度（20 题/天，考试周峰值）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80,000 题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9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787</w:t>
            </w:r>
          </w:p>
        </w:tc>
        <w:tc>
          <w:tcPr>
            <w:tcW w:w="2076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9A">
            <w:pPr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803</w:t>
            </w:r>
          </w:p>
        </w:tc>
      </w:tr>
    </w:tbl>
    <w:p w14:paraId="0000009B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即使按极端强度（人均每天 20 题），单门课单学期成本也不超过 10 元/生。</w:t>
      </w:r>
    </w:p>
    <w:p w14:paraId="0000009C">
      <w:pPr>
        <w:pStyle w:val="000003"/>
        <w:keepNext w:val="1"/>
        <w:keepLines w:val="1"/>
        <w:pBdr>
          <w:bottom w:val="single" w:color="1a5fb4" w:sz="12" w:space="3"/>
        </w:pBdr>
        <w:spacing w:before="288" w:beforeAutospacing="1" w:after="168" w:afterAutospacing="1" w:line="396"/>
        <w:ind w:left="0" w:right="0"/>
        <w:outlineLvl w:val="1"/>
        <w:rPr>
          <w:color w:val="1a5fb4"/>
          <w:sz w:val="32"/>
          <w:szCs w:val="32"/>
        </w:rPr>
      </w:pPr>
      <w:bookmarkStart w:id="7" w:name="section-7"/>
      <w:r>
        <w:rPr>
          <w:rFonts w:hint="eastAsia" w:ascii="黑体" w:hAnsi="黑体" w:eastAsia="黑体" w:cs="黑体"/>
          <w:b w:val="1"/>
          <w:color w:val="1a5fb4"/>
          <w:sz w:val="44"/>
        </w:rPr>
        <w:t>七、成本优化建议</w:t>
      </w:r>
      <w:bookmarkEnd w:id="7"/>
    </w:p>
    <w:p w14:paraId="0000009D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1. 配音合成是建课成本的决定项（90%）。</w:t>
      </w:r>
      <w:r>
        <w:rPr>
          <w:rFonts w:hint="eastAsia" w:ascii="宋体" w:hAnsi="宋体" w:eastAsia="宋体" w:cs="宋体"/>
          <w:color w:val="000000"/>
          <w:sz w:val="24"/>
        </w:rPr>
        <w:t>若学校规模上到几十门课，可自托管开源语音合成（CosyVoice v3.5 等）替代 qwen3-tts-flash，建课成本从 16 元降到约 2 元（仅讲稿生成），降幅约 90%；平台已内置本地向量/重排模型（BGE-M3＋Qwen3-Reranker-0.6B），将 embedding/rerank 切换为本机推理可再省 0.06 元/课（占比小，但可彻底免于依赖外部服务）。</w:t>
      </w:r>
    </w:p>
    <w:p w14:paraId="0000009E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2. 问答成本与检索配置强相关。</w:t>
      </w:r>
      <w:r>
        <w:rPr>
          <w:rFonts w:hint="eastAsia" w:ascii="宋体" w:hAnsi="宋体" w:eastAsia="宋体" w:cs="宋体"/>
          <w:color w:val="000000"/>
          <w:sz w:val="24"/>
        </w:rPr>
        <w:t>RAG 预算（AI_QA_RAG_TOKEN_BUDGET）每提高 1000 tok，单次问答成本约增 0.002 元；课程级检索条数（AI_QA_COURSE_TOP_K）每增 1 条，约增 0.001 元。当前默认配置（预算 3000/章节级 5 条/课程级 8 条）在质量与成本间偏保守，不建议再降。</w:t>
      </w:r>
    </w:p>
    <w:p w14:paraId="0000009F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3. 新用户免费额度可覆盖验证期。</w:t>
      </w:r>
      <w:r>
        <w:rPr>
          <w:rFonts w:hint="eastAsia" w:ascii="宋体" w:hAnsi="宋体" w:eastAsia="宋体" w:cs="宋体"/>
          <w:color w:val="000000"/>
          <w:sz w:val="24"/>
        </w:rPr>
        <w:t>百炼新用户赠 7,000 万 tokens（90 天有效），按本模型测算约可支撑 200 万次 qwen-plus 输入调用，建课验证期基本零费用。</w:t>
      </w:r>
    </w:p>
    <w:p w14:paraId="000000A0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4. 建议平台侧增加课程级成本看板。</w:t>
      </w:r>
      <w:r>
        <w:rPr>
          <w:rFonts w:hint="eastAsia" w:ascii="宋体" w:hAnsi="宋体" w:eastAsia="宋体" w:cs="宋体"/>
          <w:color w:val="000000"/>
          <w:sz w:val="24"/>
        </w:rPr>
        <w:t>AI 调用审计日志已按课程/场景落库（本报告即由其直接生成），管理端可低成本上线「课程 AI 成本」页，按场景聚合展示，便于持续监控。</w:t>
      </w:r>
    </w:p>
    <w:p w14:paraId="000000A1">
      <w:pPr>
        <w:pStyle w:val="000003"/>
        <w:keepNext w:val="1"/>
        <w:keepLines w:val="1"/>
        <w:pBdr>
          <w:bottom w:val="single" w:color="1a5fb4" w:sz="12" w:space="3"/>
        </w:pBdr>
        <w:spacing w:before="288" w:beforeAutospacing="1" w:after="168" w:afterAutospacing="1" w:line="396"/>
        <w:ind w:left="0" w:right="0"/>
        <w:outlineLvl w:val="1"/>
        <w:rPr>
          <w:color w:val="1a5fb4"/>
          <w:sz w:val="32"/>
          <w:szCs w:val="32"/>
        </w:rPr>
      </w:pPr>
      <w:bookmarkStart w:id="8" w:name="section-8"/>
      <w:r>
        <w:rPr>
          <w:rFonts w:hint="eastAsia" w:ascii="黑体" w:hAnsi="黑体" w:eastAsia="黑体" w:cs="黑体"/>
          <w:b w:val="1"/>
          <w:color w:val="1a5fb4"/>
          <w:sz w:val="44"/>
        </w:rPr>
        <w:t>八、方法学与局限</w:t>
      </w:r>
      <w:bookmarkEnd w:id="8"/>
    </w:p>
    <w:p w14:paraId="000000A2">
      <w:pPr>
        <w:spacing w:before="0" w:after="192" w:line="396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费用＝真实审计日志 token/字符计量 × 现行公开单价（2026-10-28 查询），不含限时折扣与资源包优惠；qwen3.7-plus 长期为 8 折活动价，实际支出可能低于本报告约 20%。章节 AI 总结无生产实测样本（该课程建课阶段尚无学生使用），按同结构场景（学情分析实测）放大估算，误差约 ±50%，不影响量级结论。运营期推算是基于「40 人 × 100 天」的假设模型，实际费用随真实使用强度线性缩放（见敏感性分析）。不含服务端基础设施成本（服务器、带宽、本地模型电费）：本地向量/重排模型为 CPU 推理，单机可支撑多门课，边际成本可忽略。</w:t>
      </w:r>
    </w:p>
    <w:p w14:paraId="000000A3">
      <w:pPr/>
    </w:p>
    <w:sectPr>
      <w:footerReference r:id="rId4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A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" w:semiHidden="1" w:unhideWhenUsed="1"/>
    <w:lsdException w:name="Message Header" w:semiHidden="1" w:unhideWhenUsed="1"/>
    <w:lsdException w:name="Body Text 2" w:semiHidden="1" w:unhideWhenUsed="1"/>
    <w:lsdException w:name="heading 5" w:uiPriority="9" w:semiHidden="1" w:unhideWhenUsed="1" w:qFormat="1"/>
    <w:lsdException w:name="List Continue 4" w:semiHidden="1" w:unhideWhenUsed="1"/>
    <w:lsdException w:name="heading 7" w:uiPriority="9" w:semiHidden="1" w:unhideWhenUsed="1" w:qFormat="1"/>
    <w:lsdException w:name="Title" w:uiPriority="10" w:qFormat="1"/>
    <w:lsdException w:name="List Continue 2" w:semiHidden="1" w:unhideWhenUsed="1"/>
    <w:lsdException w:name="FollowedHyperlink" w:semiHidden="1" w:unhideWhenUsed="1"/>
    <w:lsdException w:name="footnote reference" w:semiHidden="1" w:unhideWhenUsed="1"/>
    <w:lsdException w:name="List Number" w:semiHidden="1" w:unhideWhenUsed="1"/>
    <w:lsdException w:name="List Continue" w:semiHidden="1" w:unhideWhenUsed="1"/>
    <w:lsdException w:name="index 1" w:semiHidden="1" w:unhideWhenUsed="1"/>
    <w:lsdException w:name="index 3" w:semiHidden="1" w:unhideWhenUsed="1"/>
    <w:lsdException w:name="index 6" w:semiHidden="1" w:unhideWhenUsed="1"/>
    <w:lsdException w:name="index 9" w:semiHidden="1" w:unhideWhenUsed="1"/>
    <w:lsdException w:name="index 2" w:semiHidden="1" w:unhideWhenUsed="1"/>
    <w:lsdException w:name="index 8" w:semiHidden="1" w:unhideWhenUsed="1"/>
    <w:lsdException w:name="index 4" w:semiHidden="1" w:unhideWhenUsed="1"/>
    <w:lsdException w:name="table of figures" w:semiHidden="1" w:unhideWhenUsed="1"/>
    <w:lsdException w:name="Normal" w:uiPriority="0" w:qFormat="1"/>
    <w:lsdException w:name="macro" w:semiHidden="1" w:unhideWhenUsed="1"/>
    <w:lsdException w:name="toc 9" w:uiPriority="39" w:semiHidden="1" w:unhideWhenUsed="1"/>
    <w:lsdException w:name="footer" w:semiHidden="1" w:unhideWhenUsed="1"/>
    <w:lsdException w:name="List 2" w:semiHidden="1" w:unhideWhenUsed="1"/>
    <w:lsdException w:name="List 5" w:semiHidden="1" w:unhideWhenUsed="1"/>
    <w:lsdException w:name="Subtitle" w:uiPriority="11" w:qFormat="1"/>
    <w:lsdException w:name="List Bullet 5" w:semiHidden="1" w:unhideWhenUsed="1"/>
    <w:lsdException w:name="Normal Indent" w:semiHidden="1" w:unhideWhenUsed="1"/>
    <w:lsdException w:name="List Bullet 2" w:semiHidden="1" w:unhideWhenUsed="1"/>
    <w:lsdException w:name="toa heading" w:semiHidden="1" w:unhideWhenUsed="1"/>
    <w:lsdException w:name="List Bullet 4" w:semiHidden="1" w:unhideWhenUsed="1"/>
    <w:lsdException w:name="Body Text Indent 3" w:semiHidden="1" w:unhideWhenUsed="1"/>
    <w:lsdException w:name="List Bullet" w:semiHidden="1" w:unhideWhenUsed="1"/>
    <w:lsdException w:name="page number" w:semiHidden="1" w:unhideWhenUsed="1"/>
    <w:lsdException w:name="annotation text" w:semiHidden="1" w:unhideWhenUsed="1"/>
    <w:lsdException w:name="Hyperlink" w:semiHidden="1" w:unhideWhenUsed="1"/>
    <w:lsdException w:name="index 5" w:semiHidden="1" w:unhideWhenUsed="1"/>
    <w:lsdException w:name="Block Text" w:semiHidden="1" w:unhideWhenUsed="1"/>
    <w:lsdException w:name="envelope return" w:semiHidden="1" w:unhideWhenUsed="1"/>
    <w:lsdException w:name="List Number 4" w:semiHidden="1" w:unhideWhenUsed="1"/>
    <w:lsdException w:name="toc 2" w:uiPriority="39" w:semiHidden="1" w:unhideWhenUsed="1"/>
    <w:lsdException w:name="toc 4" w:uiPriority="39" w:semiHidden="1" w:unhideWhenUsed="1"/>
    <w:lsdException w:name="endnote text" w:semiHidden="1" w:unhideWhenUsed="1"/>
    <w:lsdException w:name="Date" w:semiHidden="1" w:unhideWhenUsed="1"/>
    <w:lsdException w:name="caption" w:uiPriority="35" w:semiHidden="1" w:unhideWhenUsed="1" w:qFormat="1"/>
    <w:lsdException w:name="index heading" w:semiHidden="1" w:unhideWhenUsed="1"/>
    <w:lsdException w:name="envelope address" w:semiHidden="1" w:unhideWhenUsed="1"/>
    <w:lsdException w:name="Body Text Indent 2" w:semiHidden="1" w:unhideWhenUsed="1"/>
    <w:lsdException w:name="List 3" w:semiHidden="1" w:unhideWhenUsed="1"/>
    <w:lsdException w:name="Note Heading" w:semiHidden="1" w:unhideWhenUsed="1"/>
    <w:lsdException w:name="List Bullet 3" w:semiHidden="1" w:unhideWhenUsed="1"/>
    <w:lsdException w:name="annotation reference" w:semiHidden="1" w:unhideWhenUsed="1"/>
    <w:lsdException w:name="Strong" w:uiPriority="22" w:qFormat="1"/>
    <w:lsdException w:name="Body Text First Indent" w:semiHidden="1" w:unhideWhenUsed="1"/>
    <w:lsdException w:name="Body Text First Indent 2" w:semiHidden="1" w:unhideWhenUsed="1"/>
    <w:lsdException w:name="Signature" w:semiHidden="1" w:unhideWhenUsed="1"/>
    <w:lsdException w:name="List Number 3" w:semiHidden="1" w:unhideWhenUsed="1"/>
    <w:lsdException w:name="List Number 5" w:semiHidden="1" w:unhideWhenUsed="1"/>
    <w:lsdException w:name="footnote text" w:semiHidden="1" w:unhideWhenUsed="1"/>
    <w:lsdException w:name="toc 5" w:uiPriority="39" w:semiHidden="1" w:unhideWhenUsed="1"/>
    <w:lsdException w:name="toc 1" w:uiPriority="39" w:semiHidden="1" w:unhideWhenUsed="1"/>
    <w:lsdException w:name="toc 6" w:uiPriority="39" w:semiHidden="1" w:unhideWhenUsed="1"/>
    <w:lsdException w:name="toc 3" w:uiPriority="39" w:semiHidden="1" w:unhideWhenUsed="1"/>
    <w:lsdException w:name="Body Text Indent" w:semiHidden="1" w:unhideWhenUsed="1"/>
    <w:lsdException w:name="toc 8" w:uiPriority="39" w:semiHidden="1" w:unhideWhenUsed="1"/>
    <w:lsdException w:name="toc 7" w:uiPriority="39" w:semiHidden="1" w:unhideWhenUsed="1"/>
    <w:lsdException w:name="List" w:semiHidden="1" w:unhideWhenUsed="1"/>
    <w:lsdException w:name="heading 1" w:uiPriority="9" w:qFormat="1"/>
    <w:lsdException w:name="heading 3" w:uiPriority="9" w:semiHidden="1" w:unhideWhenUsed="1" w:qFormat="1"/>
    <w:lsdException w:name="Default Paragraph Font" w:uiPriority="1" w:semiHidden="1" w:unhideWhenUsed="1"/>
    <w:lsdException w:name="heading 9" w:uiPriority="9" w:semiHidden="1" w:unhideWhenUsed="1" w:qFormat="1"/>
    <w:lsdException w:name="heading 2" w:uiPriority="9" w:semiHidden="1" w:unhideWhenUsed="1" w:qFormat="1"/>
    <w:lsdException w:name="heading 4" w:uiPriority="9" w:semiHidden="1" w:unhideWhenUsed="1" w:qFormat="1"/>
    <w:lsdException w:name="Closing" w:semiHidden="1" w:unhideWhenUsed="1"/>
    <w:lsdException w:name="endnote reference" w:semiHidden="1" w:unhideWhenUsed="1"/>
    <w:lsdException w:name="index 7" w:semiHidden="1" w:unhideWhenUsed="1"/>
    <w:lsdException w:name="List Number 2" w:semiHidden="1" w:unhideWhenUsed="1"/>
    <w:lsdException w:name="Salutation" w:semiHidden="1" w:unhideWhenUsed="1"/>
    <w:lsdException w:name="heading 6" w:uiPriority="9" w:semiHidden="1" w:unhideWhenUsed="1" w:qFormat="1"/>
    <w:lsdException w:name="heading 8" w:uiPriority="9" w:semiHidden="1" w:unhideWhenUsed="1" w:qFormat="1"/>
    <w:lsdException w:name="Body Text 3" w:semiHidden="1" w:unhideWhenUsed="1"/>
    <w:lsdException w:name="List Continue 3" w:semiHidden="1" w:unhideWhenUsed="1"/>
    <w:lsdException w:name="List Continue 5" w:semiHidden="1" w:unhideWhenUsed="1"/>
    <w:lsdException w:name="table of authorities" w:semiHidden="1" w:unhideWhenUsed="1"/>
    <w:lsdException w:name="line number" w:semiHidden="1" w:unhideWhenUsed="1"/>
    <w:lsdException w:name="header" w:semiHidden="1" w:unhideWhenUsed="1"/>
    <w:lsdException w:name="List 4" w:semiHidden="1" w:unhideWhenUsed="1"/>
  </w:latentStyles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ifysyd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2026-10-28T09:23:11Z</dcterms:created>
  <dcterms:modified xsi:type="dcterms:W3CDTF">2026-10-28T09:23:11Z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"01a1800d9f76733b835ef325054468c3", "ReservedCode1": "", "ContentPropagator": "00119111010856365494821B355", "PropagateID": "01a1800d9f76733b835ef325054468c3", "ReservedCode2": ""}}</vt:lpwstr>
  </property>
</Properties>
</file>