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374C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Yunfan Wang</w:t>
      </w:r>
    </w:p>
    <w:p w14:paraId="00000002" w14:textId="77777777" w:rsidR="0002374C" w:rsidRDefault="00000000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Email: </w:t>
      </w:r>
      <w:hyperlink r:id="rId8">
        <w:r w:rsidR="0002374C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yunfa@umich.edu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   Phone:734-510-0052</w:t>
      </w:r>
    </w:p>
    <w:p w14:paraId="00000003" w14:textId="77777777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40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Summary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</w:t>
      </w:r>
    </w:p>
    <w:p w14:paraId="2E00D2BE" w14:textId="77777777" w:rsidR="00DF186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PhD ECE student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interested in RF and THz integrated circuit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algorithm </w:t>
      </w:r>
    </w:p>
    <w:p w14:paraId="00000004" w14:textId="05F54911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(Advisor: David Blaauw)</w:t>
      </w:r>
    </w:p>
    <w:p w14:paraId="00000005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Education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</w:p>
    <w:p w14:paraId="00000006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University of Michigan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Ann Arbor, Ph. D., Electrical and computer engineerin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</w:p>
    <w:p w14:paraId="00000007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M. S., Electronic engineering (3.8/4.0)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06/2021</w:t>
      </w:r>
    </w:p>
    <w:p w14:paraId="00000008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B. S., Physics (4.0/4.0)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9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Honors &amp; Awards                                                      </w:t>
      </w:r>
    </w:p>
    <w:p w14:paraId="0000000A" w14:textId="2797EA84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Outstanding Bachelors Thesis Award of Tsinghua University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B" w14:textId="1D70E869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Outstanding Graduates of Tsinghua Universit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                               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C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Special Prize of University Students Physics Competition in China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06/2015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</w:t>
      </w:r>
    </w:p>
    <w:p w14:paraId="0000000D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National Scholarship of China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09/2015</w:t>
      </w:r>
    </w:p>
    <w:p w14:paraId="0000000E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Work Experiences                                                     </w:t>
      </w:r>
    </w:p>
    <w:p w14:paraId="0000000F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Graduate Student Research Assistant (GSRA), University of Michigan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</w:p>
    <w:p w14:paraId="00000010" w14:textId="77777777" w:rsidR="0002374C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Michigan Integrated Circuits Laboratory (MICL) (Advisor: David Blaauw)</w:t>
      </w:r>
    </w:p>
    <w:p w14:paraId="00000011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Teaching assistant (TA), Tsinghua University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09/2020–02/2021</w:t>
      </w:r>
    </w:p>
    <w:p w14:paraId="00000012" w14:textId="6C4F8391" w:rsidR="0002374C" w:rsidRDefault="006B4C3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Student intern, University of California,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SanDeigo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(Advisor: Peter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Asbeck)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07/2017–09/2017</w:t>
      </w:r>
    </w:p>
    <w:p w14:paraId="00000013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 (RA), Tsinghua University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07/2016–07/2021</w:t>
      </w:r>
    </w:p>
    <w:p w14:paraId="00000014" w14:textId="77777777" w:rsidR="0002374C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Intelligent Microwave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Ciruit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System Lab (IMCS) (Advisor: Wenhua Chen)</w:t>
      </w:r>
    </w:p>
    <w:p w14:paraId="00000015" w14:textId="235FEC4F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Publications                                                            </w:t>
      </w:r>
    </w:p>
    <w:p w14:paraId="6CC97F6F" w14:textId="36CAC857" w:rsidR="00C811DD" w:rsidRPr="00C811DD" w:rsidRDefault="00C811DD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eading=h.gjdgxs" w:colFirst="0" w:colLast="0"/>
      <w:bookmarkEnd w:id="0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Yi Shen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Boxuan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Chien-Wei Tseng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Yunfan Wang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Qirui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Zhang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Zichen Fan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Zhen Feng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Rahul Narashimha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Andrea Bejarano-Carbo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Hun-Seok Kim, David Blaauw,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“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A Crystal-Less Frequency-Modulation Transmitter IC with Joint Neural-Network-Driven Modulation and Coding for Low-Power Connectivity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,” in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2025 IEEE International Solid-State Circuits Conference (ISSCC)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Feb, 2025, San Francisco, USA.</w:t>
      </w:r>
    </w:p>
    <w:p w14:paraId="58BBF7FB" w14:textId="77777777" w:rsidR="00C811DD" w:rsidRPr="00C811DD" w:rsidRDefault="00A438A3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Chien-Wei Tseng, Zhen Feng, Zichen Fan,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Hyochan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An, Yunfan Wang, Hun-Seok Kim, David Blaauw,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 Low-Power Highly Reconfigurable Analog FIR Filter With 11-Bit Charge-Domain DAC for Narrowband Receivers,” in 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IEEE Solid-State Circuits Letters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vol. 7, pp. 74-77, 2024</w:t>
      </w:r>
    </w:p>
    <w:p w14:paraId="64543F2F" w14:textId="77777777" w:rsidR="00C811DD" w:rsidRPr="00C811DD" w:rsidRDefault="00A438A3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Yunfan Wang, Steve Young, Demba Komma,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Jaechan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Lim, Zhen Feng, Zichen Fan,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Chien-Wei Tseng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, Hun Seok Kim, and David Blaauw, “Global Localization of Energy-Constrained Miniature RF Emitters using Low Earth Orbit Satellites,”. In The 21st ACM Conference on Embedded Networked Sensor Systems (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SenSys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’23), November 12–17, 2023, Istanbul,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Turkiye</w:t>
      </w:r>
      <w:r w:rsidR="00EB67ED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.</w:t>
      </w:r>
      <w:proofErr w:type="spellEnd"/>
    </w:p>
    <w:p w14:paraId="7230A57B" w14:textId="77777777" w:rsidR="00C811DD" w:rsidRDefault="00A438A3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S. Li, B. Xia, X. Li, Y. Wang, X. Liu</w:t>
      </w:r>
      <w:r w:rsidR="004A16DB"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W. Chen, </w:t>
      </w:r>
      <w:r w:rsidR="004A16DB"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Analysis and Design of Broadband Balance-Compensated Transformer Baluns for Silicon-Based Millimeter-Wave Circuits,</w:t>
      </w:r>
      <w:r w:rsidR="004A16DB"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in </w:t>
      </w:r>
      <w:r w:rsidRPr="00C811D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IEEE Transactions on Circuits and Systems I: Regular Papers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 vol. 70, no. 8, pp. 3103-3116, Aug. 2023</w:t>
      </w:r>
    </w:p>
    <w:p w14:paraId="22CFD119" w14:textId="77777777" w:rsidR="00C811DD" w:rsidRPr="00C811DD" w:rsidRDefault="00EB67ED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Chien-Wei Tseng, Zhen Feng, Zichen Fan,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Hyochan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An, Yunfan Wang, Hun-Seok Kim, </w:t>
      </w:r>
      <w:r w:rsidR="004A16DB"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David Blaauw,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r w:rsidR="00C01DAB"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“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A Reconfigurable Analog FIR Filter Achieving −70dB Rejection with Sharp Transition for Narrowband Receivers,</w:t>
      </w:r>
      <w:r w:rsidR="00C01DAB"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” </w:t>
      </w:r>
      <w:r w:rsidRPr="00C811D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highlight w:val="white"/>
        </w:rPr>
        <w:t>2023 IEEE Symposium on VLSI Technology and Circuits (VLSI Technology and Circuits)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, Kyoto, Japan, 2023, pp. 1-2.</w:t>
      </w:r>
    </w:p>
    <w:p w14:paraId="48921409" w14:textId="77777777" w:rsidR="00C811DD" w:rsidRDefault="00EB67ED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S. Li, W. Chen, X. Li</w:t>
      </w:r>
      <w:r w:rsidR="00252E49"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,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and Y. Wang, </w:t>
      </w:r>
      <w:r w:rsidR="00C01DAB"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“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A 5.1 dBm 127–162 GHz Frequency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Sextupler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with Broadband Compensated Transformer-Based Baluns in 22nm FD-SOI CMOS,</w:t>
      </w:r>
      <w:r w:rsidR="00C01DAB"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”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 </w:t>
      </w:r>
      <w:r w:rsidRPr="00C811D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highlight w:val="white"/>
        </w:rPr>
        <w:t>2022 IEEE Radio Frequency Integrated Circuits Symposium (RFIC)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, Denver, CO, USA, 2022, pp. 315-318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bookmarkStart w:id="1" w:name="_heading=h.gooy94fq0yej" w:colFirst="0" w:colLast="0"/>
      <w:bookmarkEnd w:id="1"/>
    </w:p>
    <w:p w14:paraId="708A6B55" w14:textId="77777777" w:rsidR="00C811DD" w:rsidRPr="00C811DD" w:rsidRDefault="00252E49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Y. Wang, W Chen, X Li, J Chen, L Chen, F Huang, S Li, Z Wang</w:t>
      </w:r>
      <w:r w:rsidR="00000000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, “Highly Efficient Terahertz Beam-Steerable Integrated Radiator Based on Tunable Boundary Conditions,” </w:t>
      </w:r>
      <w:r w:rsidR="00000000"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J. Solid-State Circuits</w:t>
      </w:r>
      <w:r w:rsidR="00000000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, vol. 57, no. 5, pp. 1314-1331, May</w:t>
      </w:r>
      <w:r w:rsidR="00EB67ED" w:rsidRPr="00C811DD">
        <w:rPr>
          <w:rFonts w:ascii="Times New Roman" w:eastAsia="SimSun" w:hAnsi="Times New Roman" w:cs="Times New Roman"/>
          <w:color w:val="000000" w:themeColor="text1"/>
          <w:sz w:val="20"/>
          <w:szCs w:val="20"/>
          <w:highlight w:val="white"/>
        </w:rPr>
        <w:t>,</w:t>
      </w:r>
      <w:r w:rsidR="00000000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2022.</w:t>
      </w:r>
    </w:p>
    <w:p w14:paraId="606CA631" w14:textId="77777777" w:rsidR="00C811DD" w:rsidRPr="00C811DD" w:rsidRDefault="00252E49" w:rsidP="00EB67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Y. Wang, W. Chen, X. Li, Z. Wang, J. Chen and L. Chen, 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A 0.41-THz Coherent Harmonic Radiation Array Based on Mode-dependent Boundaries,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”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 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highlight w:val="white"/>
        </w:rPr>
        <w:t>2021 IEEE International Workshop on Electromagnetics: Applications and Student Innovation Competition (</w:t>
      </w:r>
      <w:proofErr w:type="spellStart"/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highlight w:val="white"/>
        </w:rPr>
        <w:t>iWEM</w:t>
      </w:r>
      <w:proofErr w:type="spellEnd"/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highlight w:val="white"/>
        </w:rPr>
        <w:t>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, Guangzhou, China, 2021, pp. 1-3.</w:t>
      </w:r>
    </w:p>
    <w:p w14:paraId="76EF6DDC" w14:textId="77777777" w:rsidR="00C811DD" w:rsidRPr="00C811DD" w:rsidRDefault="00252E49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Y Wei, X Li, Y. Wang, T Hirtz, Z Guo, Y Qiao, T Cui, H Tian, Y Yang,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and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TL Ren, 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Graphene-based multifunctional textile for sensing and actuating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”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ACS nano 15 (11), 17738-17747, 2021.</w:t>
      </w:r>
    </w:p>
    <w:p w14:paraId="61EDA2B7" w14:textId="77777777" w:rsidR="00C811DD" w:rsidRDefault="00252E49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X Li, W Chen, P Zhou, Y. Wang, F Huang, S Li, J Chen, and Z Feng, “A 250–310 GHz Power Amplifier With 15-dB Peak Gain in 130-nm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Process for Terahertz Wireless System,” in </w:t>
      </w:r>
      <w:r w:rsidRPr="00C811D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IEEE Transactions on Terahertz Science and Technology</w:t>
      </w:r>
      <w:r w:rsidRPr="00C811DD">
        <w:rPr>
          <w:rFonts w:ascii="Times New Roman" w:hAnsi="Times New Roman" w:cs="Times New Roman"/>
          <w:color w:val="000000" w:themeColor="text1"/>
          <w:sz w:val="20"/>
          <w:szCs w:val="20"/>
        </w:rPr>
        <w:t>, vol. 12, no. 1, pp. 1-12, Jan. 2021</w:t>
      </w:r>
    </w:p>
    <w:p w14:paraId="4EBC7BE8" w14:textId="77777777" w:rsidR="00C811DD" w:rsidRPr="00C811DD" w:rsidRDefault="00252E49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X. Li, W. Chen, S. Li, Y. Wang, F. Huang, X. Yi, R. Han, and Z. Feng, “A high-efficiency 142-182-GHz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power amplifier with broadband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slotline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-based power combining technique”,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J. Solid-State Circuits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vol. 57, no. 2, pp. 371-384, Feb. 2021.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4D78B5D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Wang, W. Chen, X. Li, J. Chen, L. Chen, and S. Li, 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300-335 GHz highly efficient beam steerable radiator based on tunable boundary conditions”,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Radio Frequency Integrated Circuits (RFIC)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Atlanta, GA, USA, Jun. 2021.</w:t>
      </w:r>
    </w:p>
    <w:p w14:paraId="5048EB15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Wang, W. Chen, X. Li, S. Li, and P. Zhou, “305-325 GHz non-reciprocal isolator based on peak-control gain-boosting magnetless nonreciprocal metamaterials”,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Radio Frequency Integrated Circuits (RFIC)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Atlanta, GA, USA, Jun. 2021.</w:t>
      </w:r>
    </w:p>
    <w:p w14:paraId="61242E27" w14:textId="77777777" w:rsidR="00C811DD" w:rsidRPr="00C811DD" w:rsidRDefault="00252E49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L. Chen, W. Chen, Y. Wang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and Z. Feng, 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Linearization of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GaN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HEMT-Based Power Amplifiers Using a Bias Tracking Digital Predistortion,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”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2021 IEEE MTT-S International Wireless Symposium (IWS)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Nanjing, China, 2021, pp. 1-3</w:t>
      </w:r>
    </w:p>
    <w:p w14:paraId="38672780" w14:textId="77777777" w:rsidR="00C811DD" w:rsidRPr="00C811DD" w:rsidRDefault="00076605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X. Li, W. Chen, Y. Wang, and Z. Feng, 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160 GHz High Output Power and High DC-to-RF Efficiency Fundamental Oscillator in a 130-nm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Process,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”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2020 50th European Microwave Conference (</w:t>
      </w:r>
      <w:proofErr w:type="spellStart"/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EuMC</w:t>
      </w:r>
      <w:proofErr w:type="spellEnd"/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Utrecht, Netherlands, 2021, pp. 1159-1162</w:t>
      </w:r>
    </w:p>
    <w:p w14:paraId="3143AEFD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X. Li, W. Chen, S. Li, Y. Wang, F. Huang, X. Yi, R. Han, and Z. Feng, “A high-efficiency 142-182-GHz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power amplifier with broadband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slotline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-based power combining technique”,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J. Solid-State Circuits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early access, 2021.</w:t>
      </w:r>
    </w:p>
    <w:p w14:paraId="30734B48" w14:textId="77777777" w:rsidR="00C811DD" w:rsidRPr="00C811DD" w:rsidRDefault="00076605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Yancong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Qiao,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Xiaoshi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Jinming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Jian, Qi Wu, Yuhong Wei, Hua Shuai, Thomas Hirtz, Yao Zhi, Ge Deng, Yunfan Wang,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Guangyang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Gou,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Jiandong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Xu, Tianrui Cui, He Tian, Yi Yang, and Tian-Ling Ren, “Substrate-Free Multilayer Graphene Electronic Skin for Intelligent Diagnosis”, 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ACS Applied Materials &amp; Interfaces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2020 </w:t>
      </w:r>
      <w:r w:rsidRPr="00C811D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12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(44)</w:t>
      </w:r>
      <w:r w:rsidR="004A16DB"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CD2A6F3" w14:textId="77777777" w:rsidR="00C811DD" w:rsidRPr="00C811DD" w:rsidRDefault="00076605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X. Li, W. Chen, Y. Wang, and Z. Feng, “A 160 GHz high output power and high efficiency power amplifier in a 130-nm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Technology”,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IEEE Radio Frequency Integrated Circuits (RFIC)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Los Angeles, CA, USA, Jun. 2020.</w:t>
      </w:r>
    </w:p>
    <w:p w14:paraId="1CB80D27" w14:textId="77777777" w:rsidR="00C811DD" w:rsidRPr="00C811DD" w:rsidRDefault="00076605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X. Li, W. Chen, Y. Wang, and Z. Feng, “A 180 GHz high-gain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cascode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power amplifier in a 130nm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process”,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Electronics letters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2020.</w:t>
      </w:r>
    </w:p>
    <w:p w14:paraId="022324D5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Wang, W. Chen, and X. Li, “A 210-GHz magnetless nonreciprocal isolator in 130-nm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SiGe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BiCMOS</w:t>
      </w:r>
      <w:proofErr w:type="spellEnd"/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based on resistor-free unidirectional ring resonators”,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IEEE Micro. Wireless </w:t>
      </w:r>
      <w:proofErr w:type="spellStart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Compon</w:t>
      </w:r>
      <w:proofErr w:type="spellEnd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. Lett.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vol. 30, pp.524427, 2020.</w:t>
      </w:r>
    </w:p>
    <w:p w14:paraId="6ED55543" w14:textId="77777777" w:rsidR="00C811DD" w:rsidRPr="00C811DD" w:rsidRDefault="00076605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Y. Qiao, Y. Wang, and et al. “Multifunctional and high-performance electronic skin based on silver nanowires bridging graphene”, Carbon, vol. 156, pp.253-260, 2020.</w:t>
      </w:r>
    </w:p>
    <w:p w14:paraId="6D28D7F5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Wang, W. Chen, and X. Chen, “Highly linear and magnetless isolator based on weakly-coupled nonreciprocal metamaterials”,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IEEE Trans. </w:t>
      </w:r>
      <w:proofErr w:type="spellStart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Microw</w:t>
      </w:r>
      <w:proofErr w:type="spellEnd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. Theory and Techn.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vol. 67, no. 11, 2019.</w:t>
      </w:r>
    </w:p>
    <w:p w14:paraId="5AD65C02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Wei, Y. Qiao, C. Jiang, Y. Wang, F. Wang, M. Li, and et al, “A wearable skin-like ultra-sensitive artificial graphene throat”,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ACS Nano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vol.13, no.8, pp. 8639-8647, 2019. </w:t>
      </w:r>
    </w:p>
    <w:p w14:paraId="2D9A0B63" w14:textId="77777777" w:rsidR="00C811DD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Y. Qiao, Y. Wang, He Tian, M. Li, et. al, “Multilayer graphene epidermal electronic skin”, 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ACS nano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vol. 12, no. 9, pp. 8839-8846, 2018.</w:t>
      </w:r>
    </w:p>
    <w:p w14:paraId="7E918EDD" w14:textId="3F11EC11" w:rsidR="00252E49" w:rsidRPr="00C811DD" w:rsidRDefault="00000000" w:rsidP="00C811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Y. Wang, and W. Chen. “A novel design method of RF lens for long-range wireless power transmission,” I</w:t>
      </w:r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EEE antenna and wireless propagate. </w:t>
      </w:r>
      <w:proofErr w:type="spellStart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lett</w:t>
      </w:r>
      <w:proofErr w:type="spellEnd"/>
      <w:r w:rsidRPr="00C811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.</w:t>
      </w:r>
      <w:r w:rsidRPr="00C8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vol. 16, pp. 3159-3162, 2017. </w:t>
      </w:r>
    </w:p>
    <w:sectPr w:rsidR="00252E49" w:rsidRPr="00C811D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C517" w14:textId="77777777" w:rsidR="00282D1B" w:rsidRDefault="00282D1B">
      <w:r>
        <w:separator/>
      </w:r>
    </w:p>
  </w:endnote>
  <w:endnote w:type="continuationSeparator" w:id="0">
    <w:p w14:paraId="3C33A972" w14:textId="77777777" w:rsidR="00282D1B" w:rsidRDefault="0028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5" w14:textId="77777777" w:rsidR="0002374C" w:rsidRDefault="000237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1F3864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84559" w14:textId="77777777" w:rsidR="00282D1B" w:rsidRDefault="00282D1B">
      <w:r>
        <w:separator/>
      </w:r>
    </w:p>
  </w:footnote>
  <w:footnote w:type="continuationSeparator" w:id="0">
    <w:p w14:paraId="3A46AE8C" w14:textId="77777777" w:rsidR="00282D1B" w:rsidRDefault="0028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77777777" w:rsidR="0002374C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b/>
        <w:color w:val="002060"/>
        <w:sz w:val="32"/>
        <w:szCs w:val="32"/>
      </w:rPr>
    </w:pPr>
    <w:r>
      <w:rPr>
        <w:rFonts w:ascii="Times New Roman" w:eastAsia="Times New Roman" w:hAnsi="Times New Roman" w:cs="Times New Roman"/>
        <w:b/>
        <w:color w:val="002060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73C"/>
    <w:multiLevelType w:val="multilevel"/>
    <w:tmpl w:val="BC42B7B6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37087"/>
    <w:multiLevelType w:val="multilevel"/>
    <w:tmpl w:val="0409001D"/>
    <w:numStyleLink w:val="Style1"/>
  </w:abstractNum>
  <w:abstractNum w:abstractNumId="2" w15:restartNumberingAfterBreak="0">
    <w:nsid w:val="305D1822"/>
    <w:multiLevelType w:val="multilevel"/>
    <w:tmpl w:val="F0381D02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7939BF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CE96FC9"/>
    <w:multiLevelType w:val="multilevel"/>
    <w:tmpl w:val="80223BCC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04229D"/>
    <w:multiLevelType w:val="multilevel"/>
    <w:tmpl w:val="1EAAAC98"/>
    <w:lvl w:ilvl="0">
      <w:start w:val="1"/>
      <w:numFmt w:val="bullet"/>
      <w:lvlText w:val="●"/>
      <w:lvlJc w:val="left"/>
      <w:pPr>
        <w:ind w:left="8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1578F3"/>
    <w:multiLevelType w:val="multilevel"/>
    <w:tmpl w:val="A97A610E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num w:numId="1" w16cid:durableId="1501383472">
    <w:abstractNumId w:val="6"/>
  </w:num>
  <w:num w:numId="2" w16cid:durableId="697899968">
    <w:abstractNumId w:val="5"/>
  </w:num>
  <w:num w:numId="3" w16cid:durableId="797838423">
    <w:abstractNumId w:val="4"/>
  </w:num>
  <w:num w:numId="4" w16cid:durableId="706687570">
    <w:abstractNumId w:val="0"/>
  </w:num>
  <w:num w:numId="5" w16cid:durableId="998115019">
    <w:abstractNumId w:val="2"/>
  </w:num>
  <w:num w:numId="6" w16cid:durableId="250358147">
    <w:abstractNumId w:val="3"/>
  </w:num>
  <w:num w:numId="7" w16cid:durableId="73585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4C"/>
    <w:rsid w:val="0002374C"/>
    <w:rsid w:val="00076605"/>
    <w:rsid w:val="00252E49"/>
    <w:rsid w:val="00282D1B"/>
    <w:rsid w:val="004965BF"/>
    <w:rsid w:val="004A16DB"/>
    <w:rsid w:val="0060207B"/>
    <w:rsid w:val="00627AB6"/>
    <w:rsid w:val="006B4C38"/>
    <w:rsid w:val="00964EEF"/>
    <w:rsid w:val="00A438A3"/>
    <w:rsid w:val="00A77689"/>
    <w:rsid w:val="00AB0227"/>
    <w:rsid w:val="00AC5E13"/>
    <w:rsid w:val="00C01DAB"/>
    <w:rsid w:val="00C811DD"/>
    <w:rsid w:val="00DF1866"/>
    <w:rsid w:val="00E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E8EB"/>
  <w15:docId w15:val="{858D8157-E503-4D36-9DE6-1728C43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D54FF"/>
    <w:rPr>
      <w:color w:val="0563C1" w:themeColor="hyperlink"/>
      <w:u w:val="single"/>
    </w:rPr>
  </w:style>
  <w:style w:type="paragraph" w:customStyle="1" w:styleId="TableTitle">
    <w:name w:val="Table Title"/>
    <w:basedOn w:val="Normal"/>
    <w:rsid w:val="002D54FF"/>
    <w:pPr>
      <w:widowControl/>
      <w:jc w:val="center"/>
    </w:pPr>
    <w:rPr>
      <w:rFonts w:ascii="Times New Roman" w:hAnsi="Times New Roman" w:cs="Times New Roman"/>
      <w:smallCap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79FE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9379F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A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AA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79"/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B67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8A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8A3"/>
    <w:rPr>
      <w:rFonts w:ascii="Courier New" w:hAnsi="Courier New" w:cs="Courier New"/>
      <w:sz w:val="20"/>
      <w:szCs w:val="20"/>
    </w:rPr>
  </w:style>
  <w:style w:type="numbering" w:customStyle="1" w:styleId="Style1">
    <w:name w:val="Style1"/>
    <w:uiPriority w:val="99"/>
    <w:rsid w:val="00C811DD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C81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f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cZuwc4DSNToKjnUqhvm3baFPZQ==">AMUW2mWSUDwtrwgvQmIrxO0V8A5BpIQ3c1i6Ff3I3jALj0707ofJlvwgiNRqLufXFh3cC9TjV/DHdZtzJVLWcKJgVTWpF3R1ckJp5v3+Xi5VpcVg1cfu1r8f9U32I9VIHxmYU2PRUnQangZWuBZp/s1RI2NhK/qsqA==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Frank</dc:creator>
  <cp:lastModifiedBy>Frank wang</cp:lastModifiedBy>
  <cp:revision>10</cp:revision>
  <cp:lastPrinted>2023-11-10T16:22:00Z</cp:lastPrinted>
  <dcterms:created xsi:type="dcterms:W3CDTF">2021-09-16T19:58:00Z</dcterms:created>
  <dcterms:modified xsi:type="dcterms:W3CDTF">2025-04-13T17:53:00Z</dcterms:modified>
</cp:coreProperties>
</file>