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D8C39" w14:textId="77777777" w:rsidR="00952029" w:rsidRDefault="009411E6">
      <w:pPr>
        <w:spacing w:line="240" w:lineRule="auto"/>
        <w:rPr>
          <w:b/>
          <w:bCs/>
        </w:rPr>
      </w:pPr>
      <w:r>
        <w:rPr>
          <w:b/>
          <w:bCs/>
        </w:rPr>
        <w:t>Report: The US Sovereign Debt Crisis during Pandemic</w:t>
      </w:r>
    </w:p>
    <w:p w14:paraId="45C96B41" w14:textId="77777777" w:rsidR="00952029" w:rsidRDefault="009411E6">
      <w:pPr>
        <w:spacing w:line="240" w:lineRule="auto"/>
        <w:rPr>
          <w:b/>
          <w:bCs/>
        </w:rPr>
      </w:pPr>
      <w:r>
        <w:rPr>
          <w:b/>
          <w:bCs/>
        </w:rPr>
        <w:t>Name: Yunfei Fan</w:t>
      </w:r>
    </w:p>
    <w:p w14:paraId="5B2482E4" w14:textId="77777777" w:rsidR="00952029" w:rsidRDefault="00952029">
      <w:pPr>
        <w:spacing w:line="240" w:lineRule="auto"/>
        <w:rPr>
          <w:b/>
          <w:bCs/>
        </w:rPr>
      </w:pPr>
    </w:p>
    <w:p w14:paraId="22BE3C59" w14:textId="77777777" w:rsidR="00952029" w:rsidRDefault="009411E6">
      <w:pPr>
        <w:spacing w:line="240" w:lineRule="auto"/>
        <w:rPr>
          <w:b/>
          <w:bCs/>
        </w:rPr>
      </w:pPr>
      <w:r>
        <w:rPr>
          <w:b/>
          <w:bCs/>
        </w:rPr>
        <w:t>I</w:t>
      </w:r>
      <w:r>
        <w:rPr>
          <w:rFonts w:hint="eastAsia"/>
          <w:b/>
          <w:bCs/>
        </w:rPr>
        <w:t>ntro</w:t>
      </w:r>
      <w:r>
        <w:rPr>
          <w:b/>
          <w:bCs/>
        </w:rPr>
        <w:t>duction</w:t>
      </w:r>
    </w:p>
    <w:p w14:paraId="771DDBCD" w14:textId="0E86FD7F" w:rsidR="00952029" w:rsidRPr="00E95ADD" w:rsidRDefault="009411E6">
      <w:pPr>
        <w:widowControl/>
        <w:spacing w:after="0" w:line="240" w:lineRule="auto"/>
        <w:jc w:val="left"/>
      </w:pPr>
      <w:r>
        <w:t>There are various uncertainties and risks in our unstable world.</w:t>
      </w:r>
      <w:r>
        <w:rPr>
          <w:rFonts w:hint="eastAsia"/>
        </w:rPr>
        <w:t xml:space="preserve"> </w:t>
      </w:r>
      <w:r>
        <w:t xml:space="preserve">For my term project, I plan to analyze and model sovereign debt crisis. A debt crisis occurs when a country cannot repay its government debt. When government's tax revenue is chronically lower than its spending, a country is in a debt crisis. Usually, the government mainly raises money through taxes to finance its spending, but when tax revenue falls short, the government makes up the difference by issuing debt. This is largely achieved by selling government Treasury bills to investors on </w:t>
      </w:r>
      <w:r w:rsidRPr="00E95ADD">
        <w:t>the domestic or external market. Recently, sovereign debt crises were in different forms</w:t>
      </w:r>
      <w:r w:rsidR="00A6247F" w:rsidRPr="00E95ADD">
        <w:t xml:space="preserve"> [</w:t>
      </w:r>
      <w:r w:rsidR="00E95ADD" w:rsidRPr="00E95ADD">
        <w:t>1</w:t>
      </w:r>
      <w:r w:rsidR="00A6247F" w:rsidRPr="00E95ADD">
        <w:t>]</w:t>
      </w:r>
      <w:r w:rsidRPr="00E95ADD">
        <w:t xml:space="preserve">: one was direct default on domestic and external debt, the other one is liquidity crises in an illiquid rather than insolvent country, which means the investors’ unwillingness to roll over short-term debts. </w:t>
      </w:r>
    </w:p>
    <w:p w14:paraId="4F862D86" w14:textId="77777777" w:rsidR="00952029" w:rsidRPr="00E95ADD" w:rsidRDefault="00952029">
      <w:pPr>
        <w:widowControl/>
        <w:spacing w:after="0" w:line="240" w:lineRule="auto"/>
        <w:jc w:val="left"/>
      </w:pPr>
    </w:p>
    <w:p w14:paraId="698D56CD" w14:textId="0271A756" w:rsidR="00952029" w:rsidRDefault="009411E6">
      <w:pPr>
        <w:widowControl/>
        <w:spacing w:after="0" w:line="240" w:lineRule="auto"/>
        <w:jc w:val="left"/>
      </w:pPr>
      <w:r w:rsidRPr="00E95ADD">
        <w:t>When COVID-19 pandemic occurred, economic recovery is much slower than before, and sovereign debt has spiked. Looming debt crises caused accelerated inflation and price instability in many countries. Large differences in vaccination rates between countries also led to global economic divergence. Polarized connectivity like income disparities, political inequality furtherly led economic migration, social cohesion, especially those developing countries. [</w:t>
      </w:r>
      <w:r w:rsidR="00E95ADD">
        <w:t>2</w:t>
      </w:r>
      <w:r w:rsidRPr="00E95ADD">
        <w:t>]</w:t>
      </w:r>
    </w:p>
    <w:p w14:paraId="6E47F09A" w14:textId="77777777" w:rsidR="00952029" w:rsidRDefault="00952029">
      <w:pPr>
        <w:widowControl/>
        <w:spacing w:after="0" w:line="240" w:lineRule="auto"/>
        <w:jc w:val="left"/>
      </w:pPr>
    </w:p>
    <w:p w14:paraId="58E646FE" w14:textId="77777777" w:rsidR="00952029" w:rsidRDefault="009411E6">
      <w:pPr>
        <w:widowControl/>
        <w:spacing w:after="0" w:line="240" w:lineRule="auto"/>
        <w:jc w:val="left"/>
      </w:pPr>
      <w:r>
        <w:t xml:space="preserve">This report aims at modeling sovereign debt crisis. The precipitating events of sovereign debt crisis will be analyzed first by using CART (classification and regression tree). The probabilities for precipitating events will be estimated by global economic data for the period from 1970 to 2002. This report will also predict the probability of sovereign debt crisis in the US during pandemic and the influence of each preventative actions on reducing sovereign debt risk by using Monte Carlo simulation. </w:t>
      </w:r>
    </w:p>
    <w:p w14:paraId="153E72A4" w14:textId="77777777" w:rsidR="00952029" w:rsidRDefault="00952029">
      <w:pPr>
        <w:spacing w:line="240" w:lineRule="auto"/>
      </w:pPr>
    </w:p>
    <w:p w14:paraId="17C0B46E" w14:textId="77777777" w:rsidR="00952029" w:rsidRDefault="009411E6">
      <w:pPr>
        <w:spacing w:line="240" w:lineRule="auto"/>
        <w:rPr>
          <w:b/>
          <w:bCs/>
        </w:rPr>
      </w:pPr>
      <w:r>
        <w:rPr>
          <w:b/>
          <w:bCs/>
        </w:rPr>
        <w:t>Descriptive Statistics on Data</w:t>
      </w:r>
    </w:p>
    <w:p w14:paraId="56D691F0" w14:textId="76A8AF44" w:rsidR="00952029" w:rsidRDefault="009411E6">
      <w:pPr>
        <w:widowControl/>
        <w:spacing w:after="0" w:line="240" w:lineRule="auto"/>
        <w:jc w:val="left"/>
      </w:pPr>
      <w:r>
        <w:t>To build CART and estimate probabilities for the possible states of each precipitating event, the dataset includes economic data of 1276 episodes with market access in 79 countries for the period 1970 to 20</w:t>
      </w:r>
      <w:r w:rsidR="00A6247F">
        <w:t>1</w:t>
      </w:r>
      <w:r>
        <w:t>2</w:t>
      </w:r>
      <w:r w:rsidRPr="00E95ADD">
        <w:t>. [3] It summaries</w:t>
      </w:r>
      <w:r>
        <w:t xml:space="preserve"> the countries, debt-crisis episodes, and related number of crises. The </w:t>
      </w:r>
      <w:bookmarkStart w:id="0" w:name="_Hlk101387475"/>
      <w:r>
        <w:t>numbers of crisis and non-crisis episodes</w:t>
      </w:r>
      <w:bookmarkEnd w:id="0"/>
      <w:r>
        <w:t xml:space="preserve"> are displayed as following (</w:t>
      </w:r>
      <w:r>
        <w:rPr>
          <w:i/>
          <w:iCs/>
        </w:rPr>
        <w:t>Table 1</w:t>
      </w:r>
      <w:r>
        <w:t xml:space="preserve">). </w:t>
      </w:r>
    </w:p>
    <w:tbl>
      <w:tblPr>
        <w:tblpPr w:leftFromText="180" w:rightFromText="180" w:vertAnchor="text" w:horzAnchor="margin" w:tblpXSpec="center" w:tblpY="462"/>
        <w:tblW w:w="6540" w:type="dxa"/>
        <w:tblLook w:val="04A0" w:firstRow="1" w:lastRow="0" w:firstColumn="1" w:lastColumn="0" w:noHBand="0" w:noVBand="1"/>
      </w:tblPr>
      <w:tblGrid>
        <w:gridCol w:w="2560"/>
        <w:gridCol w:w="3020"/>
        <w:gridCol w:w="960"/>
      </w:tblGrid>
      <w:tr w:rsidR="00952029" w14:paraId="7C43F540" w14:textId="77777777">
        <w:trPr>
          <w:trHeight w:val="300"/>
        </w:trPr>
        <w:tc>
          <w:tcPr>
            <w:tcW w:w="2560" w:type="dxa"/>
            <w:tcBorders>
              <w:top w:val="nil"/>
              <w:left w:val="nil"/>
              <w:bottom w:val="nil"/>
              <w:right w:val="nil"/>
            </w:tcBorders>
            <w:shd w:val="clear" w:color="auto" w:fill="auto"/>
            <w:noWrap/>
            <w:vAlign w:val="center"/>
          </w:tcPr>
          <w:p w14:paraId="00A983F3" w14:textId="77777777" w:rsidR="00952029" w:rsidRDefault="009411E6">
            <w:pPr>
              <w:widowControl/>
              <w:spacing w:after="0" w:line="240" w:lineRule="auto"/>
              <w:jc w:val="center"/>
              <w:rPr>
                <w:rFonts w:ascii="Calibri" w:eastAsia="Times New Roman" w:hAnsi="Calibri" w:cs="Calibri"/>
                <w:color w:val="000000"/>
              </w:rPr>
            </w:pPr>
            <w:r>
              <w:rPr>
                <w:rFonts w:ascii="Calibri" w:eastAsia="Times New Roman" w:hAnsi="Calibri" w:cs="Calibri"/>
                <w:color w:val="000000"/>
              </w:rPr>
              <w:t>Number of Crisis Episodes</w:t>
            </w:r>
          </w:p>
        </w:tc>
        <w:tc>
          <w:tcPr>
            <w:tcW w:w="3020" w:type="dxa"/>
            <w:tcBorders>
              <w:top w:val="nil"/>
              <w:left w:val="nil"/>
              <w:bottom w:val="nil"/>
              <w:right w:val="nil"/>
            </w:tcBorders>
            <w:shd w:val="clear" w:color="auto" w:fill="auto"/>
            <w:noWrap/>
            <w:vAlign w:val="center"/>
          </w:tcPr>
          <w:p w14:paraId="0237BA01" w14:textId="77777777" w:rsidR="00952029" w:rsidRDefault="009411E6">
            <w:pPr>
              <w:widowControl/>
              <w:spacing w:after="0" w:line="240" w:lineRule="auto"/>
              <w:jc w:val="center"/>
              <w:rPr>
                <w:rFonts w:ascii="Calibri" w:eastAsia="Times New Roman" w:hAnsi="Calibri" w:cs="Calibri"/>
                <w:color w:val="000000"/>
              </w:rPr>
            </w:pPr>
            <w:r>
              <w:rPr>
                <w:rFonts w:ascii="Calibri" w:eastAsia="Times New Roman" w:hAnsi="Calibri" w:cs="Calibri"/>
                <w:color w:val="000000"/>
              </w:rPr>
              <w:t>Number of non-Crisis Episodes</w:t>
            </w:r>
          </w:p>
        </w:tc>
        <w:tc>
          <w:tcPr>
            <w:tcW w:w="960" w:type="dxa"/>
            <w:tcBorders>
              <w:top w:val="nil"/>
              <w:left w:val="nil"/>
              <w:bottom w:val="nil"/>
              <w:right w:val="nil"/>
            </w:tcBorders>
            <w:shd w:val="clear" w:color="auto" w:fill="auto"/>
            <w:noWrap/>
            <w:vAlign w:val="center"/>
          </w:tcPr>
          <w:p w14:paraId="2EE758BC" w14:textId="77777777" w:rsidR="00952029" w:rsidRDefault="009411E6">
            <w:pPr>
              <w:widowControl/>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Total </w:t>
            </w:r>
          </w:p>
        </w:tc>
      </w:tr>
      <w:tr w:rsidR="00952029" w14:paraId="2C689DA2" w14:textId="77777777">
        <w:trPr>
          <w:trHeight w:val="300"/>
        </w:trPr>
        <w:tc>
          <w:tcPr>
            <w:tcW w:w="2560" w:type="dxa"/>
            <w:tcBorders>
              <w:top w:val="nil"/>
              <w:left w:val="nil"/>
              <w:bottom w:val="nil"/>
              <w:right w:val="nil"/>
            </w:tcBorders>
            <w:shd w:val="clear" w:color="auto" w:fill="auto"/>
            <w:noWrap/>
            <w:vAlign w:val="center"/>
          </w:tcPr>
          <w:p w14:paraId="56249EB5" w14:textId="77777777" w:rsidR="00952029" w:rsidRDefault="009411E6">
            <w:pPr>
              <w:widowControl/>
              <w:spacing w:after="0" w:line="240" w:lineRule="auto"/>
              <w:jc w:val="center"/>
              <w:rPr>
                <w:rFonts w:ascii="Calibri" w:eastAsia="Times New Roman" w:hAnsi="Calibri" w:cs="Calibri"/>
                <w:color w:val="000000"/>
              </w:rPr>
            </w:pPr>
            <w:r>
              <w:rPr>
                <w:rFonts w:ascii="Calibri" w:eastAsia="Times New Roman" w:hAnsi="Calibri" w:cs="Calibri"/>
                <w:color w:val="000000"/>
              </w:rPr>
              <w:t>261</w:t>
            </w:r>
          </w:p>
        </w:tc>
        <w:tc>
          <w:tcPr>
            <w:tcW w:w="3020" w:type="dxa"/>
            <w:tcBorders>
              <w:top w:val="nil"/>
              <w:left w:val="nil"/>
              <w:bottom w:val="nil"/>
              <w:right w:val="nil"/>
            </w:tcBorders>
            <w:shd w:val="clear" w:color="auto" w:fill="auto"/>
            <w:noWrap/>
            <w:vAlign w:val="center"/>
          </w:tcPr>
          <w:p w14:paraId="55E97120" w14:textId="77777777" w:rsidR="00952029" w:rsidRDefault="009411E6">
            <w:pPr>
              <w:widowControl/>
              <w:spacing w:after="0" w:line="240" w:lineRule="auto"/>
              <w:jc w:val="center"/>
              <w:rPr>
                <w:rFonts w:ascii="Calibri" w:eastAsia="Times New Roman" w:hAnsi="Calibri" w:cs="Calibri"/>
                <w:color w:val="000000"/>
              </w:rPr>
            </w:pPr>
            <w:r>
              <w:rPr>
                <w:rFonts w:ascii="Calibri" w:eastAsia="Times New Roman" w:hAnsi="Calibri" w:cs="Calibri"/>
                <w:color w:val="000000"/>
              </w:rPr>
              <w:t>1015</w:t>
            </w:r>
          </w:p>
        </w:tc>
        <w:tc>
          <w:tcPr>
            <w:tcW w:w="960" w:type="dxa"/>
            <w:tcBorders>
              <w:top w:val="nil"/>
              <w:left w:val="nil"/>
              <w:bottom w:val="nil"/>
              <w:right w:val="nil"/>
            </w:tcBorders>
            <w:shd w:val="clear" w:color="auto" w:fill="auto"/>
            <w:noWrap/>
            <w:vAlign w:val="center"/>
          </w:tcPr>
          <w:p w14:paraId="77A5BDA0" w14:textId="77777777" w:rsidR="00952029" w:rsidRDefault="009411E6">
            <w:pPr>
              <w:widowControl/>
              <w:spacing w:after="0" w:line="240" w:lineRule="auto"/>
              <w:jc w:val="center"/>
              <w:rPr>
                <w:rFonts w:ascii="Calibri" w:eastAsia="Times New Roman" w:hAnsi="Calibri" w:cs="Calibri"/>
                <w:color w:val="000000"/>
              </w:rPr>
            </w:pPr>
            <w:r>
              <w:rPr>
                <w:rFonts w:ascii="Calibri" w:eastAsia="Times New Roman" w:hAnsi="Calibri" w:cs="Calibri"/>
                <w:color w:val="000000"/>
              </w:rPr>
              <w:t>1276</w:t>
            </w:r>
          </w:p>
        </w:tc>
      </w:tr>
    </w:tbl>
    <w:p w14:paraId="44742917" w14:textId="77777777" w:rsidR="00952029" w:rsidRDefault="00952029">
      <w:pPr>
        <w:widowControl/>
        <w:spacing w:after="0" w:line="240" w:lineRule="auto"/>
        <w:jc w:val="left"/>
      </w:pPr>
    </w:p>
    <w:p w14:paraId="37593E02" w14:textId="77777777" w:rsidR="00952029" w:rsidRDefault="00952029">
      <w:pPr>
        <w:widowControl/>
        <w:spacing w:after="0" w:line="240" w:lineRule="auto"/>
        <w:jc w:val="left"/>
      </w:pPr>
    </w:p>
    <w:p w14:paraId="0D013FE3" w14:textId="77777777" w:rsidR="00B66114" w:rsidRDefault="00B66114">
      <w:pPr>
        <w:widowControl/>
        <w:spacing w:line="240" w:lineRule="auto"/>
        <w:jc w:val="center"/>
        <w:rPr>
          <w:i/>
          <w:iCs/>
          <w:sz w:val="18"/>
          <w:szCs w:val="18"/>
        </w:rPr>
      </w:pPr>
    </w:p>
    <w:p w14:paraId="0E748E58" w14:textId="77777777" w:rsidR="00B66114" w:rsidRDefault="00B66114">
      <w:pPr>
        <w:widowControl/>
        <w:spacing w:line="240" w:lineRule="auto"/>
        <w:jc w:val="center"/>
        <w:rPr>
          <w:i/>
          <w:iCs/>
          <w:sz w:val="18"/>
          <w:szCs w:val="18"/>
        </w:rPr>
      </w:pPr>
    </w:p>
    <w:p w14:paraId="255147EA" w14:textId="77777777" w:rsidR="00B66114" w:rsidRDefault="00B66114">
      <w:pPr>
        <w:widowControl/>
        <w:spacing w:line="240" w:lineRule="auto"/>
        <w:jc w:val="center"/>
        <w:rPr>
          <w:i/>
          <w:iCs/>
          <w:sz w:val="18"/>
          <w:szCs w:val="18"/>
        </w:rPr>
      </w:pPr>
    </w:p>
    <w:p w14:paraId="75ACA6B8" w14:textId="28858523" w:rsidR="00952029" w:rsidRDefault="009411E6">
      <w:pPr>
        <w:widowControl/>
        <w:spacing w:line="240" w:lineRule="auto"/>
        <w:jc w:val="center"/>
        <w:rPr>
          <w:i/>
          <w:iCs/>
          <w:sz w:val="18"/>
          <w:szCs w:val="18"/>
        </w:rPr>
      </w:pPr>
      <w:r>
        <w:rPr>
          <w:i/>
          <w:iCs/>
          <w:sz w:val="18"/>
          <w:szCs w:val="18"/>
        </w:rPr>
        <w:t>Table 1. Number of Crisis and Non-Crisis Episodes</w:t>
      </w:r>
    </w:p>
    <w:p w14:paraId="7B84D26F" w14:textId="77777777" w:rsidR="00952029" w:rsidRDefault="00952029">
      <w:pPr>
        <w:widowControl/>
        <w:spacing w:after="0" w:line="240" w:lineRule="auto"/>
        <w:jc w:val="left"/>
      </w:pPr>
    </w:p>
    <w:p w14:paraId="3189D440" w14:textId="77777777" w:rsidR="00952029" w:rsidRDefault="009411E6">
      <w:pPr>
        <w:widowControl/>
        <w:spacing w:after="0" w:line="240" w:lineRule="auto"/>
        <w:jc w:val="left"/>
      </w:pPr>
      <w:r>
        <w:lastRenderedPageBreak/>
        <w:t>There are nine variables are selected: total external debt in percent of GDP; public external debt to revenue;</w:t>
      </w:r>
      <w:r>
        <w:rPr>
          <w:rFonts w:hint="eastAsia"/>
        </w:rPr>
        <w:t xml:space="preserve"> </w:t>
      </w:r>
      <w:r>
        <w:t>short-term debt to reserves; exchange rate overvaluation</w:t>
      </w:r>
      <w:r>
        <w:rPr>
          <w:rFonts w:hint="eastAsia"/>
        </w:rPr>
        <w:t xml:space="preserve">; </w:t>
      </w:r>
      <w:r>
        <w:t>exchange rate volatility; external financing requirement to reserves</w:t>
      </w:r>
      <w:r>
        <w:rPr>
          <w:rFonts w:hint="eastAsia"/>
        </w:rPr>
        <w:t xml:space="preserve">; </w:t>
      </w:r>
      <w:r>
        <w:t xml:space="preserve">real growth; inflation; the U.S. treasury bill rate; and the number of years </w:t>
      </w:r>
      <w:r>
        <w:rPr>
          <w:rFonts w:hint="eastAsia"/>
        </w:rPr>
        <w:t xml:space="preserve">to next </w:t>
      </w:r>
      <w:r>
        <w:t xml:space="preserve">presidential election. I plotted </w:t>
      </w:r>
      <w:bookmarkStart w:id="1" w:name="_Hlk101476650"/>
      <w:r>
        <w:t xml:space="preserve">probability density functions </w:t>
      </w:r>
      <w:bookmarkEnd w:id="1"/>
      <w:r>
        <w:t>for some of these variables (</w:t>
      </w:r>
      <w:r>
        <w:rPr>
          <w:i/>
          <w:iCs/>
        </w:rPr>
        <w:t>Figure 1-8</w:t>
      </w:r>
      <w:r>
        <w:t xml:space="preserve">), and normal distributions are used to fit them. </w:t>
      </w:r>
    </w:p>
    <w:p w14:paraId="0FA072B2" w14:textId="77777777" w:rsidR="00952029" w:rsidRDefault="00952029">
      <w:pPr>
        <w:widowControl/>
        <w:spacing w:after="0" w:line="240" w:lineRule="auto"/>
        <w:jc w:val="left"/>
      </w:pPr>
    </w:p>
    <w:p w14:paraId="195CC92B" w14:textId="77777777" w:rsidR="00952029" w:rsidRDefault="009411E6">
      <w:pPr>
        <w:widowControl/>
        <w:spacing w:after="0" w:line="240" w:lineRule="auto"/>
        <w:jc w:val="left"/>
      </w:pPr>
      <w:r>
        <w:rPr>
          <w:noProof/>
        </w:rPr>
        <w:drawing>
          <wp:inline distT="0" distB="0" distL="0" distR="0" wp14:anchorId="7A6689C6" wp14:editId="4AC05BA1">
            <wp:extent cx="5274310" cy="3340100"/>
            <wp:effectExtent l="0" t="0" r="254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9E3A6F" w14:textId="77777777" w:rsidR="00952029" w:rsidRDefault="009411E6">
      <w:pPr>
        <w:widowControl/>
        <w:spacing w:after="0" w:line="240" w:lineRule="auto"/>
        <w:jc w:val="left"/>
      </w:pPr>
      <w:r>
        <w:rPr>
          <w:noProof/>
        </w:rPr>
        <w:drawing>
          <wp:inline distT="0" distB="0" distL="0" distR="0" wp14:anchorId="5087FC24" wp14:editId="0BE0C3F4">
            <wp:extent cx="5274310" cy="3435350"/>
            <wp:effectExtent l="0" t="0" r="254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C347690" w14:textId="77777777" w:rsidR="00952029" w:rsidRDefault="009411E6">
      <w:pPr>
        <w:widowControl/>
        <w:spacing w:after="0" w:line="240" w:lineRule="auto"/>
        <w:jc w:val="left"/>
      </w:pPr>
      <w:r>
        <w:rPr>
          <w:noProof/>
        </w:rPr>
        <w:lastRenderedPageBreak/>
        <w:drawing>
          <wp:inline distT="0" distB="0" distL="0" distR="0" wp14:anchorId="48CA1712" wp14:editId="0BE3E68F">
            <wp:extent cx="5229225" cy="27813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B53BAA" w14:textId="77777777" w:rsidR="00952029" w:rsidRDefault="00952029">
      <w:pPr>
        <w:widowControl/>
        <w:spacing w:after="0" w:line="240" w:lineRule="auto"/>
        <w:jc w:val="left"/>
      </w:pPr>
    </w:p>
    <w:p w14:paraId="0ABEE24C" w14:textId="77777777" w:rsidR="00952029" w:rsidRDefault="009411E6">
      <w:pPr>
        <w:widowControl/>
        <w:spacing w:after="0" w:line="240" w:lineRule="auto"/>
        <w:jc w:val="left"/>
      </w:pPr>
      <w:r>
        <w:rPr>
          <w:noProof/>
        </w:rPr>
        <w:drawing>
          <wp:inline distT="0" distB="0" distL="0" distR="0" wp14:anchorId="4110A755" wp14:editId="36F0483D">
            <wp:extent cx="5210175" cy="32766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7FC22B3" w14:textId="77777777" w:rsidR="00952029" w:rsidRDefault="009411E6">
      <w:pPr>
        <w:widowControl/>
        <w:spacing w:after="0" w:line="240" w:lineRule="auto"/>
        <w:jc w:val="left"/>
      </w:pPr>
      <w:r>
        <w:rPr>
          <w:noProof/>
        </w:rPr>
        <w:lastRenderedPageBreak/>
        <w:drawing>
          <wp:inline distT="0" distB="0" distL="0" distR="0" wp14:anchorId="3B101644" wp14:editId="7332FAD4">
            <wp:extent cx="5210175" cy="285750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ECC037E" w14:textId="77777777" w:rsidR="00952029" w:rsidRDefault="00952029">
      <w:pPr>
        <w:widowControl/>
        <w:spacing w:after="0" w:line="240" w:lineRule="auto"/>
        <w:jc w:val="left"/>
      </w:pPr>
    </w:p>
    <w:p w14:paraId="73AEEA23" w14:textId="77777777" w:rsidR="00952029" w:rsidRDefault="009411E6">
      <w:pPr>
        <w:widowControl/>
        <w:spacing w:after="0" w:line="240" w:lineRule="auto"/>
        <w:jc w:val="left"/>
      </w:pPr>
      <w:r>
        <w:rPr>
          <w:noProof/>
        </w:rPr>
        <w:drawing>
          <wp:inline distT="0" distB="0" distL="0" distR="0" wp14:anchorId="05CD85D7" wp14:editId="38942F18">
            <wp:extent cx="5248275" cy="274320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8593A2D" w14:textId="77777777" w:rsidR="00952029" w:rsidRDefault="009411E6">
      <w:pPr>
        <w:widowControl/>
        <w:spacing w:after="0" w:line="240" w:lineRule="auto"/>
        <w:jc w:val="left"/>
      </w:pPr>
      <w:r>
        <w:rPr>
          <w:noProof/>
        </w:rPr>
        <w:drawing>
          <wp:inline distT="0" distB="0" distL="0" distR="0" wp14:anchorId="27DF8915" wp14:editId="459AAA8B">
            <wp:extent cx="5248275" cy="291465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21994C2" w14:textId="77777777" w:rsidR="00952029" w:rsidRDefault="009411E6">
      <w:pPr>
        <w:widowControl/>
        <w:spacing w:after="0" w:line="240" w:lineRule="auto"/>
        <w:jc w:val="left"/>
      </w:pPr>
      <w:r>
        <w:rPr>
          <w:noProof/>
        </w:rPr>
        <w:lastRenderedPageBreak/>
        <w:drawing>
          <wp:inline distT="0" distB="0" distL="0" distR="0" wp14:anchorId="598D6E03" wp14:editId="21C248ED">
            <wp:extent cx="5305425" cy="329565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6CAA19" w14:textId="77777777" w:rsidR="00952029" w:rsidRDefault="00952029">
      <w:pPr>
        <w:widowControl/>
        <w:spacing w:after="0" w:line="240" w:lineRule="auto"/>
        <w:jc w:val="left"/>
      </w:pPr>
    </w:p>
    <w:p w14:paraId="55C64FD5" w14:textId="77777777" w:rsidR="00952029" w:rsidRDefault="009411E6">
      <w:pPr>
        <w:widowControl/>
        <w:spacing w:line="240" w:lineRule="auto"/>
        <w:jc w:val="center"/>
        <w:rPr>
          <w:i/>
          <w:iCs/>
          <w:sz w:val="18"/>
          <w:szCs w:val="18"/>
        </w:rPr>
      </w:pPr>
      <w:r>
        <w:rPr>
          <w:i/>
          <w:iCs/>
          <w:sz w:val="18"/>
          <w:szCs w:val="18"/>
        </w:rPr>
        <w:t>Figure 1-8. Probability Density Functions for some Variables</w:t>
      </w:r>
    </w:p>
    <w:p w14:paraId="33F1748C" w14:textId="77777777" w:rsidR="00952029" w:rsidRDefault="00952029">
      <w:pPr>
        <w:widowControl/>
        <w:spacing w:after="0" w:line="240" w:lineRule="auto"/>
        <w:jc w:val="left"/>
      </w:pPr>
    </w:p>
    <w:p w14:paraId="5110F45A" w14:textId="1C350C00" w:rsidR="00952029" w:rsidRDefault="009411E6">
      <w:pPr>
        <w:widowControl/>
        <w:spacing w:after="0" w:line="240" w:lineRule="auto"/>
        <w:jc w:val="left"/>
      </w:pPr>
      <w:r>
        <w:t xml:space="preserve">The rule to identify a debt-crisis is based on Standard &amp; Poor’s and International Monetary Fund (IMF) lending data. A country is defined as in debt crisis if Standard &amp; Poor's considers it in default, or if it receives loans from the IMF that exceed 100% of its quota. Standard &amp; Poor's rates </w:t>
      </w:r>
      <w:r w:rsidRPr="00E95ADD">
        <w:t xml:space="preserve">sovereign issuer default if a country fails to pay principal or interest on its external debt at the due date. </w:t>
      </w:r>
      <w:r w:rsidR="00E73842" w:rsidRPr="00E95ADD">
        <w:t>[</w:t>
      </w:r>
      <w:r w:rsidR="00E95ADD">
        <w:t>4]</w:t>
      </w:r>
      <w:r w:rsidR="00E73842" w:rsidRPr="00E95ADD">
        <w:t xml:space="preserve"> </w:t>
      </w:r>
      <w:r w:rsidRPr="00E95ADD">
        <w:t>External</w:t>
      </w:r>
      <w:r>
        <w:t xml:space="preserve"> debt and public debt data is derived from Global Development Finance database (GDF) and IMF sources. Public finance data and other macroeconomic variables are from the IMF’s World Economic Outlook database as well as the Government Finance Statistics database (GFS). </w:t>
      </w:r>
    </w:p>
    <w:p w14:paraId="127B0434" w14:textId="77777777" w:rsidR="00952029" w:rsidRDefault="00952029">
      <w:pPr>
        <w:widowControl/>
        <w:spacing w:after="0" w:line="240" w:lineRule="auto"/>
        <w:jc w:val="left"/>
      </w:pPr>
    </w:p>
    <w:p w14:paraId="145CFAC3" w14:textId="77777777" w:rsidR="00952029" w:rsidRDefault="009411E6">
      <w:pPr>
        <w:widowControl/>
        <w:spacing w:after="0" w:line="240" w:lineRule="auto"/>
        <w:jc w:val="left"/>
      </w:pPr>
      <w:r>
        <w:t xml:space="preserve">To predict the probability of sovereign debt crisis in the US during pandemic, I collected data of total external debt, inflation, external financing requirement, and public external debt from US Department of Treasury. </w:t>
      </w:r>
    </w:p>
    <w:p w14:paraId="4E0CC356" w14:textId="77777777" w:rsidR="00952029" w:rsidRDefault="00952029">
      <w:pPr>
        <w:widowControl/>
        <w:spacing w:after="0" w:line="240" w:lineRule="auto"/>
        <w:jc w:val="left"/>
      </w:pPr>
    </w:p>
    <w:p w14:paraId="5AAE926E" w14:textId="77777777" w:rsidR="00952029" w:rsidRDefault="00952029">
      <w:pPr>
        <w:widowControl/>
        <w:spacing w:after="0" w:line="240" w:lineRule="auto"/>
        <w:jc w:val="left"/>
      </w:pPr>
    </w:p>
    <w:p w14:paraId="76347E25" w14:textId="77777777" w:rsidR="00952029" w:rsidRDefault="00952029">
      <w:pPr>
        <w:widowControl/>
        <w:spacing w:after="0" w:line="240" w:lineRule="auto"/>
        <w:jc w:val="left"/>
      </w:pPr>
    </w:p>
    <w:p w14:paraId="56D838C4" w14:textId="77777777" w:rsidR="00952029" w:rsidRDefault="009411E6">
      <w:pPr>
        <w:spacing w:line="240" w:lineRule="auto"/>
        <w:rPr>
          <w:b/>
          <w:bCs/>
        </w:rPr>
      </w:pPr>
      <w:r>
        <w:rPr>
          <w:b/>
          <w:bCs/>
        </w:rPr>
        <w:t>The Classification and Regression Tree Analysis</w:t>
      </w:r>
    </w:p>
    <w:p w14:paraId="4006A3A0" w14:textId="77777777" w:rsidR="00952029" w:rsidRDefault="009411E6">
      <w:pPr>
        <w:spacing w:line="240" w:lineRule="auto"/>
        <w:rPr>
          <w:b/>
          <w:bCs/>
          <w:i/>
          <w:iCs/>
          <w:sz w:val="20"/>
          <w:szCs w:val="20"/>
        </w:rPr>
      </w:pPr>
      <w:r>
        <w:rPr>
          <w:b/>
          <w:bCs/>
          <w:i/>
          <w:iCs/>
          <w:sz w:val="20"/>
          <w:szCs w:val="20"/>
        </w:rPr>
        <w:t>CART Tree</w:t>
      </w:r>
    </w:p>
    <w:p w14:paraId="59C00498" w14:textId="6646E79C" w:rsidR="00952029" w:rsidRDefault="009411E6">
      <w:pPr>
        <w:spacing w:line="240" w:lineRule="auto"/>
      </w:pPr>
      <w:r>
        <w:t>I use a statistical technique called classification and regression tree (CART) analysis (</w:t>
      </w:r>
      <w:r>
        <w:rPr>
          <w:i/>
          <w:iCs/>
        </w:rPr>
        <w:t>Figure 9)</w:t>
      </w:r>
      <w:r>
        <w:t xml:space="preserve"> to identify possible non-linear interactions between potential variables, which can help analyze precipitating events for a debt crisis and predict the probability of a crisis. The CART tree produces a set of rules to predict a binary result. It is nonparametric and can detect complex relationships between dependent and explanatory variables. It is</w:t>
      </w:r>
      <w:r w:rsidR="00642069">
        <w:t xml:space="preserve"> </w:t>
      </w:r>
      <w:r>
        <w:t xml:space="preserve">particularly well suited to discovering nonlinear structures and variable interactions in data sets with many potential explanatory </w:t>
      </w:r>
      <w:r w:rsidRPr="00F5309D">
        <w:t xml:space="preserve">variables. </w:t>
      </w:r>
      <w:r w:rsidR="00642069" w:rsidRPr="00F5309D">
        <w:t>[</w:t>
      </w:r>
      <w:r w:rsidR="00F5309D">
        <w:t>5</w:t>
      </w:r>
      <w:r w:rsidR="00642069" w:rsidRPr="00F5309D">
        <w:t xml:space="preserve">] </w:t>
      </w:r>
      <w:r w:rsidRPr="00F5309D">
        <w:t>Rules</w:t>
      </w:r>
      <w:r>
        <w:t xml:space="preserve"> are selected to reduce heterogeneity between the result group and the larger group where the rules are applied. </w:t>
      </w:r>
      <w:r>
        <w:lastRenderedPageBreak/>
        <w:t>Observations of specific groups have the same characteristics according to their classification rules.</w:t>
      </w:r>
    </w:p>
    <w:p w14:paraId="367D2265" w14:textId="77777777" w:rsidR="00952029" w:rsidRDefault="00952029">
      <w:pPr>
        <w:spacing w:line="240" w:lineRule="auto"/>
      </w:pPr>
    </w:p>
    <w:p w14:paraId="799D5B19" w14:textId="77777777" w:rsidR="00952029" w:rsidRDefault="009411E6">
      <w:pPr>
        <w:widowControl/>
        <w:spacing w:line="240" w:lineRule="auto"/>
        <w:jc w:val="left"/>
      </w:pPr>
      <w:r>
        <w:t xml:space="preserve">The probabilities in the tree are estimated by the frequencies of crisis episodes in each state using economic data during the period of 1970 to 2022. The probabilities on the branches are conditional probabilities of debt crisis, while those on the terminals are probabilities of outcomes. </w:t>
      </w:r>
    </w:p>
    <w:p w14:paraId="24BCC931" w14:textId="77777777" w:rsidR="00952029" w:rsidRDefault="00952029">
      <w:pPr>
        <w:widowControl/>
        <w:spacing w:line="240" w:lineRule="auto"/>
        <w:jc w:val="left"/>
      </w:pPr>
    </w:p>
    <w:p w14:paraId="797F210F" w14:textId="77777777" w:rsidR="00952029" w:rsidRDefault="009411E6">
      <w:pPr>
        <w:widowControl/>
        <w:spacing w:line="240" w:lineRule="auto"/>
        <w:jc w:val="left"/>
      </w:pPr>
      <w:r>
        <w:t xml:space="preserve">To evaluate the likelihood of sovereign debt crisis appearing in a government, I define it as crisis prone when the probability of a crisis is greater than or equal to 40%, which is represented by red nodes in CART tree. The resulting tree divides observations into crisis-prone and non-crisis-prone according to some features and their interactions. </w:t>
      </w:r>
    </w:p>
    <w:p w14:paraId="1D242880" w14:textId="77777777" w:rsidR="00952029" w:rsidRDefault="00952029">
      <w:pPr>
        <w:widowControl/>
        <w:spacing w:line="240" w:lineRule="auto"/>
        <w:jc w:val="left"/>
      </w:pPr>
    </w:p>
    <w:p w14:paraId="0F326748" w14:textId="77777777" w:rsidR="00952029" w:rsidRDefault="009411E6">
      <w:pPr>
        <w:widowControl/>
        <w:spacing w:line="240" w:lineRule="auto"/>
        <w:jc w:val="left"/>
      </w:pPr>
      <w:r>
        <w:t xml:space="preserve">The first split rule is external debt in percent of GDP: episodes with low external debt (less than 50 percent of GDP) go down, with conditional crisis probability of 24.13 percent; episodes with high external debt go up, then the second rule splits the episodes into high inflation (larger than 10.47 percent, with conditional crisis probability of 66.8 percent) and low inflation (with conditional crisis probability of 22.95 percent). </w:t>
      </w:r>
    </w:p>
    <w:p w14:paraId="1BB0F227" w14:textId="77777777" w:rsidR="00952029" w:rsidRDefault="009411E6">
      <w:pPr>
        <w:widowControl/>
        <w:spacing w:line="240" w:lineRule="auto"/>
        <w:jc w:val="center"/>
      </w:pPr>
      <w:r>
        <w:rPr>
          <w:noProof/>
        </w:rPr>
        <w:lastRenderedPageBreak/>
        <w:drawing>
          <wp:inline distT="0" distB="0" distL="0" distR="0" wp14:anchorId="35746BCA" wp14:editId="4E57E6FE">
            <wp:extent cx="5226685" cy="872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a:extLst>
                        <a:ext uri="{28A0092B-C50C-407E-A947-70E740481C1C}">
                          <a14:useLocalDpi xmlns:a14="http://schemas.microsoft.com/office/drawing/2010/main" val="0"/>
                        </a:ext>
                      </a:extLst>
                    </a:blip>
                    <a:srcRect l="2682" t="5815" r="25806" b="9720"/>
                    <a:stretch>
                      <a:fillRect/>
                    </a:stretch>
                  </pic:blipFill>
                  <pic:spPr>
                    <a:xfrm>
                      <a:off x="0" y="0"/>
                      <a:ext cx="5248606" cy="8766358"/>
                    </a:xfrm>
                    <a:prstGeom prst="rect">
                      <a:avLst/>
                    </a:prstGeom>
                    <a:noFill/>
                    <a:ln>
                      <a:noFill/>
                    </a:ln>
                  </pic:spPr>
                </pic:pic>
              </a:graphicData>
            </a:graphic>
          </wp:inline>
        </w:drawing>
      </w:r>
    </w:p>
    <w:p w14:paraId="6E467019" w14:textId="77777777" w:rsidR="00952029" w:rsidRDefault="009411E6">
      <w:pPr>
        <w:widowControl/>
        <w:spacing w:line="240" w:lineRule="auto"/>
        <w:jc w:val="center"/>
        <w:rPr>
          <w:i/>
          <w:iCs/>
          <w:sz w:val="18"/>
          <w:szCs w:val="18"/>
        </w:rPr>
      </w:pPr>
      <w:r>
        <w:rPr>
          <w:i/>
          <w:iCs/>
          <w:sz w:val="18"/>
          <w:szCs w:val="18"/>
        </w:rPr>
        <w:lastRenderedPageBreak/>
        <w:t>Figure 9. The CART Tree</w:t>
      </w:r>
    </w:p>
    <w:p w14:paraId="1F475630" w14:textId="77777777" w:rsidR="00952029" w:rsidRDefault="00952029">
      <w:pPr>
        <w:spacing w:line="240" w:lineRule="auto"/>
        <w:rPr>
          <w:b/>
          <w:bCs/>
          <w:i/>
          <w:iCs/>
          <w:sz w:val="20"/>
          <w:szCs w:val="20"/>
        </w:rPr>
      </w:pPr>
    </w:p>
    <w:p w14:paraId="0EC22085" w14:textId="77777777" w:rsidR="00952029" w:rsidRDefault="009411E6">
      <w:pPr>
        <w:spacing w:line="240" w:lineRule="auto"/>
        <w:rPr>
          <w:b/>
          <w:bCs/>
          <w:i/>
          <w:iCs/>
          <w:sz w:val="20"/>
          <w:szCs w:val="20"/>
        </w:rPr>
      </w:pPr>
      <w:r>
        <w:rPr>
          <w:b/>
          <w:bCs/>
          <w:i/>
          <w:iCs/>
          <w:sz w:val="20"/>
          <w:szCs w:val="20"/>
        </w:rPr>
        <w:t>Result</w:t>
      </w:r>
    </w:p>
    <w:p w14:paraId="486640D1" w14:textId="77777777" w:rsidR="00952029" w:rsidRDefault="009411E6">
      <w:pPr>
        <w:widowControl/>
        <w:spacing w:line="240" w:lineRule="auto"/>
        <w:jc w:val="left"/>
      </w:pPr>
      <w:r>
        <w:t xml:space="preserve">There are several interesting results shown in the CART tree. The state that is more favorable for reducing the risk of being in a crisis episode are low external debt, low short-term debt to reserves on a remaining maturity basis (below 1.34) and low public external debt to revenue (below 2.15), coupled with high economic growth. There is the largest number of episodes under this circumstance, but there is the lowest possibility to incur default risk, which is only 2.3 percent, see Node 23 and 24. </w:t>
      </w:r>
    </w:p>
    <w:p w14:paraId="15D17C1A" w14:textId="77777777" w:rsidR="00952029" w:rsidRDefault="00952029">
      <w:pPr>
        <w:widowControl/>
        <w:spacing w:line="240" w:lineRule="auto"/>
        <w:jc w:val="left"/>
      </w:pPr>
    </w:p>
    <w:p w14:paraId="2092B3AF" w14:textId="77777777" w:rsidR="00952029" w:rsidRDefault="009411E6">
      <w:pPr>
        <w:widowControl/>
        <w:spacing w:line="240" w:lineRule="auto"/>
        <w:jc w:val="left"/>
      </w:pPr>
      <w:r>
        <w:t xml:space="preserve">However, it is displayed that episodes of high external debt (more than 50 percent of GDP) and high inflation (larger than 10.47 percent) incur the largest default risk, 66.8 percent. More than half of all the crisis episodes in this state, see Node 1. </w:t>
      </w:r>
    </w:p>
    <w:p w14:paraId="370409EE" w14:textId="77777777" w:rsidR="00952029" w:rsidRDefault="00952029">
      <w:pPr>
        <w:widowControl/>
        <w:spacing w:line="240" w:lineRule="auto"/>
        <w:jc w:val="left"/>
      </w:pPr>
    </w:p>
    <w:p w14:paraId="30FDC2A2" w14:textId="77777777" w:rsidR="00952029" w:rsidRDefault="009411E6">
      <w:pPr>
        <w:spacing w:line="240" w:lineRule="auto"/>
      </w:pPr>
      <w:r>
        <w:t>Additionally, according to the definition of sovereign debt crisis, it is often caused by unaffordable debt, but it is surprising that low external debt is not enough to remove debt crisis risk. When external debt is lower than 50 percent of GDP but higher than 19.1 percent with stable historical exchange rate (exchange rate volatility is lower than 27.88) and uncertain politics (year to next presidential election &gt; 5.5), the default risk is high, see Node 15. When US T-bill rate is higher than 9.72 percent with low external debt and stable politics, the default risk is high, see Node 9. So does N</w:t>
      </w:r>
      <w:r>
        <w:rPr>
          <w:rFonts w:hint="eastAsia"/>
        </w:rPr>
        <w:t>ode</w:t>
      </w:r>
      <w:r>
        <w:t xml:space="preserve"> 19 and 25.</w:t>
      </w:r>
    </w:p>
    <w:p w14:paraId="12208C28" w14:textId="77777777" w:rsidR="00952029" w:rsidRDefault="00952029">
      <w:pPr>
        <w:spacing w:line="240" w:lineRule="auto"/>
      </w:pPr>
    </w:p>
    <w:p w14:paraId="05ADA311" w14:textId="77777777" w:rsidR="00952029" w:rsidRDefault="009411E6">
      <w:pPr>
        <w:spacing w:line="240" w:lineRule="auto"/>
        <w:rPr>
          <w:b/>
          <w:bCs/>
          <w:i/>
          <w:iCs/>
          <w:sz w:val="20"/>
          <w:szCs w:val="20"/>
        </w:rPr>
      </w:pPr>
      <w:r>
        <w:rPr>
          <w:b/>
          <w:bCs/>
          <w:i/>
          <w:iCs/>
          <w:sz w:val="20"/>
          <w:szCs w:val="20"/>
        </w:rPr>
        <w:t>Prediction of the Likelihood of Debt Crisis in the US during COVID-19</w:t>
      </w:r>
    </w:p>
    <w:p w14:paraId="7155700E" w14:textId="598028B7" w:rsidR="00952029" w:rsidRDefault="009411E6">
      <w:pPr>
        <w:widowControl/>
        <w:spacing w:line="240" w:lineRule="auto"/>
        <w:jc w:val="left"/>
      </w:pPr>
      <w:r>
        <w:t xml:space="preserve">Affected by COVID-19 pandemic, lots of countries are much more indebted than </w:t>
      </w:r>
      <w:r w:rsidRPr="00F5309D">
        <w:t xml:space="preserve">historic levels, even over the situation during World War 2. For advanced economics, the government debt during pandemic is 123.9 percent of GDP, which is almost equal to 124.1 </w:t>
      </w:r>
      <w:r w:rsidRPr="00F5309D">
        <w:rPr>
          <w:rFonts w:hint="eastAsia"/>
        </w:rPr>
        <w:t>percent</w:t>
      </w:r>
      <w:r w:rsidRPr="00F5309D">
        <w:t xml:space="preserve"> of GDP during Post-World War 2. As for emerging markets, the current debt is 62.5 percent over the level during Post-World War 2 (46.9%).  In the US, the total debt burdens (public and private debt) almost tripled from 2019Q4 to 2020Q3. [</w:t>
      </w:r>
      <w:r w:rsidR="00F5309D" w:rsidRPr="00F5309D">
        <w:t>6</w:t>
      </w:r>
      <w:r w:rsidRPr="00F5309D">
        <w:t>]</w:t>
      </w:r>
    </w:p>
    <w:p w14:paraId="75B8C1B8" w14:textId="77777777" w:rsidR="00952029" w:rsidRDefault="00952029">
      <w:pPr>
        <w:widowControl/>
        <w:spacing w:line="240" w:lineRule="auto"/>
        <w:jc w:val="left"/>
      </w:pPr>
    </w:p>
    <w:p w14:paraId="4BEC9AC4" w14:textId="1E29575B" w:rsidR="00952029" w:rsidRDefault="009411E6">
      <w:pPr>
        <w:widowControl/>
        <w:spacing w:line="240" w:lineRule="auto"/>
        <w:jc w:val="left"/>
      </w:pPr>
      <w:r>
        <w:t xml:space="preserve">The probability of sovereign debt crisis in the US during pandemic could be predicted by following our CART </w:t>
      </w:r>
      <w:r w:rsidRPr="00F5309D">
        <w:t xml:space="preserve">tree. The total external debt in percent of GDP </w:t>
      </w:r>
      <w:r w:rsidRPr="00F5309D">
        <w:rPr>
          <w:rFonts w:hint="eastAsia"/>
        </w:rPr>
        <w:t>is</w:t>
      </w:r>
      <w:r w:rsidRPr="00F5309D">
        <w:t xml:space="preserve"> 133.6 percent </w:t>
      </w:r>
      <w:r w:rsidR="00F5309D" w:rsidRPr="00F5309D">
        <w:t xml:space="preserve">[7] </w:t>
      </w:r>
      <w:r w:rsidRPr="00F5309D">
        <w:t>and the projected inflation is 7.9%</w:t>
      </w:r>
      <w:r w:rsidR="00F5309D">
        <w:t xml:space="preserve"> </w:t>
      </w:r>
      <w:r w:rsidR="00F5309D" w:rsidRPr="00F5309D">
        <w:t>[</w:t>
      </w:r>
      <w:r w:rsidR="00F5309D">
        <w:t>8</w:t>
      </w:r>
      <w:r w:rsidR="00F5309D" w:rsidRPr="00F5309D">
        <w:t>]</w:t>
      </w:r>
      <w:r w:rsidRPr="00F5309D">
        <w:t>. With low external financing requirement to reserves (0.54) and high public external debt to</w:t>
      </w:r>
      <w:r>
        <w:t xml:space="preserve"> revenue (6.5), the situation fits Node 5 and the US is crisis-prone with the 40 percent default risk. </w:t>
      </w:r>
      <w:r w:rsidR="00F5309D">
        <w:t>[9]</w:t>
      </w:r>
    </w:p>
    <w:p w14:paraId="4EFA32D6" w14:textId="77777777" w:rsidR="00952029" w:rsidRDefault="00952029">
      <w:pPr>
        <w:spacing w:line="240" w:lineRule="auto"/>
        <w:rPr>
          <w:b/>
          <w:bCs/>
          <w:i/>
          <w:iCs/>
          <w:sz w:val="20"/>
          <w:szCs w:val="20"/>
        </w:rPr>
      </w:pPr>
    </w:p>
    <w:p w14:paraId="6F7D0937" w14:textId="77777777" w:rsidR="00952029" w:rsidRDefault="009411E6">
      <w:pPr>
        <w:spacing w:line="240" w:lineRule="auto"/>
        <w:rPr>
          <w:b/>
          <w:bCs/>
        </w:rPr>
      </w:pPr>
      <w:r>
        <w:rPr>
          <w:b/>
          <w:bCs/>
        </w:rPr>
        <w:t>Monte Carlo Simulation of Mitigating Actions</w:t>
      </w:r>
    </w:p>
    <w:p w14:paraId="2AD77C24" w14:textId="48187F67" w:rsidR="00952029" w:rsidRDefault="009411E6">
      <w:pPr>
        <w:spacing w:line="240" w:lineRule="auto"/>
      </w:pPr>
      <w:r>
        <w:t xml:space="preserve">Based on our result of CART tree, we cannot reduce the default risk just by pursuing low </w:t>
      </w:r>
      <w:r>
        <w:lastRenderedPageBreak/>
        <w:t>external debt. In order of probability of non-crisis, it has been noticed that the most favorable situation to avoid debt crisis is low external debt, low short-term and public external debt, coupled with high economic growth (Node 24). The second one is low inflation, low external financing requirement, low public external debt, even with high external debt (Node 8). The third one is low external debt, low short-term</w:t>
      </w:r>
      <w:r w:rsidR="004446B8">
        <w:t xml:space="preserve"> </w:t>
      </w:r>
      <w:r w:rsidR="004446B8" w:rsidRPr="004446B8">
        <w:t>external debt</w:t>
      </w:r>
      <w:r>
        <w:t>, high political stability, and low US T-bill rate (Node 12).</w:t>
      </w:r>
    </w:p>
    <w:p w14:paraId="27C23FFB" w14:textId="77777777" w:rsidR="00952029" w:rsidRDefault="00952029">
      <w:pPr>
        <w:spacing w:line="240" w:lineRule="auto"/>
      </w:pPr>
    </w:p>
    <w:p w14:paraId="621D3DEC" w14:textId="77777777" w:rsidR="00952029" w:rsidRDefault="009411E6">
      <w:pPr>
        <w:widowControl/>
        <w:spacing w:after="0" w:line="240" w:lineRule="auto"/>
        <w:jc w:val="left"/>
      </w:pPr>
      <w:r>
        <w:t>To predict the influences of these three mitigating actions on reducing default risk, Monte Carlo Simulation is used. Using mean and standard deviation got by fitting dataset to normal distribution, I randomly create 500 episodes with economic data. The first ten rows are following (</w:t>
      </w:r>
      <w:r>
        <w:rPr>
          <w:i/>
          <w:iCs/>
        </w:rPr>
        <w:t>Table 2</w:t>
      </w:r>
      <w:r>
        <w:t xml:space="preserve">). </w:t>
      </w:r>
    </w:p>
    <w:p w14:paraId="16DD7A5A" w14:textId="77777777" w:rsidR="00952029" w:rsidRDefault="00952029">
      <w:pPr>
        <w:widowControl/>
        <w:spacing w:after="0" w:line="240" w:lineRule="auto"/>
        <w:jc w:val="left"/>
      </w:pPr>
    </w:p>
    <w:tbl>
      <w:tblPr>
        <w:tblW w:w="9350" w:type="dxa"/>
        <w:jc w:val="center"/>
        <w:tblLook w:val="04A0" w:firstRow="1" w:lastRow="0" w:firstColumn="1" w:lastColumn="0" w:noHBand="0" w:noVBand="1"/>
      </w:tblPr>
      <w:tblGrid>
        <w:gridCol w:w="960"/>
        <w:gridCol w:w="1387"/>
        <w:gridCol w:w="1053"/>
        <w:gridCol w:w="1053"/>
        <w:gridCol w:w="1053"/>
        <w:gridCol w:w="1388"/>
        <w:gridCol w:w="1053"/>
        <w:gridCol w:w="1274"/>
        <w:gridCol w:w="1053"/>
      </w:tblGrid>
      <w:tr w:rsidR="00952029" w14:paraId="79630A3D" w14:textId="77777777">
        <w:trPr>
          <w:trHeight w:val="300"/>
          <w:jc w:val="center"/>
        </w:trPr>
        <w:tc>
          <w:tcPr>
            <w:tcW w:w="960" w:type="dxa"/>
            <w:tcBorders>
              <w:top w:val="nil"/>
              <w:left w:val="nil"/>
              <w:bottom w:val="nil"/>
              <w:right w:val="nil"/>
            </w:tcBorders>
            <w:shd w:val="clear" w:color="auto" w:fill="auto"/>
            <w:noWrap/>
            <w:vAlign w:val="center"/>
          </w:tcPr>
          <w:p w14:paraId="49AB8C96" w14:textId="77777777" w:rsidR="00952029" w:rsidRDefault="009411E6">
            <w:pPr>
              <w:widowControl/>
              <w:spacing w:after="0" w:line="240" w:lineRule="auto"/>
              <w:jc w:val="left"/>
              <w:rPr>
                <w:rFonts w:ascii="Calibri" w:eastAsia="Times New Roman" w:hAnsi="Calibri" w:cs="Calibri"/>
                <w:color w:val="000000"/>
              </w:rPr>
            </w:pPr>
            <w:r>
              <w:rPr>
                <w:rFonts w:ascii="Calibri" w:eastAsia="Times New Roman" w:hAnsi="Calibri" w:cs="Calibri"/>
                <w:color w:val="000000"/>
              </w:rPr>
              <w:t>Episode</w:t>
            </w:r>
          </w:p>
        </w:tc>
        <w:tc>
          <w:tcPr>
            <w:tcW w:w="1300" w:type="dxa"/>
            <w:tcBorders>
              <w:top w:val="nil"/>
              <w:left w:val="nil"/>
              <w:bottom w:val="nil"/>
              <w:right w:val="nil"/>
            </w:tcBorders>
            <w:shd w:val="clear" w:color="auto" w:fill="auto"/>
            <w:noWrap/>
            <w:vAlign w:val="center"/>
          </w:tcPr>
          <w:p w14:paraId="553D31AE" w14:textId="77777777" w:rsidR="00952029" w:rsidRDefault="009411E6">
            <w:pPr>
              <w:widowControl/>
              <w:spacing w:after="0" w:line="240" w:lineRule="auto"/>
              <w:jc w:val="left"/>
              <w:rPr>
                <w:rFonts w:ascii="Calibri" w:eastAsia="Times New Roman" w:hAnsi="Calibri" w:cs="Calibri"/>
                <w:color w:val="000000"/>
              </w:rPr>
            </w:pPr>
            <w:r>
              <w:rPr>
                <w:rFonts w:ascii="Calibri" w:eastAsia="Times New Roman" w:hAnsi="Calibri" w:cs="Calibri"/>
                <w:color w:val="000000"/>
              </w:rPr>
              <w:t>Total External Debt to GDP</w:t>
            </w:r>
          </w:p>
        </w:tc>
        <w:tc>
          <w:tcPr>
            <w:tcW w:w="960" w:type="dxa"/>
            <w:tcBorders>
              <w:top w:val="nil"/>
              <w:left w:val="nil"/>
              <w:bottom w:val="nil"/>
              <w:right w:val="nil"/>
            </w:tcBorders>
            <w:shd w:val="clear" w:color="auto" w:fill="auto"/>
            <w:noWrap/>
            <w:vAlign w:val="center"/>
          </w:tcPr>
          <w:p w14:paraId="27A7BC3A" w14:textId="77777777" w:rsidR="00952029" w:rsidRDefault="009411E6">
            <w:pPr>
              <w:widowControl/>
              <w:spacing w:after="0" w:line="240" w:lineRule="auto"/>
              <w:jc w:val="left"/>
              <w:rPr>
                <w:rFonts w:ascii="Calibri" w:eastAsia="Times New Roman" w:hAnsi="Calibri" w:cs="Calibri"/>
                <w:color w:val="000000"/>
              </w:rPr>
            </w:pPr>
            <w:r>
              <w:rPr>
                <w:rFonts w:ascii="Calibri" w:eastAsia="Times New Roman" w:hAnsi="Calibri" w:cs="Calibri"/>
                <w:color w:val="000000"/>
              </w:rPr>
              <w:t>Short-term External Debt to Reserves</w:t>
            </w:r>
          </w:p>
        </w:tc>
        <w:tc>
          <w:tcPr>
            <w:tcW w:w="960" w:type="dxa"/>
            <w:tcBorders>
              <w:top w:val="nil"/>
              <w:left w:val="nil"/>
              <w:bottom w:val="nil"/>
              <w:right w:val="nil"/>
            </w:tcBorders>
            <w:shd w:val="clear" w:color="auto" w:fill="auto"/>
            <w:noWrap/>
            <w:vAlign w:val="center"/>
          </w:tcPr>
          <w:p w14:paraId="68ECB2A4" w14:textId="77777777" w:rsidR="00952029" w:rsidRDefault="009411E6">
            <w:pPr>
              <w:widowControl/>
              <w:spacing w:after="0" w:line="240" w:lineRule="auto"/>
              <w:jc w:val="left"/>
              <w:rPr>
                <w:rFonts w:ascii="Calibri" w:eastAsia="Times New Roman" w:hAnsi="Calibri" w:cs="Calibri"/>
                <w:color w:val="000000"/>
              </w:rPr>
            </w:pPr>
            <w:r>
              <w:rPr>
                <w:rFonts w:ascii="Calibri" w:eastAsia="Times New Roman" w:hAnsi="Calibri" w:cs="Calibri"/>
                <w:color w:val="000000"/>
              </w:rPr>
              <w:t>Public External Debt to Revenue</w:t>
            </w:r>
          </w:p>
        </w:tc>
        <w:tc>
          <w:tcPr>
            <w:tcW w:w="960" w:type="dxa"/>
            <w:tcBorders>
              <w:top w:val="nil"/>
              <w:left w:val="nil"/>
              <w:bottom w:val="nil"/>
              <w:right w:val="nil"/>
            </w:tcBorders>
            <w:shd w:val="clear" w:color="auto" w:fill="auto"/>
            <w:noWrap/>
            <w:vAlign w:val="center"/>
          </w:tcPr>
          <w:p w14:paraId="5B8E38E9" w14:textId="77777777" w:rsidR="00952029" w:rsidRDefault="009411E6">
            <w:pPr>
              <w:widowControl/>
              <w:spacing w:after="0" w:line="240" w:lineRule="auto"/>
              <w:jc w:val="left"/>
              <w:rPr>
                <w:rFonts w:ascii="Calibri" w:eastAsia="Times New Roman" w:hAnsi="Calibri" w:cs="Calibri"/>
                <w:color w:val="000000"/>
              </w:rPr>
            </w:pPr>
            <w:r>
              <w:rPr>
                <w:rFonts w:ascii="Calibri" w:eastAsia="Times New Roman" w:hAnsi="Calibri" w:cs="Calibri"/>
                <w:color w:val="000000"/>
              </w:rPr>
              <w:t>Inflation</w:t>
            </w:r>
          </w:p>
        </w:tc>
        <w:tc>
          <w:tcPr>
            <w:tcW w:w="1202" w:type="dxa"/>
            <w:tcBorders>
              <w:top w:val="nil"/>
              <w:left w:val="nil"/>
              <w:bottom w:val="nil"/>
              <w:right w:val="nil"/>
            </w:tcBorders>
            <w:shd w:val="clear" w:color="auto" w:fill="auto"/>
            <w:noWrap/>
            <w:vAlign w:val="center"/>
          </w:tcPr>
          <w:p w14:paraId="7A2A1BBB" w14:textId="77777777" w:rsidR="00952029" w:rsidRDefault="009411E6">
            <w:pPr>
              <w:widowControl/>
              <w:spacing w:after="0" w:line="240" w:lineRule="auto"/>
              <w:jc w:val="left"/>
              <w:rPr>
                <w:rFonts w:ascii="Calibri" w:eastAsia="Times New Roman" w:hAnsi="Calibri" w:cs="Calibri"/>
                <w:color w:val="000000"/>
              </w:rPr>
            </w:pPr>
            <w:r>
              <w:rPr>
                <w:rFonts w:ascii="Calibri" w:eastAsia="Times New Roman" w:hAnsi="Calibri" w:cs="Calibri"/>
                <w:color w:val="000000"/>
              </w:rPr>
              <w:t>External Financing Requirement</w:t>
            </w:r>
          </w:p>
        </w:tc>
        <w:tc>
          <w:tcPr>
            <w:tcW w:w="960" w:type="dxa"/>
            <w:tcBorders>
              <w:top w:val="nil"/>
              <w:left w:val="nil"/>
              <w:bottom w:val="nil"/>
              <w:right w:val="nil"/>
            </w:tcBorders>
            <w:shd w:val="clear" w:color="auto" w:fill="auto"/>
            <w:noWrap/>
            <w:vAlign w:val="center"/>
          </w:tcPr>
          <w:p w14:paraId="3C76D403" w14:textId="77777777" w:rsidR="00952029" w:rsidRDefault="009411E6">
            <w:pPr>
              <w:widowControl/>
              <w:spacing w:after="0" w:line="240" w:lineRule="auto"/>
              <w:jc w:val="left"/>
              <w:rPr>
                <w:rFonts w:ascii="Calibri" w:eastAsia="Times New Roman" w:hAnsi="Calibri" w:cs="Calibri"/>
                <w:color w:val="000000"/>
              </w:rPr>
            </w:pPr>
            <w:r>
              <w:rPr>
                <w:rFonts w:ascii="Calibri" w:eastAsia="Times New Roman" w:hAnsi="Calibri" w:cs="Calibri"/>
                <w:color w:val="000000"/>
              </w:rPr>
              <w:t>Real GDP growth</w:t>
            </w:r>
          </w:p>
        </w:tc>
        <w:tc>
          <w:tcPr>
            <w:tcW w:w="1088" w:type="dxa"/>
            <w:tcBorders>
              <w:top w:val="nil"/>
              <w:left w:val="nil"/>
              <w:bottom w:val="nil"/>
              <w:right w:val="nil"/>
            </w:tcBorders>
            <w:shd w:val="clear" w:color="auto" w:fill="auto"/>
            <w:noWrap/>
            <w:vAlign w:val="center"/>
          </w:tcPr>
          <w:p w14:paraId="35B05354" w14:textId="77777777" w:rsidR="00952029" w:rsidRDefault="009411E6">
            <w:pPr>
              <w:widowControl/>
              <w:spacing w:after="0" w:line="240" w:lineRule="auto"/>
              <w:jc w:val="left"/>
              <w:rPr>
                <w:rFonts w:ascii="Calibri" w:eastAsia="Times New Roman" w:hAnsi="Calibri" w:cs="Calibri"/>
                <w:color w:val="000000"/>
              </w:rPr>
            </w:pPr>
            <w:r>
              <w:rPr>
                <w:rFonts w:ascii="Calibri" w:eastAsia="Times New Roman" w:hAnsi="Calibri" w:cs="Calibri"/>
                <w:color w:val="000000"/>
              </w:rPr>
              <w:t xml:space="preserve">Years to Next Presidential Election </w:t>
            </w:r>
          </w:p>
        </w:tc>
        <w:tc>
          <w:tcPr>
            <w:tcW w:w="960" w:type="dxa"/>
            <w:tcBorders>
              <w:top w:val="nil"/>
              <w:left w:val="nil"/>
              <w:bottom w:val="nil"/>
              <w:right w:val="nil"/>
            </w:tcBorders>
            <w:shd w:val="clear" w:color="auto" w:fill="auto"/>
            <w:noWrap/>
            <w:vAlign w:val="center"/>
          </w:tcPr>
          <w:p w14:paraId="487987FF" w14:textId="77777777" w:rsidR="00952029" w:rsidRDefault="009411E6">
            <w:pPr>
              <w:widowControl/>
              <w:spacing w:after="0" w:line="240" w:lineRule="auto"/>
              <w:jc w:val="left"/>
              <w:rPr>
                <w:rFonts w:ascii="Calibri" w:eastAsia="Times New Roman" w:hAnsi="Calibri" w:cs="Calibri"/>
                <w:color w:val="000000"/>
              </w:rPr>
            </w:pPr>
            <w:r>
              <w:rPr>
                <w:rFonts w:ascii="Calibri" w:eastAsia="Times New Roman" w:hAnsi="Calibri" w:cs="Calibri"/>
                <w:color w:val="000000"/>
              </w:rPr>
              <w:t>US T-bill Rate</w:t>
            </w:r>
          </w:p>
        </w:tc>
      </w:tr>
      <w:tr w:rsidR="00952029" w14:paraId="64393A3E" w14:textId="77777777">
        <w:trPr>
          <w:trHeight w:val="300"/>
          <w:jc w:val="center"/>
        </w:trPr>
        <w:tc>
          <w:tcPr>
            <w:tcW w:w="960" w:type="dxa"/>
            <w:tcBorders>
              <w:top w:val="nil"/>
              <w:left w:val="nil"/>
              <w:bottom w:val="nil"/>
              <w:right w:val="nil"/>
            </w:tcBorders>
            <w:shd w:val="clear" w:color="auto" w:fill="auto"/>
            <w:noWrap/>
            <w:vAlign w:val="center"/>
          </w:tcPr>
          <w:p w14:paraId="678CC6BC"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1300" w:type="dxa"/>
            <w:tcBorders>
              <w:top w:val="nil"/>
              <w:left w:val="nil"/>
              <w:bottom w:val="nil"/>
              <w:right w:val="nil"/>
            </w:tcBorders>
            <w:shd w:val="clear" w:color="auto" w:fill="auto"/>
            <w:noWrap/>
            <w:vAlign w:val="center"/>
          </w:tcPr>
          <w:p w14:paraId="1EB10ED0"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74.61735962</w:t>
            </w:r>
          </w:p>
        </w:tc>
        <w:tc>
          <w:tcPr>
            <w:tcW w:w="960" w:type="dxa"/>
            <w:tcBorders>
              <w:top w:val="nil"/>
              <w:left w:val="nil"/>
              <w:bottom w:val="nil"/>
              <w:right w:val="nil"/>
            </w:tcBorders>
            <w:shd w:val="clear" w:color="auto" w:fill="auto"/>
            <w:noWrap/>
            <w:vAlign w:val="center"/>
          </w:tcPr>
          <w:p w14:paraId="0992065A"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3.014718</w:t>
            </w:r>
          </w:p>
        </w:tc>
        <w:tc>
          <w:tcPr>
            <w:tcW w:w="960" w:type="dxa"/>
            <w:tcBorders>
              <w:top w:val="nil"/>
              <w:left w:val="nil"/>
              <w:bottom w:val="nil"/>
              <w:right w:val="nil"/>
            </w:tcBorders>
            <w:shd w:val="clear" w:color="auto" w:fill="auto"/>
            <w:noWrap/>
            <w:vAlign w:val="center"/>
          </w:tcPr>
          <w:p w14:paraId="420A546E"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2.051413</w:t>
            </w:r>
          </w:p>
        </w:tc>
        <w:tc>
          <w:tcPr>
            <w:tcW w:w="960" w:type="dxa"/>
            <w:tcBorders>
              <w:top w:val="nil"/>
              <w:left w:val="nil"/>
              <w:bottom w:val="nil"/>
              <w:right w:val="nil"/>
            </w:tcBorders>
            <w:shd w:val="clear" w:color="auto" w:fill="auto"/>
            <w:noWrap/>
            <w:vAlign w:val="center"/>
          </w:tcPr>
          <w:p w14:paraId="2155E079"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19.04818</w:t>
            </w:r>
          </w:p>
        </w:tc>
        <w:tc>
          <w:tcPr>
            <w:tcW w:w="1202" w:type="dxa"/>
            <w:tcBorders>
              <w:top w:val="nil"/>
              <w:left w:val="nil"/>
              <w:bottom w:val="nil"/>
              <w:right w:val="nil"/>
            </w:tcBorders>
            <w:shd w:val="clear" w:color="auto" w:fill="auto"/>
            <w:noWrap/>
            <w:vAlign w:val="center"/>
          </w:tcPr>
          <w:p w14:paraId="769133A2"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2.475096</w:t>
            </w:r>
          </w:p>
        </w:tc>
        <w:tc>
          <w:tcPr>
            <w:tcW w:w="960" w:type="dxa"/>
            <w:tcBorders>
              <w:top w:val="nil"/>
              <w:left w:val="nil"/>
              <w:bottom w:val="nil"/>
              <w:right w:val="nil"/>
            </w:tcBorders>
            <w:shd w:val="clear" w:color="auto" w:fill="auto"/>
            <w:noWrap/>
            <w:vAlign w:val="center"/>
          </w:tcPr>
          <w:p w14:paraId="3B76B81A"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6.318969</w:t>
            </w:r>
          </w:p>
        </w:tc>
        <w:tc>
          <w:tcPr>
            <w:tcW w:w="1088" w:type="dxa"/>
            <w:tcBorders>
              <w:top w:val="nil"/>
              <w:left w:val="nil"/>
              <w:bottom w:val="nil"/>
              <w:right w:val="nil"/>
            </w:tcBorders>
            <w:shd w:val="clear" w:color="auto" w:fill="auto"/>
            <w:noWrap/>
            <w:vAlign w:val="center"/>
          </w:tcPr>
          <w:p w14:paraId="548186CD"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4.870754</w:t>
            </w:r>
          </w:p>
        </w:tc>
        <w:tc>
          <w:tcPr>
            <w:tcW w:w="960" w:type="dxa"/>
            <w:tcBorders>
              <w:top w:val="nil"/>
              <w:left w:val="nil"/>
              <w:bottom w:val="nil"/>
              <w:right w:val="nil"/>
            </w:tcBorders>
            <w:shd w:val="clear" w:color="auto" w:fill="auto"/>
            <w:noWrap/>
            <w:vAlign w:val="center"/>
          </w:tcPr>
          <w:p w14:paraId="081D39A6"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6.924007</w:t>
            </w:r>
          </w:p>
        </w:tc>
      </w:tr>
      <w:tr w:rsidR="00952029" w14:paraId="6705B93F" w14:textId="77777777">
        <w:trPr>
          <w:trHeight w:val="300"/>
          <w:jc w:val="center"/>
        </w:trPr>
        <w:tc>
          <w:tcPr>
            <w:tcW w:w="960" w:type="dxa"/>
            <w:tcBorders>
              <w:top w:val="nil"/>
              <w:left w:val="nil"/>
              <w:bottom w:val="nil"/>
              <w:right w:val="nil"/>
            </w:tcBorders>
            <w:shd w:val="clear" w:color="auto" w:fill="auto"/>
            <w:noWrap/>
            <w:vAlign w:val="center"/>
          </w:tcPr>
          <w:p w14:paraId="027C4B6C"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300" w:type="dxa"/>
            <w:tcBorders>
              <w:top w:val="nil"/>
              <w:left w:val="nil"/>
              <w:bottom w:val="nil"/>
              <w:right w:val="nil"/>
            </w:tcBorders>
            <w:shd w:val="clear" w:color="auto" w:fill="auto"/>
            <w:noWrap/>
            <w:vAlign w:val="center"/>
          </w:tcPr>
          <w:p w14:paraId="75661B1D"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66.70481656</w:t>
            </w:r>
          </w:p>
        </w:tc>
        <w:tc>
          <w:tcPr>
            <w:tcW w:w="960" w:type="dxa"/>
            <w:tcBorders>
              <w:top w:val="nil"/>
              <w:left w:val="nil"/>
              <w:bottom w:val="nil"/>
              <w:right w:val="nil"/>
            </w:tcBorders>
            <w:shd w:val="clear" w:color="auto" w:fill="auto"/>
            <w:noWrap/>
            <w:vAlign w:val="center"/>
          </w:tcPr>
          <w:p w14:paraId="692B202B"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2.397444</w:t>
            </w:r>
          </w:p>
        </w:tc>
        <w:tc>
          <w:tcPr>
            <w:tcW w:w="960" w:type="dxa"/>
            <w:tcBorders>
              <w:top w:val="nil"/>
              <w:left w:val="nil"/>
              <w:bottom w:val="nil"/>
              <w:right w:val="nil"/>
            </w:tcBorders>
            <w:shd w:val="clear" w:color="auto" w:fill="auto"/>
            <w:noWrap/>
            <w:vAlign w:val="center"/>
          </w:tcPr>
          <w:p w14:paraId="367E1379"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3.147164</w:t>
            </w:r>
          </w:p>
        </w:tc>
        <w:tc>
          <w:tcPr>
            <w:tcW w:w="960" w:type="dxa"/>
            <w:tcBorders>
              <w:top w:val="nil"/>
              <w:left w:val="nil"/>
              <w:bottom w:val="nil"/>
              <w:right w:val="nil"/>
            </w:tcBorders>
            <w:shd w:val="clear" w:color="auto" w:fill="auto"/>
            <w:noWrap/>
            <w:vAlign w:val="center"/>
          </w:tcPr>
          <w:p w14:paraId="1DBDDA7B"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12.83519</w:t>
            </w:r>
          </w:p>
        </w:tc>
        <w:tc>
          <w:tcPr>
            <w:tcW w:w="1202" w:type="dxa"/>
            <w:tcBorders>
              <w:top w:val="nil"/>
              <w:left w:val="nil"/>
              <w:bottom w:val="nil"/>
              <w:right w:val="nil"/>
            </w:tcBorders>
            <w:shd w:val="clear" w:color="auto" w:fill="auto"/>
            <w:noWrap/>
            <w:vAlign w:val="center"/>
          </w:tcPr>
          <w:p w14:paraId="17736C24"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3.906716</w:t>
            </w:r>
          </w:p>
        </w:tc>
        <w:tc>
          <w:tcPr>
            <w:tcW w:w="960" w:type="dxa"/>
            <w:tcBorders>
              <w:top w:val="nil"/>
              <w:left w:val="nil"/>
              <w:bottom w:val="nil"/>
              <w:right w:val="nil"/>
            </w:tcBorders>
            <w:shd w:val="clear" w:color="auto" w:fill="auto"/>
            <w:noWrap/>
            <w:vAlign w:val="center"/>
          </w:tcPr>
          <w:p w14:paraId="4208512F"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5.528604</w:t>
            </w:r>
          </w:p>
        </w:tc>
        <w:tc>
          <w:tcPr>
            <w:tcW w:w="1088" w:type="dxa"/>
            <w:tcBorders>
              <w:top w:val="nil"/>
              <w:left w:val="nil"/>
              <w:bottom w:val="nil"/>
              <w:right w:val="nil"/>
            </w:tcBorders>
            <w:shd w:val="clear" w:color="auto" w:fill="auto"/>
            <w:noWrap/>
            <w:vAlign w:val="center"/>
          </w:tcPr>
          <w:p w14:paraId="541F4314"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5.146909</w:t>
            </w:r>
          </w:p>
        </w:tc>
        <w:tc>
          <w:tcPr>
            <w:tcW w:w="960" w:type="dxa"/>
            <w:tcBorders>
              <w:top w:val="nil"/>
              <w:left w:val="nil"/>
              <w:bottom w:val="nil"/>
              <w:right w:val="nil"/>
            </w:tcBorders>
            <w:shd w:val="clear" w:color="auto" w:fill="auto"/>
            <w:noWrap/>
            <w:vAlign w:val="center"/>
          </w:tcPr>
          <w:p w14:paraId="4E5D2949"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6.399128</w:t>
            </w:r>
          </w:p>
        </w:tc>
      </w:tr>
      <w:tr w:rsidR="00952029" w14:paraId="1C867062" w14:textId="77777777">
        <w:trPr>
          <w:trHeight w:val="300"/>
          <w:jc w:val="center"/>
        </w:trPr>
        <w:tc>
          <w:tcPr>
            <w:tcW w:w="960" w:type="dxa"/>
            <w:tcBorders>
              <w:top w:val="nil"/>
              <w:left w:val="nil"/>
              <w:bottom w:val="nil"/>
              <w:right w:val="nil"/>
            </w:tcBorders>
            <w:shd w:val="clear" w:color="auto" w:fill="auto"/>
            <w:noWrap/>
            <w:vAlign w:val="center"/>
          </w:tcPr>
          <w:p w14:paraId="61A09D05"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1300" w:type="dxa"/>
            <w:tcBorders>
              <w:top w:val="nil"/>
              <w:left w:val="nil"/>
              <w:bottom w:val="nil"/>
              <w:right w:val="nil"/>
            </w:tcBorders>
            <w:shd w:val="clear" w:color="auto" w:fill="auto"/>
            <w:noWrap/>
            <w:vAlign w:val="center"/>
          </w:tcPr>
          <w:p w14:paraId="69B4C1AC"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67.69255822</w:t>
            </w:r>
          </w:p>
        </w:tc>
        <w:tc>
          <w:tcPr>
            <w:tcW w:w="960" w:type="dxa"/>
            <w:tcBorders>
              <w:top w:val="nil"/>
              <w:left w:val="nil"/>
              <w:bottom w:val="nil"/>
              <w:right w:val="nil"/>
            </w:tcBorders>
            <w:shd w:val="clear" w:color="auto" w:fill="auto"/>
            <w:noWrap/>
            <w:vAlign w:val="center"/>
          </w:tcPr>
          <w:p w14:paraId="5676E329"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3.514849</w:t>
            </w:r>
          </w:p>
        </w:tc>
        <w:tc>
          <w:tcPr>
            <w:tcW w:w="960" w:type="dxa"/>
            <w:tcBorders>
              <w:top w:val="nil"/>
              <w:left w:val="nil"/>
              <w:bottom w:val="nil"/>
              <w:right w:val="nil"/>
            </w:tcBorders>
            <w:shd w:val="clear" w:color="auto" w:fill="auto"/>
            <w:noWrap/>
            <w:vAlign w:val="center"/>
          </w:tcPr>
          <w:p w14:paraId="29F58984"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1.836989</w:t>
            </w:r>
          </w:p>
        </w:tc>
        <w:tc>
          <w:tcPr>
            <w:tcW w:w="960" w:type="dxa"/>
            <w:tcBorders>
              <w:top w:val="nil"/>
              <w:left w:val="nil"/>
              <w:bottom w:val="nil"/>
              <w:right w:val="nil"/>
            </w:tcBorders>
            <w:shd w:val="clear" w:color="auto" w:fill="auto"/>
            <w:noWrap/>
            <w:vAlign w:val="center"/>
          </w:tcPr>
          <w:p w14:paraId="4BA95CD4"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8.329512</w:t>
            </w:r>
          </w:p>
        </w:tc>
        <w:tc>
          <w:tcPr>
            <w:tcW w:w="1202" w:type="dxa"/>
            <w:tcBorders>
              <w:top w:val="nil"/>
              <w:left w:val="nil"/>
              <w:bottom w:val="nil"/>
              <w:right w:val="nil"/>
            </w:tcBorders>
            <w:shd w:val="clear" w:color="auto" w:fill="auto"/>
            <w:noWrap/>
            <w:vAlign w:val="center"/>
          </w:tcPr>
          <w:p w14:paraId="3B5AFC9E"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2.598679</w:t>
            </w:r>
          </w:p>
        </w:tc>
        <w:tc>
          <w:tcPr>
            <w:tcW w:w="960" w:type="dxa"/>
            <w:tcBorders>
              <w:top w:val="nil"/>
              <w:left w:val="nil"/>
              <w:bottom w:val="nil"/>
              <w:right w:val="nil"/>
            </w:tcBorders>
            <w:shd w:val="clear" w:color="auto" w:fill="auto"/>
            <w:noWrap/>
            <w:vAlign w:val="center"/>
          </w:tcPr>
          <w:p w14:paraId="2C9A1DCE"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4.965988</w:t>
            </w:r>
          </w:p>
        </w:tc>
        <w:tc>
          <w:tcPr>
            <w:tcW w:w="1088" w:type="dxa"/>
            <w:tcBorders>
              <w:top w:val="nil"/>
              <w:left w:val="nil"/>
              <w:bottom w:val="nil"/>
              <w:right w:val="nil"/>
            </w:tcBorders>
            <w:shd w:val="clear" w:color="auto" w:fill="auto"/>
            <w:noWrap/>
            <w:vAlign w:val="center"/>
          </w:tcPr>
          <w:p w14:paraId="2F762A99"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4.617891</w:t>
            </w:r>
          </w:p>
        </w:tc>
        <w:tc>
          <w:tcPr>
            <w:tcW w:w="960" w:type="dxa"/>
            <w:tcBorders>
              <w:top w:val="nil"/>
              <w:left w:val="nil"/>
              <w:bottom w:val="nil"/>
              <w:right w:val="nil"/>
            </w:tcBorders>
            <w:shd w:val="clear" w:color="auto" w:fill="auto"/>
            <w:noWrap/>
            <w:vAlign w:val="center"/>
          </w:tcPr>
          <w:p w14:paraId="634D035A"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7.520071</w:t>
            </w:r>
          </w:p>
        </w:tc>
      </w:tr>
      <w:tr w:rsidR="00952029" w14:paraId="3EC6262F" w14:textId="77777777">
        <w:trPr>
          <w:trHeight w:val="300"/>
          <w:jc w:val="center"/>
        </w:trPr>
        <w:tc>
          <w:tcPr>
            <w:tcW w:w="960" w:type="dxa"/>
            <w:tcBorders>
              <w:top w:val="nil"/>
              <w:left w:val="nil"/>
              <w:bottom w:val="nil"/>
              <w:right w:val="nil"/>
            </w:tcBorders>
            <w:shd w:val="clear" w:color="auto" w:fill="auto"/>
            <w:noWrap/>
            <w:vAlign w:val="center"/>
          </w:tcPr>
          <w:p w14:paraId="6C922D86"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1300" w:type="dxa"/>
            <w:tcBorders>
              <w:top w:val="nil"/>
              <w:left w:val="nil"/>
              <w:bottom w:val="nil"/>
              <w:right w:val="nil"/>
            </w:tcBorders>
            <w:shd w:val="clear" w:color="auto" w:fill="auto"/>
            <w:noWrap/>
            <w:vAlign w:val="center"/>
          </w:tcPr>
          <w:p w14:paraId="3EE96A49"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54.91793233</w:t>
            </w:r>
          </w:p>
        </w:tc>
        <w:tc>
          <w:tcPr>
            <w:tcW w:w="960" w:type="dxa"/>
            <w:tcBorders>
              <w:top w:val="nil"/>
              <w:left w:val="nil"/>
              <w:bottom w:val="nil"/>
              <w:right w:val="nil"/>
            </w:tcBorders>
            <w:shd w:val="clear" w:color="auto" w:fill="auto"/>
            <w:noWrap/>
            <w:vAlign w:val="center"/>
          </w:tcPr>
          <w:p w14:paraId="1B9F4F0F"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3.063669</w:t>
            </w:r>
          </w:p>
        </w:tc>
        <w:tc>
          <w:tcPr>
            <w:tcW w:w="960" w:type="dxa"/>
            <w:tcBorders>
              <w:top w:val="nil"/>
              <w:left w:val="nil"/>
              <w:bottom w:val="nil"/>
              <w:right w:val="nil"/>
            </w:tcBorders>
            <w:shd w:val="clear" w:color="auto" w:fill="auto"/>
            <w:noWrap/>
            <w:vAlign w:val="center"/>
          </w:tcPr>
          <w:p w14:paraId="49A8B270"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2.406199</w:t>
            </w:r>
          </w:p>
        </w:tc>
        <w:tc>
          <w:tcPr>
            <w:tcW w:w="960" w:type="dxa"/>
            <w:tcBorders>
              <w:top w:val="nil"/>
              <w:left w:val="nil"/>
              <w:bottom w:val="nil"/>
              <w:right w:val="nil"/>
            </w:tcBorders>
            <w:shd w:val="clear" w:color="auto" w:fill="auto"/>
            <w:noWrap/>
            <w:vAlign w:val="center"/>
          </w:tcPr>
          <w:p w14:paraId="67D2512C"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9.611741</w:t>
            </w:r>
          </w:p>
        </w:tc>
        <w:tc>
          <w:tcPr>
            <w:tcW w:w="1202" w:type="dxa"/>
            <w:tcBorders>
              <w:top w:val="nil"/>
              <w:left w:val="nil"/>
              <w:bottom w:val="nil"/>
              <w:right w:val="nil"/>
            </w:tcBorders>
            <w:shd w:val="clear" w:color="auto" w:fill="auto"/>
            <w:noWrap/>
            <w:vAlign w:val="center"/>
          </w:tcPr>
          <w:p w14:paraId="0A80E0B3"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1.110304</w:t>
            </w:r>
          </w:p>
        </w:tc>
        <w:tc>
          <w:tcPr>
            <w:tcW w:w="960" w:type="dxa"/>
            <w:tcBorders>
              <w:top w:val="nil"/>
              <w:left w:val="nil"/>
              <w:bottom w:val="nil"/>
              <w:right w:val="nil"/>
            </w:tcBorders>
            <w:shd w:val="clear" w:color="auto" w:fill="auto"/>
            <w:noWrap/>
            <w:vAlign w:val="center"/>
          </w:tcPr>
          <w:p w14:paraId="0D38F318"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6.955461</w:t>
            </w:r>
          </w:p>
        </w:tc>
        <w:tc>
          <w:tcPr>
            <w:tcW w:w="1088" w:type="dxa"/>
            <w:tcBorders>
              <w:top w:val="nil"/>
              <w:left w:val="nil"/>
              <w:bottom w:val="nil"/>
              <w:right w:val="nil"/>
            </w:tcBorders>
            <w:shd w:val="clear" w:color="auto" w:fill="auto"/>
            <w:noWrap/>
            <w:vAlign w:val="center"/>
          </w:tcPr>
          <w:p w14:paraId="5CD29ECF"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4.961433</w:t>
            </w:r>
          </w:p>
        </w:tc>
        <w:tc>
          <w:tcPr>
            <w:tcW w:w="960" w:type="dxa"/>
            <w:tcBorders>
              <w:top w:val="nil"/>
              <w:left w:val="nil"/>
              <w:bottom w:val="nil"/>
              <w:right w:val="nil"/>
            </w:tcBorders>
            <w:shd w:val="clear" w:color="auto" w:fill="auto"/>
            <w:noWrap/>
            <w:vAlign w:val="center"/>
          </w:tcPr>
          <w:p w14:paraId="172342CB"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6.829483</w:t>
            </w:r>
          </w:p>
        </w:tc>
      </w:tr>
      <w:tr w:rsidR="00952029" w14:paraId="7F75B92C" w14:textId="77777777">
        <w:trPr>
          <w:trHeight w:val="300"/>
          <w:jc w:val="center"/>
        </w:trPr>
        <w:tc>
          <w:tcPr>
            <w:tcW w:w="960" w:type="dxa"/>
            <w:tcBorders>
              <w:top w:val="nil"/>
              <w:left w:val="nil"/>
              <w:bottom w:val="nil"/>
              <w:right w:val="nil"/>
            </w:tcBorders>
            <w:shd w:val="clear" w:color="auto" w:fill="auto"/>
            <w:noWrap/>
            <w:vAlign w:val="center"/>
          </w:tcPr>
          <w:p w14:paraId="52B3BB01"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1300" w:type="dxa"/>
            <w:tcBorders>
              <w:top w:val="nil"/>
              <w:left w:val="nil"/>
              <w:bottom w:val="nil"/>
              <w:right w:val="nil"/>
            </w:tcBorders>
            <w:shd w:val="clear" w:color="auto" w:fill="auto"/>
            <w:noWrap/>
            <w:vAlign w:val="center"/>
          </w:tcPr>
          <w:p w14:paraId="5419FEB6"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16.18425388</w:t>
            </w:r>
          </w:p>
        </w:tc>
        <w:tc>
          <w:tcPr>
            <w:tcW w:w="960" w:type="dxa"/>
            <w:tcBorders>
              <w:top w:val="nil"/>
              <w:left w:val="nil"/>
              <w:bottom w:val="nil"/>
              <w:right w:val="nil"/>
            </w:tcBorders>
            <w:shd w:val="clear" w:color="auto" w:fill="auto"/>
            <w:noWrap/>
            <w:vAlign w:val="center"/>
          </w:tcPr>
          <w:p w14:paraId="044D74CC"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4.258487</w:t>
            </w:r>
          </w:p>
        </w:tc>
        <w:tc>
          <w:tcPr>
            <w:tcW w:w="960" w:type="dxa"/>
            <w:tcBorders>
              <w:top w:val="nil"/>
              <w:left w:val="nil"/>
              <w:bottom w:val="nil"/>
              <w:right w:val="nil"/>
            </w:tcBorders>
            <w:shd w:val="clear" w:color="auto" w:fill="auto"/>
            <w:noWrap/>
            <w:vAlign w:val="center"/>
          </w:tcPr>
          <w:p w14:paraId="2A866012"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1.935774</w:t>
            </w:r>
          </w:p>
        </w:tc>
        <w:tc>
          <w:tcPr>
            <w:tcW w:w="960" w:type="dxa"/>
            <w:tcBorders>
              <w:top w:val="nil"/>
              <w:left w:val="nil"/>
              <w:bottom w:val="nil"/>
              <w:right w:val="nil"/>
            </w:tcBorders>
            <w:shd w:val="clear" w:color="auto" w:fill="auto"/>
            <w:noWrap/>
            <w:vAlign w:val="center"/>
          </w:tcPr>
          <w:p w14:paraId="00206198"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11.9819</w:t>
            </w:r>
          </w:p>
        </w:tc>
        <w:tc>
          <w:tcPr>
            <w:tcW w:w="1202" w:type="dxa"/>
            <w:tcBorders>
              <w:top w:val="nil"/>
              <w:left w:val="nil"/>
              <w:bottom w:val="nil"/>
              <w:right w:val="nil"/>
            </w:tcBorders>
            <w:shd w:val="clear" w:color="auto" w:fill="auto"/>
            <w:noWrap/>
            <w:vAlign w:val="center"/>
          </w:tcPr>
          <w:p w14:paraId="754CA988"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0.794115</w:t>
            </w:r>
          </w:p>
        </w:tc>
        <w:tc>
          <w:tcPr>
            <w:tcW w:w="960" w:type="dxa"/>
            <w:tcBorders>
              <w:top w:val="nil"/>
              <w:left w:val="nil"/>
              <w:bottom w:val="nil"/>
              <w:right w:val="nil"/>
            </w:tcBorders>
            <w:shd w:val="clear" w:color="auto" w:fill="auto"/>
            <w:noWrap/>
            <w:vAlign w:val="center"/>
          </w:tcPr>
          <w:p w14:paraId="1910B1C8"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4.028521</w:t>
            </w:r>
          </w:p>
        </w:tc>
        <w:tc>
          <w:tcPr>
            <w:tcW w:w="1088" w:type="dxa"/>
            <w:tcBorders>
              <w:top w:val="nil"/>
              <w:left w:val="nil"/>
              <w:bottom w:val="nil"/>
              <w:right w:val="nil"/>
            </w:tcBorders>
            <w:shd w:val="clear" w:color="auto" w:fill="auto"/>
            <w:noWrap/>
            <w:vAlign w:val="center"/>
          </w:tcPr>
          <w:p w14:paraId="308112C2"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5.208297</w:t>
            </w:r>
          </w:p>
        </w:tc>
        <w:tc>
          <w:tcPr>
            <w:tcW w:w="960" w:type="dxa"/>
            <w:tcBorders>
              <w:top w:val="nil"/>
              <w:left w:val="nil"/>
              <w:bottom w:val="nil"/>
              <w:right w:val="nil"/>
            </w:tcBorders>
            <w:shd w:val="clear" w:color="auto" w:fill="auto"/>
            <w:noWrap/>
            <w:vAlign w:val="center"/>
          </w:tcPr>
          <w:p w14:paraId="62B972CB"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6.339323</w:t>
            </w:r>
          </w:p>
        </w:tc>
      </w:tr>
      <w:tr w:rsidR="00952029" w14:paraId="22564DF2" w14:textId="77777777">
        <w:trPr>
          <w:trHeight w:val="300"/>
          <w:jc w:val="center"/>
        </w:trPr>
        <w:tc>
          <w:tcPr>
            <w:tcW w:w="960" w:type="dxa"/>
            <w:tcBorders>
              <w:top w:val="nil"/>
              <w:left w:val="nil"/>
              <w:bottom w:val="nil"/>
              <w:right w:val="nil"/>
            </w:tcBorders>
            <w:shd w:val="clear" w:color="auto" w:fill="auto"/>
            <w:noWrap/>
            <w:vAlign w:val="center"/>
          </w:tcPr>
          <w:p w14:paraId="624DCE9C"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c>
          <w:tcPr>
            <w:tcW w:w="1300" w:type="dxa"/>
            <w:tcBorders>
              <w:top w:val="nil"/>
              <w:left w:val="nil"/>
              <w:bottom w:val="nil"/>
              <w:right w:val="nil"/>
            </w:tcBorders>
            <w:shd w:val="clear" w:color="auto" w:fill="auto"/>
            <w:noWrap/>
            <w:vAlign w:val="center"/>
          </w:tcPr>
          <w:p w14:paraId="5DFC19CD"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37.53298733</w:t>
            </w:r>
          </w:p>
        </w:tc>
        <w:tc>
          <w:tcPr>
            <w:tcW w:w="960" w:type="dxa"/>
            <w:tcBorders>
              <w:top w:val="nil"/>
              <w:left w:val="nil"/>
              <w:bottom w:val="nil"/>
              <w:right w:val="nil"/>
            </w:tcBorders>
            <w:shd w:val="clear" w:color="auto" w:fill="auto"/>
            <w:noWrap/>
            <w:vAlign w:val="center"/>
          </w:tcPr>
          <w:p w14:paraId="2B76B33A"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3.583727</w:t>
            </w:r>
          </w:p>
        </w:tc>
        <w:tc>
          <w:tcPr>
            <w:tcW w:w="960" w:type="dxa"/>
            <w:tcBorders>
              <w:top w:val="nil"/>
              <w:left w:val="nil"/>
              <w:bottom w:val="nil"/>
              <w:right w:val="nil"/>
            </w:tcBorders>
            <w:shd w:val="clear" w:color="auto" w:fill="auto"/>
            <w:noWrap/>
            <w:vAlign w:val="center"/>
          </w:tcPr>
          <w:p w14:paraId="03C6852D"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1.674982</w:t>
            </w:r>
          </w:p>
        </w:tc>
        <w:tc>
          <w:tcPr>
            <w:tcW w:w="960" w:type="dxa"/>
            <w:tcBorders>
              <w:top w:val="nil"/>
              <w:left w:val="nil"/>
              <w:bottom w:val="nil"/>
              <w:right w:val="nil"/>
            </w:tcBorders>
            <w:shd w:val="clear" w:color="auto" w:fill="auto"/>
            <w:noWrap/>
            <w:vAlign w:val="center"/>
          </w:tcPr>
          <w:p w14:paraId="71EFBF4D"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6.198315</w:t>
            </w:r>
          </w:p>
        </w:tc>
        <w:tc>
          <w:tcPr>
            <w:tcW w:w="1202" w:type="dxa"/>
            <w:tcBorders>
              <w:top w:val="nil"/>
              <w:left w:val="nil"/>
              <w:bottom w:val="nil"/>
              <w:right w:val="nil"/>
            </w:tcBorders>
            <w:shd w:val="clear" w:color="auto" w:fill="auto"/>
            <w:noWrap/>
            <w:vAlign w:val="center"/>
          </w:tcPr>
          <w:p w14:paraId="158AD068"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2.490894</w:t>
            </w:r>
          </w:p>
        </w:tc>
        <w:tc>
          <w:tcPr>
            <w:tcW w:w="960" w:type="dxa"/>
            <w:tcBorders>
              <w:top w:val="nil"/>
              <w:left w:val="nil"/>
              <w:bottom w:val="nil"/>
              <w:right w:val="nil"/>
            </w:tcBorders>
            <w:shd w:val="clear" w:color="auto" w:fill="auto"/>
            <w:noWrap/>
            <w:vAlign w:val="center"/>
          </w:tcPr>
          <w:p w14:paraId="0969DAC2"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6.363294</w:t>
            </w:r>
          </w:p>
        </w:tc>
        <w:tc>
          <w:tcPr>
            <w:tcW w:w="1088" w:type="dxa"/>
            <w:tcBorders>
              <w:top w:val="nil"/>
              <w:left w:val="nil"/>
              <w:bottom w:val="nil"/>
              <w:right w:val="nil"/>
            </w:tcBorders>
            <w:shd w:val="clear" w:color="auto" w:fill="auto"/>
            <w:noWrap/>
            <w:vAlign w:val="center"/>
          </w:tcPr>
          <w:p w14:paraId="3CFA0810"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4.477817</w:t>
            </w:r>
          </w:p>
        </w:tc>
        <w:tc>
          <w:tcPr>
            <w:tcW w:w="960" w:type="dxa"/>
            <w:tcBorders>
              <w:top w:val="nil"/>
              <w:left w:val="nil"/>
              <w:bottom w:val="nil"/>
              <w:right w:val="nil"/>
            </w:tcBorders>
            <w:shd w:val="clear" w:color="auto" w:fill="auto"/>
            <w:noWrap/>
            <w:vAlign w:val="center"/>
          </w:tcPr>
          <w:p w14:paraId="5F142181"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7.305992</w:t>
            </w:r>
          </w:p>
        </w:tc>
      </w:tr>
      <w:tr w:rsidR="00952029" w14:paraId="5700F778" w14:textId="77777777">
        <w:trPr>
          <w:trHeight w:val="300"/>
          <w:jc w:val="center"/>
        </w:trPr>
        <w:tc>
          <w:tcPr>
            <w:tcW w:w="960" w:type="dxa"/>
            <w:tcBorders>
              <w:top w:val="nil"/>
              <w:left w:val="nil"/>
              <w:bottom w:val="nil"/>
              <w:right w:val="nil"/>
            </w:tcBorders>
            <w:shd w:val="clear" w:color="auto" w:fill="auto"/>
            <w:noWrap/>
            <w:vAlign w:val="center"/>
          </w:tcPr>
          <w:p w14:paraId="63F90EF5"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1300" w:type="dxa"/>
            <w:tcBorders>
              <w:top w:val="nil"/>
              <w:left w:val="nil"/>
              <w:bottom w:val="nil"/>
              <w:right w:val="nil"/>
            </w:tcBorders>
            <w:shd w:val="clear" w:color="auto" w:fill="auto"/>
            <w:noWrap/>
            <w:vAlign w:val="center"/>
          </w:tcPr>
          <w:p w14:paraId="64BFC93C"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59.156388</w:t>
            </w:r>
          </w:p>
        </w:tc>
        <w:tc>
          <w:tcPr>
            <w:tcW w:w="960" w:type="dxa"/>
            <w:tcBorders>
              <w:top w:val="nil"/>
              <w:left w:val="nil"/>
              <w:bottom w:val="nil"/>
              <w:right w:val="nil"/>
            </w:tcBorders>
            <w:shd w:val="clear" w:color="auto" w:fill="auto"/>
            <w:noWrap/>
            <w:vAlign w:val="center"/>
          </w:tcPr>
          <w:p w14:paraId="2C97E2C8"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1.612154</w:t>
            </w:r>
          </w:p>
        </w:tc>
        <w:tc>
          <w:tcPr>
            <w:tcW w:w="960" w:type="dxa"/>
            <w:tcBorders>
              <w:top w:val="nil"/>
              <w:left w:val="nil"/>
              <w:bottom w:val="nil"/>
              <w:right w:val="nil"/>
            </w:tcBorders>
            <w:shd w:val="clear" w:color="auto" w:fill="auto"/>
            <w:noWrap/>
            <w:vAlign w:val="center"/>
          </w:tcPr>
          <w:p w14:paraId="59E3E048"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2.861153</w:t>
            </w:r>
          </w:p>
        </w:tc>
        <w:tc>
          <w:tcPr>
            <w:tcW w:w="960" w:type="dxa"/>
            <w:tcBorders>
              <w:top w:val="nil"/>
              <w:left w:val="nil"/>
              <w:bottom w:val="nil"/>
              <w:right w:val="nil"/>
            </w:tcBorders>
            <w:shd w:val="clear" w:color="auto" w:fill="auto"/>
            <w:noWrap/>
            <w:vAlign w:val="center"/>
          </w:tcPr>
          <w:p w14:paraId="16200AE4"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16.80965</w:t>
            </w:r>
          </w:p>
        </w:tc>
        <w:tc>
          <w:tcPr>
            <w:tcW w:w="1202" w:type="dxa"/>
            <w:tcBorders>
              <w:top w:val="nil"/>
              <w:left w:val="nil"/>
              <w:bottom w:val="nil"/>
              <w:right w:val="nil"/>
            </w:tcBorders>
            <w:shd w:val="clear" w:color="auto" w:fill="auto"/>
            <w:noWrap/>
            <w:vAlign w:val="center"/>
          </w:tcPr>
          <w:p w14:paraId="664E9369"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1.746705</w:t>
            </w:r>
          </w:p>
        </w:tc>
        <w:tc>
          <w:tcPr>
            <w:tcW w:w="960" w:type="dxa"/>
            <w:tcBorders>
              <w:top w:val="nil"/>
              <w:left w:val="nil"/>
              <w:bottom w:val="nil"/>
              <w:right w:val="nil"/>
            </w:tcBorders>
            <w:shd w:val="clear" w:color="auto" w:fill="auto"/>
            <w:noWrap/>
            <w:vAlign w:val="center"/>
          </w:tcPr>
          <w:p w14:paraId="6F7A0107"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5.105504</w:t>
            </w:r>
          </w:p>
        </w:tc>
        <w:tc>
          <w:tcPr>
            <w:tcW w:w="1088" w:type="dxa"/>
            <w:tcBorders>
              <w:top w:val="nil"/>
              <w:left w:val="nil"/>
              <w:bottom w:val="nil"/>
              <w:right w:val="nil"/>
            </w:tcBorders>
            <w:shd w:val="clear" w:color="auto" w:fill="auto"/>
            <w:noWrap/>
            <w:vAlign w:val="center"/>
          </w:tcPr>
          <w:p w14:paraId="36865A3C"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5.132639</w:t>
            </w:r>
          </w:p>
        </w:tc>
        <w:tc>
          <w:tcPr>
            <w:tcW w:w="960" w:type="dxa"/>
            <w:tcBorders>
              <w:top w:val="nil"/>
              <w:left w:val="nil"/>
              <w:bottom w:val="nil"/>
              <w:right w:val="nil"/>
            </w:tcBorders>
            <w:shd w:val="clear" w:color="auto" w:fill="auto"/>
            <w:noWrap/>
            <w:vAlign w:val="center"/>
          </w:tcPr>
          <w:p w14:paraId="5B4090D4"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7.696065</w:t>
            </w:r>
          </w:p>
        </w:tc>
      </w:tr>
      <w:tr w:rsidR="00952029" w14:paraId="69DDDF2E" w14:textId="77777777">
        <w:trPr>
          <w:trHeight w:val="300"/>
          <w:jc w:val="center"/>
        </w:trPr>
        <w:tc>
          <w:tcPr>
            <w:tcW w:w="960" w:type="dxa"/>
            <w:tcBorders>
              <w:top w:val="nil"/>
              <w:left w:val="nil"/>
              <w:bottom w:val="nil"/>
              <w:right w:val="nil"/>
            </w:tcBorders>
            <w:shd w:val="clear" w:color="auto" w:fill="auto"/>
            <w:noWrap/>
            <w:vAlign w:val="center"/>
          </w:tcPr>
          <w:p w14:paraId="5B22AA5B"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1300" w:type="dxa"/>
            <w:tcBorders>
              <w:top w:val="nil"/>
              <w:left w:val="nil"/>
              <w:bottom w:val="nil"/>
              <w:right w:val="nil"/>
            </w:tcBorders>
            <w:shd w:val="clear" w:color="auto" w:fill="auto"/>
            <w:noWrap/>
            <w:vAlign w:val="center"/>
          </w:tcPr>
          <w:p w14:paraId="5BEE573F"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28.00386407</w:t>
            </w:r>
          </w:p>
        </w:tc>
        <w:tc>
          <w:tcPr>
            <w:tcW w:w="960" w:type="dxa"/>
            <w:tcBorders>
              <w:top w:val="nil"/>
              <w:left w:val="nil"/>
              <w:bottom w:val="nil"/>
              <w:right w:val="nil"/>
            </w:tcBorders>
            <w:shd w:val="clear" w:color="auto" w:fill="auto"/>
            <w:noWrap/>
            <w:vAlign w:val="center"/>
          </w:tcPr>
          <w:p w14:paraId="61960532"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2.057969</w:t>
            </w:r>
          </w:p>
        </w:tc>
        <w:tc>
          <w:tcPr>
            <w:tcW w:w="960" w:type="dxa"/>
            <w:tcBorders>
              <w:top w:val="nil"/>
              <w:left w:val="nil"/>
              <w:bottom w:val="nil"/>
              <w:right w:val="nil"/>
            </w:tcBorders>
            <w:shd w:val="clear" w:color="auto" w:fill="auto"/>
            <w:noWrap/>
            <w:vAlign w:val="center"/>
          </w:tcPr>
          <w:p w14:paraId="53522BED"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2.568254</w:t>
            </w:r>
          </w:p>
        </w:tc>
        <w:tc>
          <w:tcPr>
            <w:tcW w:w="960" w:type="dxa"/>
            <w:tcBorders>
              <w:top w:val="nil"/>
              <w:left w:val="nil"/>
              <w:bottom w:val="nil"/>
              <w:right w:val="nil"/>
            </w:tcBorders>
            <w:shd w:val="clear" w:color="auto" w:fill="auto"/>
            <w:noWrap/>
            <w:vAlign w:val="center"/>
          </w:tcPr>
          <w:p w14:paraId="126BF7FF"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13.49693</w:t>
            </w:r>
          </w:p>
        </w:tc>
        <w:tc>
          <w:tcPr>
            <w:tcW w:w="1202" w:type="dxa"/>
            <w:tcBorders>
              <w:top w:val="nil"/>
              <w:left w:val="nil"/>
              <w:bottom w:val="nil"/>
              <w:right w:val="nil"/>
            </w:tcBorders>
            <w:shd w:val="clear" w:color="auto" w:fill="auto"/>
            <w:noWrap/>
            <w:vAlign w:val="center"/>
          </w:tcPr>
          <w:p w14:paraId="53159D65"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2.308034</w:t>
            </w:r>
          </w:p>
        </w:tc>
        <w:tc>
          <w:tcPr>
            <w:tcW w:w="960" w:type="dxa"/>
            <w:tcBorders>
              <w:top w:val="nil"/>
              <w:left w:val="nil"/>
              <w:bottom w:val="nil"/>
              <w:right w:val="nil"/>
            </w:tcBorders>
            <w:shd w:val="clear" w:color="auto" w:fill="auto"/>
            <w:noWrap/>
            <w:vAlign w:val="center"/>
          </w:tcPr>
          <w:p w14:paraId="7F440886"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5.905512</w:t>
            </w:r>
          </w:p>
        </w:tc>
        <w:tc>
          <w:tcPr>
            <w:tcW w:w="1088" w:type="dxa"/>
            <w:tcBorders>
              <w:top w:val="nil"/>
              <w:left w:val="nil"/>
              <w:bottom w:val="nil"/>
              <w:right w:val="nil"/>
            </w:tcBorders>
            <w:shd w:val="clear" w:color="auto" w:fill="auto"/>
            <w:noWrap/>
            <w:vAlign w:val="center"/>
          </w:tcPr>
          <w:p w14:paraId="7007FEE7"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4.564679</w:t>
            </w:r>
          </w:p>
        </w:tc>
        <w:tc>
          <w:tcPr>
            <w:tcW w:w="960" w:type="dxa"/>
            <w:tcBorders>
              <w:top w:val="nil"/>
              <w:left w:val="nil"/>
              <w:bottom w:val="nil"/>
              <w:right w:val="nil"/>
            </w:tcBorders>
            <w:shd w:val="clear" w:color="auto" w:fill="auto"/>
            <w:noWrap/>
            <w:vAlign w:val="center"/>
          </w:tcPr>
          <w:p w14:paraId="7DCAD86E"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7.052266</w:t>
            </w:r>
          </w:p>
        </w:tc>
      </w:tr>
      <w:tr w:rsidR="00952029" w14:paraId="50321ABD" w14:textId="77777777">
        <w:trPr>
          <w:trHeight w:val="300"/>
          <w:jc w:val="center"/>
        </w:trPr>
        <w:tc>
          <w:tcPr>
            <w:tcW w:w="960" w:type="dxa"/>
            <w:tcBorders>
              <w:top w:val="nil"/>
              <w:left w:val="nil"/>
              <w:bottom w:val="nil"/>
              <w:right w:val="nil"/>
            </w:tcBorders>
            <w:shd w:val="clear" w:color="auto" w:fill="auto"/>
            <w:noWrap/>
            <w:vAlign w:val="center"/>
          </w:tcPr>
          <w:p w14:paraId="7FC7E536"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300" w:type="dxa"/>
            <w:tcBorders>
              <w:top w:val="nil"/>
              <w:left w:val="nil"/>
              <w:bottom w:val="nil"/>
              <w:right w:val="nil"/>
            </w:tcBorders>
            <w:shd w:val="clear" w:color="auto" w:fill="auto"/>
            <w:noWrap/>
            <w:vAlign w:val="center"/>
          </w:tcPr>
          <w:p w14:paraId="32B15256"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44.65896636</w:t>
            </w:r>
          </w:p>
        </w:tc>
        <w:tc>
          <w:tcPr>
            <w:tcW w:w="960" w:type="dxa"/>
            <w:tcBorders>
              <w:top w:val="nil"/>
              <w:left w:val="nil"/>
              <w:bottom w:val="nil"/>
              <w:right w:val="nil"/>
            </w:tcBorders>
            <w:shd w:val="clear" w:color="auto" w:fill="auto"/>
            <w:noWrap/>
            <w:vAlign w:val="center"/>
          </w:tcPr>
          <w:p w14:paraId="57B081AF"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2.345275</w:t>
            </w:r>
          </w:p>
        </w:tc>
        <w:tc>
          <w:tcPr>
            <w:tcW w:w="960" w:type="dxa"/>
            <w:tcBorders>
              <w:top w:val="nil"/>
              <w:left w:val="nil"/>
              <w:bottom w:val="nil"/>
              <w:right w:val="nil"/>
            </w:tcBorders>
            <w:shd w:val="clear" w:color="auto" w:fill="auto"/>
            <w:noWrap/>
            <w:vAlign w:val="center"/>
          </w:tcPr>
          <w:p w14:paraId="296C0B9D"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1.433203</w:t>
            </w:r>
          </w:p>
        </w:tc>
        <w:tc>
          <w:tcPr>
            <w:tcW w:w="960" w:type="dxa"/>
            <w:tcBorders>
              <w:top w:val="nil"/>
              <w:left w:val="nil"/>
              <w:bottom w:val="nil"/>
              <w:right w:val="nil"/>
            </w:tcBorders>
            <w:shd w:val="clear" w:color="auto" w:fill="auto"/>
            <w:noWrap/>
            <w:vAlign w:val="center"/>
          </w:tcPr>
          <w:p w14:paraId="3106553C"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11.104</w:t>
            </w:r>
          </w:p>
        </w:tc>
        <w:tc>
          <w:tcPr>
            <w:tcW w:w="1202" w:type="dxa"/>
            <w:tcBorders>
              <w:top w:val="nil"/>
              <w:left w:val="nil"/>
              <w:bottom w:val="nil"/>
              <w:right w:val="nil"/>
            </w:tcBorders>
            <w:shd w:val="clear" w:color="auto" w:fill="auto"/>
            <w:noWrap/>
            <w:vAlign w:val="center"/>
          </w:tcPr>
          <w:p w14:paraId="5B00B869"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3.356423</w:t>
            </w:r>
          </w:p>
        </w:tc>
        <w:tc>
          <w:tcPr>
            <w:tcW w:w="960" w:type="dxa"/>
            <w:tcBorders>
              <w:top w:val="nil"/>
              <w:left w:val="nil"/>
              <w:bottom w:val="nil"/>
              <w:right w:val="nil"/>
            </w:tcBorders>
            <w:shd w:val="clear" w:color="auto" w:fill="auto"/>
            <w:noWrap/>
            <w:vAlign w:val="center"/>
          </w:tcPr>
          <w:p w14:paraId="45AF7746"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8.294951</w:t>
            </w:r>
          </w:p>
        </w:tc>
        <w:tc>
          <w:tcPr>
            <w:tcW w:w="1088" w:type="dxa"/>
            <w:tcBorders>
              <w:top w:val="nil"/>
              <w:left w:val="nil"/>
              <w:bottom w:val="nil"/>
              <w:right w:val="nil"/>
            </w:tcBorders>
            <w:shd w:val="clear" w:color="auto" w:fill="auto"/>
            <w:noWrap/>
            <w:vAlign w:val="center"/>
          </w:tcPr>
          <w:p w14:paraId="777F9E2E"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4.528154</w:t>
            </w:r>
          </w:p>
        </w:tc>
        <w:tc>
          <w:tcPr>
            <w:tcW w:w="960" w:type="dxa"/>
            <w:tcBorders>
              <w:top w:val="nil"/>
              <w:left w:val="nil"/>
              <w:bottom w:val="nil"/>
              <w:right w:val="nil"/>
            </w:tcBorders>
            <w:shd w:val="clear" w:color="auto" w:fill="auto"/>
            <w:noWrap/>
            <w:vAlign w:val="center"/>
          </w:tcPr>
          <w:p w14:paraId="75E43E2C"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7.681168</w:t>
            </w:r>
          </w:p>
        </w:tc>
      </w:tr>
      <w:tr w:rsidR="00952029" w14:paraId="3151799C" w14:textId="77777777">
        <w:trPr>
          <w:trHeight w:val="300"/>
          <w:jc w:val="center"/>
        </w:trPr>
        <w:tc>
          <w:tcPr>
            <w:tcW w:w="960" w:type="dxa"/>
            <w:tcBorders>
              <w:top w:val="nil"/>
              <w:left w:val="nil"/>
              <w:bottom w:val="nil"/>
              <w:right w:val="nil"/>
            </w:tcBorders>
            <w:shd w:val="clear" w:color="auto" w:fill="auto"/>
            <w:noWrap/>
            <w:vAlign w:val="center"/>
          </w:tcPr>
          <w:p w14:paraId="2D38AF22"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1300" w:type="dxa"/>
            <w:tcBorders>
              <w:top w:val="nil"/>
              <w:left w:val="nil"/>
              <w:bottom w:val="nil"/>
              <w:right w:val="nil"/>
            </w:tcBorders>
            <w:shd w:val="clear" w:color="auto" w:fill="auto"/>
            <w:noWrap/>
            <w:vAlign w:val="center"/>
          </w:tcPr>
          <w:p w14:paraId="72A38975"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72.46702717</w:t>
            </w:r>
          </w:p>
        </w:tc>
        <w:tc>
          <w:tcPr>
            <w:tcW w:w="960" w:type="dxa"/>
            <w:tcBorders>
              <w:top w:val="nil"/>
              <w:left w:val="nil"/>
              <w:bottom w:val="nil"/>
              <w:right w:val="nil"/>
            </w:tcBorders>
            <w:shd w:val="clear" w:color="auto" w:fill="auto"/>
            <w:noWrap/>
            <w:vAlign w:val="center"/>
          </w:tcPr>
          <w:p w14:paraId="06DD531B"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2.12768</w:t>
            </w:r>
          </w:p>
        </w:tc>
        <w:tc>
          <w:tcPr>
            <w:tcW w:w="960" w:type="dxa"/>
            <w:tcBorders>
              <w:top w:val="nil"/>
              <w:left w:val="nil"/>
              <w:bottom w:val="nil"/>
              <w:right w:val="nil"/>
            </w:tcBorders>
            <w:shd w:val="clear" w:color="auto" w:fill="auto"/>
            <w:noWrap/>
            <w:vAlign w:val="center"/>
          </w:tcPr>
          <w:p w14:paraId="73C9E130"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1.919995</w:t>
            </w:r>
          </w:p>
        </w:tc>
        <w:tc>
          <w:tcPr>
            <w:tcW w:w="960" w:type="dxa"/>
            <w:tcBorders>
              <w:top w:val="nil"/>
              <w:left w:val="nil"/>
              <w:bottom w:val="nil"/>
              <w:right w:val="nil"/>
            </w:tcBorders>
            <w:shd w:val="clear" w:color="auto" w:fill="auto"/>
            <w:noWrap/>
            <w:vAlign w:val="center"/>
          </w:tcPr>
          <w:p w14:paraId="22D0D8FD"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7.32205</w:t>
            </w:r>
          </w:p>
        </w:tc>
        <w:tc>
          <w:tcPr>
            <w:tcW w:w="1202" w:type="dxa"/>
            <w:tcBorders>
              <w:top w:val="nil"/>
              <w:left w:val="nil"/>
              <w:bottom w:val="nil"/>
              <w:right w:val="nil"/>
            </w:tcBorders>
            <w:shd w:val="clear" w:color="auto" w:fill="auto"/>
            <w:noWrap/>
            <w:vAlign w:val="center"/>
          </w:tcPr>
          <w:p w14:paraId="412120C6"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3.036068</w:t>
            </w:r>
          </w:p>
        </w:tc>
        <w:tc>
          <w:tcPr>
            <w:tcW w:w="960" w:type="dxa"/>
            <w:tcBorders>
              <w:top w:val="nil"/>
              <w:left w:val="nil"/>
              <w:bottom w:val="nil"/>
              <w:right w:val="nil"/>
            </w:tcBorders>
            <w:shd w:val="clear" w:color="auto" w:fill="auto"/>
            <w:noWrap/>
            <w:vAlign w:val="center"/>
          </w:tcPr>
          <w:p w14:paraId="2EF334FB"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6.013491</w:t>
            </w:r>
          </w:p>
        </w:tc>
        <w:tc>
          <w:tcPr>
            <w:tcW w:w="1088" w:type="dxa"/>
            <w:tcBorders>
              <w:top w:val="nil"/>
              <w:left w:val="nil"/>
              <w:bottom w:val="nil"/>
              <w:right w:val="nil"/>
            </w:tcBorders>
            <w:shd w:val="clear" w:color="auto" w:fill="auto"/>
            <w:noWrap/>
            <w:vAlign w:val="center"/>
          </w:tcPr>
          <w:p w14:paraId="43444DFC"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5.831052</w:t>
            </w:r>
          </w:p>
        </w:tc>
        <w:tc>
          <w:tcPr>
            <w:tcW w:w="960" w:type="dxa"/>
            <w:tcBorders>
              <w:top w:val="nil"/>
              <w:left w:val="nil"/>
              <w:bottom w:val="nil"/>
              <w:right w:val="nil"/>
            </w:tcBorders>
            <w:shd w:val="clear" w:color="auto" w:fill="auto"/>
            <w:noWrap/>
            <w:vAlign w:val="center"/>
          </w:tcPr>
          <w:p w14:paraId="2E709D5B"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7.181621</w:t>
            </w:r>
          </w:p>
        </w:tc>
      </w:tr>
    </w:tbl>
    <w:p w14:paraId="1DB32F70" w14:textId="77777777" w:rsidR="00952029" w:rsidRDefault="00952029">
      <w:pPr>
        <w:widowControl/>
        <w:spacing w:after="0" w:line="240" w:lineRule="auto"/>
        <w:jc w:val="left"/>
      </w:pPr>
    </w:p>
    <w:p w14:paraId="7E2FA663" w14:textId="77777777" w:rsidR="00952029" w:rsidRDefault="009411E6">
      <w:pPr>
        <w:widowControl/>
        <w:spacing w:line="240" w:lineRule="auto"/>
        <w:jc w:val="center"/>
        <w:rPr>
          <w:i/>
          <w:iCs/>
          <w:sz w:val="18"/>
          <w:szCs w:val="18"/>
        </w:rPr>
      </w:pPr>
      <w:r>
        <w:rPr>
          <w:i/>
          <w:iCs/>
          <w:sz w:val="18"/>
          <w:szCs w:val="18"/>
        </w:rPr>
        <w:t>Table 2. Randomly Simulated Episodes</w:t>
      </w:r>
    </w:p>
    <w:p w14:paraId="050F27D8" w14:textId="555A6A8E" w:rsidR="00952029" w:rsidRDefault="009411E6">
      <w:pPr>
        <w:spacing w:line="240" w:lineRule="auto"/>
      </w:pPr>
      <w:r>
        <w:t>Following the CART tree for each episode, the following result is gained (</w:t>
      </w:r>
      <w:r>
        <w:rPr>
          <w:i/>
          <w:iCs/>
        </w:rPr>
        <w:t>Table 3</w:t>
      </w:r>
      <w:r>
        <w:t xml:space="preserve">). In the most favorable situation, the first one, </w:t>
      </w:r>
      <w:r w:rsidR="007F0657">
        <w:t>the probability of non-crisis is 0.433</w:t>
      </w:r>
      <w:r>
        <w:t>; in the second situation</w:t>
      </w:r>
      <w:r w:rsidR="007F0657">
        <w:t xml:space="preserve"> the probability of non-crisis is 0.100</w:t>
      </w:r>
      <w:r>
        <w:t xml:space="preserve">; in the third situation </w:t>
      </w:r>
      <w:r w:rsidR="007F0657">
        <w:t>it is 0.037</w:t>
      </w:r>
      <w:r>
        <w:t xml:space="preserve">. </w:t>
      </w:r>
    </w:p>
    <w:tbl>
      <w:tblPr>
        <w:tblW w:w="6030" w:type="dxa"/>
        <w:jc w:val="center"/>
        <w:tblLook w:val="04A0" w:firstRow="1" w:lastRow="0" w:firstColumn="1" w:lastColumn="0" w:noHBand="0" w:noVBand="1"/>
      </w:tblPr>
      <w:tblGrid>
        <w:gridCol w:w="1440"/>
        <w:gridCol w:w="2070"/>
        <w:gridCol w:w="2520"/>
      </w:tblGrid>
      <w:tr w:rsidR="00952029" w14:paraId="40E75BF6" w14:textId="77777777">
        <w:trPr>
          <w:trHeight w:val="300"/>
          <w:jc w:val="center"/>
        </w:trPr>
        <w:tc>
          <w:tcPr>
            <w:tcW w:w="1440" w:type="dxa"/>
            <w:tcBorders>
              <w:top w:val="nil"/>
              <w:left w:val="nil"/>
              <w:bottom w:val="nil"/>
              <w:right w:val="nil"/>
            </w:tcBorders>
            <w:shd w:val="clear" w:color="auto" w:fill="auto"/>
            <w:noWrap/>
            <w:vAlign w:val="center"/>
          </w:tcPr>
          <w:p w14:paraId="317830F5" w14:textId="77777777" w:rsidR="00952029" w:rsidRDefault="00952029">
            <w:pPr>
              <w:widowControl/>
              <w:spacing w:after="0" w:line="240" w:lineRule="auto"/>
              <w:jc w:val="left"/>
              <w:rPr>
                <w:rFonts w:ascii="Times New Roman" w:eastAsia="Times New Roman" w:hAnsi="Times New Roman" w:cs="Times New Roman"/>
                <w:sz w:val="24"/>
                <w:szCs w:val="24"/>
              </w:rPr>
            </w:pPr>
          </w:p>
        </w:tc>
        <w:tc>
          <w:tcPr>
            <w:tcW w:w="2070" w:type="dxa"/>
            <w:tcBorders>
              <w:top w:val="nil"/>
              <w:left w:val="nil"/>
              <w:bottom w:val="nil"/>
              <w:right w:val="nil"/>
            </w:tcBorders>
            <w:shd w:val="clear" w:color="auto" w:fill="auto"/>
            <w:noWrap/>
            <w:vAlign w:val="center"/>
          </w:tcPr>
          <w:p w14:paraId="6AFAF647" w14:textId="77777777" w:rsidR="00952029" w:rsidRDefault="009411E6">
            <w:pPr>
              <w:widowControl/>
              <w:spacing w:after="0" w:line="240" w:lineRule="auto"/>
              <w:jc w:val="left"/>
              <w:rPr>
                <w:rFonts w:ascii="Calibri" w:eastAsia="Times New Roman" w:hAnsi="Calibri" w:cs="Calibri"/>
                <w:color w:val="000000"/>
              </w:rPr>
            </w:pPr>
            <w:r>
              <w:rPr>
                <w:rFonts w:ascii="Calibri" w:eastAsia="Times New Roman" w:hAnsi="Calibri" w:cs="Calibri"/>
                <w:color w:val="000000"/>
              </w:rPr>
              <w:t xml:space="preserve">Number of Episodes </w:t>
            </w:r>
          </w:p>
        </w:tc>
        <w:tc>
          <w:tcPr>
            <w:tcW w:w="2520" w:type="dxa"/>
            <w:tcBorders>
              <w:top w:val="nil"/>
              <w:left w:val="nil"/>
              <w:bottom w:val="nil"/>
              <w:right w:val="nil"/>
            </w:tcBorders>
            <w:shd w:val="clear" w:color="auto" w:fill="auto"/>
            <w:noWrap/>
            <w:vAlign w:val="center"/>
          </w:tcPr>
          <w:p w14:paraId="38C6E260" w14:textId="04C03846" w:rsidR="00952029" w:rsidRDefault="00C915C4">
            <w:pPr>
              <w:widowControl/>
              <w:spacing w:after="0" w:line="240" w:lineRule="auto"/>
              <w:jc w:val="left"/>
              <w:rPr>
                <w:rFonts w:ascii="Calibri" w:eastAsia="Times New Roman" w:hAnsi="Calibri" w:cs="Calibri"/>
                <w:color w:val="000000"/>
              </w:rPr>
            </w:pPr>
            <w:r>
              <w:rPr>
                <w:rFonts w:ascii="Calibri" w:eastAsia="Times New Roman" w:hAnsi="Calibri" w:cs="Calibri"/>
                <w:color w:val="000000"/>
              </w:rPr>
              <w:t>L</w:t>
            </w:r>
            <w:r w:rsidRPr="00C915C4">
              <w:rPr>
                <w:rFonts w:ascii="Calibri" w:eastAsia="Times New Roman" w:hAnsi="Calibri" w:cs="Calibri" w:hint="eastAsia"/>
                <w:color w:val="000000"/>
              </w:rPr>
              <w:t>ike</w:t>
            </w:r>
            <w:r>
              <w:rPr>
                <w:rFonts w:ascii="Calibri" w:eastAsia="Times New Roman" w:hAnsi="Calibri" w:cs="Calibri"/>
                <w:color w:val="000000"/>
              </w:rPr>
              <w:t>lihood</w:t>
            </w:r>
            <w:r w:rsidR="009411E6">
              <w:rPr>
                <w:rFonts w:ascii="Calibri" w:eastAsia="Times New Roman" w:hAnsi="Calibri" w:cs="Calibri"/>
                <w:color w:val="000000"/>
              </w:rPr>
              <w:t xml:space="preserve"> of </w:t>
            </w:r>
            <w:r w:rsidR="007F0657">
              <w:rPr>
                <w:rFonts w:ascii="Calibri" w:eastAsia="Times New Roman" w:hAnsi="Calibri" w:cs="Calibri"/>
                <w:color w:val="000000"/>
              </w:rPr>
              <w:t>non-</w:t>
            </w:r>
            <w:r w:rsidR="009411E6">
              <w:rPr>
                <w:rFonts w:ascii="Calibri" w:eastAsia="Times New Roman" w:hAnsi="Calibri" w:cs="Calibri"/>
                <w:color w:val="000000"/>
              </w:rPr>
              <w:t xml:space="preserve">crisis </w:t>
            </w:r>
          </w:p>
        </w:tc>
      </w:tr>
      <w:tr w:rsidR="00952029" w14:paraId="5B709EEE" w14:textId="77777777">
        <w:trPr>
          <w:trHeight w:val="300"/>
          <w:jc w:val="center"/>
        </w:trPr>
        <w:tc>
          <w:tcPr>
            <w:tcW w:w="1440" w:type="dxa"/>
            <w:tcBorders>
              <w:top w:val="nil"/>
              <w:left w:val="nil"/>
              <w:bottom w:val="nil"/>
              <w:right w:val="nil"/>
            </w:tcBorders>
            <w:shd w:val="clear" w:color="auto" w:fill="auto"/>
            <w:noWrap/>
            <w:vAlign w:val="center"/>
          </w:tcPr>
          <w:p w14:paraId="06BFB31A" w14:textId="77777777" w:rsidR="00952029" w:rsidRDefault="009411E6">
            <w:pPr>
              <w:widowControl/>
              <w:spacing w:after="0" w:line="240" w:lineRule="auto"/>
              <w:jc w:val="left"/>
              <w:rPr>
                <w:rFonts w:ascii="Calibri" w:eastAsia="Times New Roman" w:hAnsi="Calibri" w:cs="Calibri"/>
                <w:color w:val="000000"/>
              </w:rPr>
            </w:pPr>
            <w:r>
              <w:rPr>
                <w:rFonts w:ascii="Calibri" w:eastAsia="Times New Roman" w:hAnsi="Calibri" w:cs="Calibri"/>
                <w:color w:val="000000"/>
              </w:rPr>
              <w:t xml:space="preserve">1st situation </w:t>
            </w:r>
          </w:p>
        </w:tc>
        <w:tc>
          <w:tcPr>
            <w:tcW w:w="2070" w:type="dxa"/>
            <w:tcBorders>
              <w:top w:val="nil"/>
              <w:left w:val="nil"/>
              <w:bottom w:val="nil"/>
              <w:right w:val="nil"/>
            </w:tcBorders>
            <w:shd w:val="clear" w:color="auto" w:fill="auto"/>
            <w:noWrap/>
            <w:vAlign w:val="center"/>
          </w:tcPr>
          <w:p w14:paraId="0346B1E8"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34</w:t>
            </w:r>
          </w:p>
        </w:tc>
        <w:tc>
          <w:tcPr>
            <w:tcW w:w="2520" w:type="dxa"/>
            <w:tcBorders>
              <w:top w:val="nil"/>
              <w:left w:val="nil"/>
              <w:bottom w:val="nil"/>
              <w:right w:val="nil"/>
            </w:tcBorders>
            <w:shd w:val="clear" w:color="auto" w:fill="auto"/>
            <w:noWrap/>
            <w:vAlign w:val="center"/>
          </w:tcPr>
          <w:p w14:paraId="4A23D35E" w14:textId="4AA1F156"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0.</w:t>
            </w:r>
            <w:r w:rsidR="007F0657">
              <w:rPr>
                <w:rFonts w:ascii="Calibri" w:eastAsia="Times New Roman" w:hAnsi="Calibri" w:cs="Calibri"/>
                <w:color w:val="000000"/>
              </w:rPr>
              <w:t>43</w:t>
            </w:r>
            <w:r w:rsidR="00C915C4">
              <w:rPr>
                <w:rFonts w:ascii="Calibri" w:eastAsia="Times New Roman" w:hAnsi="Calibri" w:cs="Calibri"/>
                <w:color w:val="000000"/>
              </w:rPr>
              <w:t>3</w:t>
            </w:r>
          </w:p>
        </w:tc>
      </w:tr>
      <w:tr w:rsidR="00952029" w14:paraId="5D3CB99C" w14:textId="77777777">
        <w:trPr>
          <w:trHeight w:val="300"/>
          <w:jc w:val="center"/>
        </w:trPr>
        <w:tc>
          <w:tcPr>
            <w:tcW w:w="1440" w:type="dxa"/>
            <w:tcBorders>
              <w:top w:val="nil"/>
              <w:left w:val="nil"/>
              <w:bottom w:val="nil"/>
              <w:right w:val="nil"/>
            </w:tcBorders>
            <w:shd w:val="clear" w:color="auto" w:fill="auto"/>
            <w:noWrap/>
            <w:vAlign w:val="center"/>
          </w:tcPr>
          <w:p w14:paraId="0A8E02E1" w14:textId="77777777" w:rsidR="00952029" w:rsidRDefault="009411E6">
            <w:pPr>
              <w:widowControl/>
              <w:spacing w:after="0" w:line="240" w:lineRule="auto"/>
              <w:jc w:val="left"/>
              <w:rPr>
                <w:rFonts w:ascii="Calibri" w:eastAsia="Times New Roman" w:hAnsi="Calibri" w:cs="Calibri"/>
                <w:color w:val="000000"/>
              </w:rPr>
            </w:pPr>
            <w:r>
              <w:rPr>
                <w:rFonts w:ascii="Calibri" w:eastAsia="Times New Roman" w:hAnsi="Calibri" w:cs="Calibri"/>
                <w:color w:val="000000"/>
              </w:rPr>
              <w:t xml:space="preserve">2nd situation </w:t>
            </w:r>
          </w:p>
        </w:tc>
        <w:tc>
          <w:tcPr>
            <w:tcW w:w="2070" w:type="dxa"/>
            <w:tcBorders>
              <w:top w:val="nil"/>
              <w:left w:val="nil"/>
              <w:bottom w:val="nil"/>
              <w:right w:val="nil"/>
            </w:tcBorders>
            <w:shd w:val="clear" w:color="auto" w:fill="auto"/>
            <w:noWrap/>
            <w:vAlign w:val="center"/>
          </w:tcPr>
          <w:p w14:paraId="0511333B"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14</w:t>
            </w:r>
          </w:p>
        </w:tc>
        <w:tc>
          <w:tcPr>
            <w:tcW w:w="2520" w:type="dxa"/>
            <w:tcBorders>
              <w:top w:val="nil"/>
              <w:left w:val="nil"/>
              <w:bottom w:val="nil"/>
              <w:right w:val="nil"/>
            </w:tcBorders>
            <w:shd w:val="clear" w:color="auto" w:fill="auto"/>
            <w:noWrap/>
            <w:vAlign w:val="center"/>
          </w:tcPr>
          <w:p w14:paraId="7FE70877" w14:textId="2A943420"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0.</w:t>
            </w:r>
            <w:r w:rsidR="007F0657">
              <w:rPr>
                <w:rFonts w:ascii="Calibri" w:eastAsia="Times New Roman" w:hAnsi="Calibri" w:cs="Calibri"/>
                <w:color w:val="000000"/>
              </w:rPr>
              <w:t>100</w:t>
            </w:r>
          </w:p>
        </w:tc>
      </w:tr>
      <w:tr w:rsidR="00952029" w14:paraId="2A7D7751" w14:textId="77777777">
        <w:trPr>
          <w:trHeight w:val="300"/>
          <w:jc w:val="center"/>
        </w:trPr>
        <w:tc>
          <w:tcPr>
            <w:tcW w:w="1440" w:type="dxa"/>
            <w:tcBorders>
              <w:top w:val="nil"/>
              <w:left w:val="nil"/>
              <w:bottom w:val="nil"/>
              <w:right w:val="nil"/>
            </w:tcBorders>
            <w:shd w:val="clear" w:color="auto" w:fill="auto"/>
            <w:noWrap/>
            <w:vAlign w:val="center"/>
          </w:tcPr>
          <w:p w14:paraId="7DA98397" w14:textId="77777777" w:rsidR="00952029" w:rsidRDefault="009411E6">
            <w:pPr>
              <w:widowControl/>
              <w:spacing w:after="0" w:line="240" w:lineRule="auto"/>
              <w:jc w:val="left"/>
              <w:rPr>
                <w:rFonts w:ascii="Calibri" w:eastAsia="Times New Roman" w:hAnsi="Calibri" w:cs="Calibri"/>
                <w:color w:val="000000"/>
              </w:rPr>
            </w:pPr>
            <w:r>
              <w:rPr>
                <w:rFonts w:ascii="Calibri" w:eastAsia="Times New Roman" w:hAnsi="Calibri" w:cs="Calibri"/>
                <w:color w:val="000000"/>
              </w:rPr>
              <w:t xml:space="preserve">3rd situation </w:t>
            </w:r>
          </w:p>
        </w:tc>
        <w:tc>
          <w:tcPr>
            <w:tcW w:w="2070" w:type="dxa"/>
            <w:tcBorders>
              <w:top w:val="nil"/>
              <w:left w:val="nil"/>
              <w:bottom w:val="nil"/>
              <w:right w:val="nil"/>
            </w:tcBorders>
            <w:shd w:val="clear" w:color="auto" w:fill="auto"/>
            <w:noWrap/>
            <w:vAlign w:val="center"/>
          </w:tcPr>
          <w:p w14:paraId="6B2A239A" w14:textId="77777777"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19</w:t>
            </w:r>
          </w:p>
        </w:tc>
        <w:tc>
          <w:tcPr>
            <w:tcW w:w="2520" w:type="dxa"/>
            <w:tcBorders>
              <w:top w:val="nil"/>
              <w:left w:val="nil"/>
              <w:bottom w:val="nil"/>
              <w:right w:val="nil"/>
            </w:tcBorders>
            <w:shd w:val="clear" w:color="auto" w:fill="auto"/>
            <w:noWrap/>
            <w:vAlign w:val="center"/>
          </w:tcPr>
          <w:p w14:paraId="4AA4AC94" w14:textId="52163386" w:rsidR="00952029" w:rsidRDefault="009411E6">
            <w:pPr>
              <w:widowControl/>
              <w:spacing w:after="0" w:line="240" w:lineRule="auto"/>
              <w:jc w:val="right"/>
              <w:rPr>
                <w:rFonts w:ascii="Calibri" w:eastAsia="Times New Roman" w:hAnsi="Calibri" w:cs="Calibri"/>
                <w:color w:val="000000"/>
              </w:rPr>
            </w:pPr>
            <w:r>
              <w:rPr>
                <w:rFonts w:ascii="Calibri" w:eastAsia="Times New Roman" w:hAnsi="Calibri" w:cs="Calibri"/>
                <w:color w:val="000000"/>
              </w:rPr>
              <w:t>0</w:t>
            </w:r>
            <w:r w:rsidR="007F0657">
              <w:rPr>
                <w:rFonts w:ascii="Calibri" w:eastAsia="Times New Roman" w:hAnsi="Calibri" w:cs="Calibri"/>
                <w:color w:val="000000"/>
              </w:rPr>
              <w:t>.037</w:t>
            </w:r>
          </w:p>
        </w:tc>
      </w:tr>
    </w:tbl>
    <w:p w14:paraId="2A573831" w14:textId="77777777" w:rsidR="00952029" w:rsidRDefault="009411E6">
      <w:pPr>
        <w:widowControl/>
        <w:spacing w:line="240" w:lineRule="auto"/>
        <w:jc w:val="center"/>
        <w:rPr>
          <w:i/>
          <w:iCs/>
          <w:sz w:val="18"/>
          <w:szCs w:val="18"/>
        </w:rPr>
      </w:pPr>
      <w:r>
        <w:rPr>
          <w:i/>
          <w:iCs/>
          <w:sz w:val="18"/>
          <w:szCs w:val="18"/>
        </w:rPr>
        <w:t>Table 3. Simulation Result</w:t>
      </w:r>
    </w:p>
    <w:p w14:paraId="6F137A80" w14:textId="77777777" w:rsidR="00952029" w:rsidRDefault="009411E6">
      <w:pPr>
        <w:spacing w:line="240" w:lineRule="auto"/>
      </w:pPr>
      <w:bookmarkStart w:id="2" w:name="_Hlk101569642"/>
      <w:r>
        <w:t>The simulation result in the 3</w:t>
      </w:r>
      <w:r>
        <w:rPr>
          <w:vertAlign w:val="superscript"/>
        </w:rPr>
        <w:t>rd</w:t>
      </w:r>
      <w:r>
        <w:t xml:space="preserve"> situation is unrealistic due to the assumption that the years to the next presidential election conform to normal distribution. This variable is integral in most countries and is often four or five. The number of episodes in the 3</w:t>
      </w:r>
      <w:r>
        <w:rPr>
          <w:vertAlign w:val="superscript"/>
        </w:rPr>
        <w:t>rd</w:t>
      </w:r>
      <w:r>
        <w:t xml:space="preserve"> situation is expected to be less than that in the 2</w:t>
      </w:r>
      <w:r>
        <w:rPr>
          <w:vertAlign w:val="superscript"/>
        </w:rPr>
        <w:t>nd</w:t>
      </w:r>
      <w:r>
        <w:t xml:space="preserve"> situation, but this assumption causes unrealistic result. </w:t>
      </w:r>
    </w:p>
    <w:bookmarkEnd w:id="2"/>
    <w:p w14:paraId="594F845F" w14:textId="77777777" w:rsidR="00952029" w:rsidRDefault="00952029">
      <w:pPr>
        <w:spacing w:line="240" w:lineRule="auto"/>
      </w:pPr>
    </w:p>
    <w:p w14:paraId="5A9624B9" w14:textId="77777777" w:rsidR="00952029" w:rsidRDefault="009411E6">
      <w:pPr>
        <w:spacing w:line="240" w:lineRule="auto"/>
        <w:rPr>
          <w:b/>
          <w:bCs/>
        </w:rPr>
      </w:pPr>
      <w:r>
        <w:rPr>
          <w:b/>
          <w:bCs/>
        </w:rPr>
        <w:lastRenderedPageBreak/>
        <w:t>Conclusion</w:t>
      </w:r>
    </w:p>
    <w:p w14:paraId="4D0BC2D8" w14:textId="77777777" w:rsidR="00952029" w:rsidRDefault="009411E6">
      <w:pPr>
        <w:widowControl/>
        <w:spacing w:after="0" w:line="240" w:lineRule="auto"/>
        <w:jc w:val="left"/>
      </w:pPr>
      <w:r>
        <w:t xml:space="preserve">In conclusion, this report models and analyzes sovereign debt crisis. Nine precipitating events of sovereign debt crisis are fitted by normal distribution and analyzed by using CART. It is noticed that low external debt is not enough to remove debt crisis risk. Instead, the most safety state is low external debt, low short-term and low public external debt, coupled with high economic growth, and staying in this situation is the most effective action to mitigate sovereign debt risk. However, in Monte Carlo simulation, I find the assumption that the years to the next presidential election conform to normal distribution is not reasonable. Additionally, it is predicted the US is crisis-prone with the 40 percent default risk during the pandemic. </w:t>
      </w:r>
    </w:p>
    <w:p w14:paraId="573EB90D" w14:textId="77777777" w:rsidR="00952029" w:rsidRDefault="00952029">
      <w:pPr>
        <w:widowControl/>
        <w:spacing w:after="0" w:line="240" w:lineRule="auto"/>
        <w:jc w:val="left"/>
      </w:pPr>
    </w:p>
    <w:p w14:paraId="1C4E06BC" w14:textId="77777777" w:rsidR="00952029" w:rsidRDefault="00952029">
      <w:pPr>
        <w:widowControl/>
        <w:spacing w:after="0" w:line="240" w:lineRule="auto"/>
        <w:jc w:val="left"/>
      </w:pPr>
    </w:p>
    <w:p w14:paraId="78651A0F" w14:textId="584E189F" w:rsidR="00952029" w:rsidRDefault="00952029">
      <w:pPr>
        <w:spacing w:line="240" w:lineRule="auto"/>
      </w:pPr>
    </w:p>
    <w:p w14:paraId="47136932" w14:textId="4EB79069" w:rsidR="00454E98" w:rsidRDefault="00454E98">
      <w:pPr>
        <w:spacing w:line="240" w:lineRule="auto"/>
      </w:pPr>
    </w:p>
    <w:p w14:paraId="732BDF89" w14:textId="752B9156" w:rsidR="00454E98" w:rsidRDefault="00454E98">
      <w:pPr>
        <w:spacing w:line="240" w:lineRule="auto"/>
      </w:pPr>
    </w:p>
    <w:p w14:paraId="23739923" w14:textId="24C6A829" w:rsidR="00454E98" w:rsidRDefault="00454E98">
      <w:pPr>
        <w:spacing w:line="240" w:lineRule="auto"/>
      </w:pPr>
    </w:p>
    <w:p w14:paraId="742DFB91" w14:textId="2318DF3E" w:rsidR="00454E98" w:rsidRDefault="00454E98">
      <w:pPr>
        <w:spacing w:line="240" w:lineRule="auto"/>
      </w:pPr>
    </w:p>
    <w:p w14:paraId="0C3900DA" w14:textId="01E26EEF" w:rsidR="00454E98" w:rsidRDefault="00454E98">
      <w:pPr>
        <w:spacing w:line="240" w:lineRule="auto"/>
      </w:pPr>
    </w:p>
    <w:p w14:paraId="66C68217" w14:textId="6879A032" w:rsidR="00454E98" w:rsidRDefault="00454E98">
      <w:pPr>
        <w:spacing w:line="240" w:lineRule="auto"/>
      </w:pPr>
    </w:p>
    <w:p w14:paraId="1D0387F7" w14:textId="2B83D47E" w:rsidR="00454E98" w:rsidRDefault="00454E98">
      <w:pPr>
        <w:spacing w:line="240" w:lineRule="auto"/>
      </w:pPr>
    </w:p>
    <w:p w14:paraId="7B7B9D5E" w14:textId="505116CF" w:rsidR="00454E98" w:rsidRDefault="00454E98">
      <w:pPr>
        <w:spacing w:line="240" w:lineRule="auto"/>
      </w:pPr>
    </w:p>
    <w:p w14:paraId="51E4E02F" w14:textId="547954DF" w:rsidR="00454E98" w:rsidRDefault="00454E98">
      <w:pPr>
        <w:spacing w:line="240" w:lineRule="auto"/>
      </w:pPr>
    </w:p>
    <w:p w14:paraId="4DB9DB22" w14:textId="6E18854F" w:rsidR="00454E98" w:rsidRDefault="00454E98">
      <w:pPr>
        <w:spacing w:line="240" w:lineRule="auto"/>
      </w:pPr>
    </w:p>
    <w:p w14:paraId="3DBF1F5C" w14:textId="6822E968" w:rsidR="00454E98" w:rsidRDefault="00454E98">
      <w:pPr>
        <w:spacing w:line="240" w:lineRule="auto"/>
      </w:pPr>
    </w:p>
    <w:p w14:paraId="1E612495" w14:textId="0FC52DE4" w:rsidR="00454E98" w:rsidRDefault="00454E98">
      <w:pPr>
        <w:spacing w:line="240" w:lineRule="auto"/>
      </w:pPr>
    </w:p>
    <w:p w14:paraId="1A7E3B6D" w14:textId="77BA95E4" w:rsidR="00454E98" w:rsidRDefault="00454E98">
      <w:pPr>
        <w:spacing w:line="240" w:lineRule="auto"/>
      </w:pPr>
    </w:p>
    <w:p w14:paraId="4C154F1A" w14:textId="68887B46" w:rsidR="00454E98" w:rsidRDefault="00454E98">
      <w:pPr>
        <w:spacing w:line="240" w:lineRule="auto"/>
      </w:pPr>
    </w:p>
    <w:p w14:paraId="56EE1CAC" w14:textId="07CED013" w:rsidR="00454E98" w:rsidRDefault="00454E98">
      <w:pPr>
        <w:spacing w:line="240" w:lineRule="auto"/>
      </w:pPr>
    </w:p>
    <w:p w14:paraId="2411175C" w14:textId="3EB9EF93" w:rsidR="00454E98" w:rsidRDefault="00454E98">
      <w:pPr>
        <w:spacing w:line="240" w:lineRule="auto"/>
      </w:pPr>
    </w:p>
    <w:p w14:paraId="7E28BB5B" w14:textId="7BA893E8" w:rsidR="00454E98" w:rsidRDefault="00454E98">
      <w:pPr>
        <w:spacing w:line="240" w:lineRule="auto"/>
      </w:pPr>
    </w:p>
    <w:p w14:paraId="0D3F233F" w14:textId="4A37D405" w:rsidR="00454E98" w:rsidRDefault="00454E98">
      <w:pPr>
        <w:spacing w:line="240" w:lineRule="auto"/>
      </w:pPr>
    </w:p>
    <w:p w14:paraId="5ACD9D21" w14:textId="1D11E89C" w:rsidR="00454E98" w:rsidRDefault="00454E98">
      <w:pPr>
        <w:spacing w:line="240" w:lineRule="auto"/>
      </w:pPr>
    </w:p>
    <w:p w14:paraId="5315788B" w14:textId="79BE5E75" w:rsidR="00454E98" w:rsidRDefault="00454E98">
      <w:pPr>
        <w:spacing w:line="240" w:lineRule="auto"/>
      </w:pPr>
    </w:p>
    <w:p w14:paraId="04B6AC93" w14:textId="77777777" w:rsidR="00454E98" w:rsidRDefault="00454E98">
      <w:pPr>
        <w:spacing w:line="240" w:lineRule="auto"/>
      </w:pPr>
    </w:p>
    <w:p w14:paraId="59A5A164" w14:textId="05F47848" w:rsidR="00952029" w:rsidRDefault="009411E6" w:rsidP="006F3561">
      <w:pPr>
        <w:spacing w:line="240" w:lineRule="auto"/>
        <w:jc w:val="left"/>
        <w:rPr>
          <w:b/>
          <w:bCs/>
        </w:rPr>
      </w:pPr>
      <w:r>
        <w:rPr>
          <w:b/>
          <w:bCs/>
        </w:rPr>
        <w:lastRenderedPageBreak/>
        <w:t>Reference</w:t>
      </w:r>
    </w:p>
    <w:p w14:paraId="3831AAE8" w14:textId="64AAA2B4" w:rsidR="006F3561" w:rsidRDefault="00A24260" w:rsidP="006F3561">
      <w:pPr>
        <w:widowControl/>
        <w:spacing w:after="0" w:line="240" w:lineRule="auto"/>
        <w:jc w:val="left"/>
        <w:rPr>
          <w:rFonts w:ascii="HelveticaNeueLTPro-Lt" w:hAnsi="HelveticaNeueLTPro-Lt" w:hint="eastAsia"/>
          <w:color w:val="1A74F3"/>
          <w:sz w:val="20"/>
          <w:szCs w:val="20"/>
        </w:rPr>
      </w:pPr>
      <w:r>
        <w:rPr>
          <w:rFonts w:ascii="Cambria" w:hAnsi="Cambria"/>
          <w:color w:val="000000"/>
        </w:rPr>
        <w:t>[</w:t>
      </w:r>
      <w:r w:rsidR="00E95ADD">
        <w:rPr>
          <w:rFonts w:ascii="Cambria" w:hAnsi="Cambria"/>
          <w:color w:val="000000"/>
        </w:rPr>
        <w:t>1</w:t>
      </w:r>
      <w:r>
        <w:rPr>
          <w:rFonts w:ascii="Cambria" w:hAnsi="Cambria"/>
          <w:color w:val="000000"/>
        </w:rPr>
        <w:t xml:space="preserve">] </w:t>
      </w:r>
      <w:r w:rsidRPr="00A24260">
        <w:rPr>
          <w:rFonts w:ascii="Cambria" w:hAnsi="Cambria"/>
          <w:color w:val="000000"/>
        </w:rPr>
        <w:t>Andrea Pescatori</w:t>
      </w:r>
      <w:r w:rsidR="00C9740D">
        <w:rPr>
          <w:rFonts w:ascii="Cambria" w:hAnsi="Cambria"/>
          <w:color w:val="000000"/>
        </w:rPr>
        <w:t xml:space="preserve">, </w:t>
      </w:r>
      <w:r w:rsidRPr="00A24260">
        <w:rPr>
          <w:rFonts w:ascii="Cambria" w:hAnsi="Cambria"/>
          <w:color w:val="000000"/>
        </w:rPr>
        <w:t>Amadou N. R. Sy</w:t>
      </w:r>
      <w:r>
        <w:rPr>
          <w:rFonts w:ascii="Cambria" w:hAnsi="Cambria"/>
          <w:color w:val="000000"/>
        </w:rPr>
        <w:t>. "</w:t>
      </w:r>
      <w:r w:rsidRPr="00A24260">
        <w:rPr>
          <w:rFonts w:ascii="Cambria" w:hAnsi="Cambria"/>
          <w:color w:val="000000"/>
        </w:rPr>
        <w:t>Are Debt Crises Adequately Defined?</w:t>
      </w:r>
      <w:r>
        <w:rPr>
          <w:rFonts w:ascii="Cambria" w:hAnsi="Cambria"/>
          <w:color w:val="000000"/>
        </w:rPr>
        <w:t xml:space="preserve">”. </w:t>
      </w:r>
      <w:r w:rsidR="00CE3224" w:rsidRPr="00CE3224">
        <w:rPr>
          <w:rFonts w:ascii="Cambria" w:hAnsi="Cambria"/>
          <w:i/>
          <w:iCs/>
          <w:color w:val="000000"/>
        </w:rPr>
        <w:t>Palgrave Macmillan Journals</w:t>
      </w:r>
      <w:r>
        <w:rPr>
          <w:rFonts w:ascii="Cambria" w:hAnsi="Cambria"/>
          <w:i/>
          <w:iCs/>
          <w:color w:val="000000"/>
        </w:rPr>
        <w:t>,</w:t>
      </w:r>
      <w:r>
        <w:rPr>
          <w:rFonts w:ascii="Cambria" w:hAnsi="Cambria"/>
          <w:color w:val="000000"/>
        </w:rPr>
        <w:t xml:space="preserve"> last modified </w:t>
      </w:r>
      <w:r w:rsidR="00CE3224">
        <w:rPr>
          <w:rFonts w:ascii="Cambria" w:hAnsi="Cambria"/>
          <w:color w:val="000000"/>
        </w:rPr>
        <w:t>August</w:t>
      </w:r>
      <w:r>
        <w:rPr>
          <w:rFonts w:ascii="Cambria" w:hAnsi="Cambria"/>
          <w:color w:val="000000"/>
        </w:rPr>
        <w:t xml:space="preserve"> </w:t>
      </w:r>
      <w:r w:rsidR="00CE3224">
        <w:rPr>
          <w:rFonts w:ascii="Cambria" w:hAnsi="Cambria"/>
          <w:color w:val="000000"/>
        </w:rPr>
        <w:t>2</w:t>
      </w:r>
      <w:r>
        <w:rPr>
          <w:rFonts w:ascii="Cambria" w:hAnsi="Cambria"/>
          <w:color w:val="000000"/>
        </w:rPr>
        <w:t>1, 20</w:t>
      </w:r>
      <w:r w:rsidR="00CE3224">
        <w:rPr>
          <w:rFonts w:ascii="Cambria" w:hAnsi="Cambria"/>
          <w:color w:val="000000"/>
        </w:rPr>
        <w:t>07</w:t>
      </w:r>
      <w:r>
        <w:rPr>
          <w:rFonts w:ascii="Cambria" w:hAnsi="Cambria"/>
          <w:color w:val="000000"/>
        </w:rPr>
        <w:t>, accessed April 23, 2022</w:t>
      </w:r>
      <w:r w:rsidR="00CE3224">
        <w:rPr>
          <w:rFonts w:ascii="Cambria" w:hAnsi="Cambria"/>
          <w:color w:val="000000"/>
        </w:rPr>
        <w:t xml:space="preserve">, </w:t>
      </w:r>
      <w:hyperlink r:id="rId17" w:history="1">
        <w:r w:rsidR="00CE3224" w:rsidRPr="00CE3224">
          <w:rPr>
            <w:rFonts w:ascii="HelveticaNeueLTPro-Lt" w:hAnsi="HelveticaNeueLTPro-Lt"/>
            <w:color w:val="1A74F3"/>
            <w:sz w:val="20"/>
            <w:szCs w:val="20"/>
          </w:rPr>
          <w:t>https://www.jstor.org/stable/30036034?seq=1</w:t>
        </w:r>
      </w:hyperlink>
    </w:p>
    <w:p w14:paraId="7528F6CF" w14:textId="43CB9E19" w:rsidR="00E95ADD" w:rsidRDefault="00E95ADD" w:rsidP="006F3561">
      <w:pPr>
        <w:widowControl/>
        <w:spacing w:after="0" w:line="240" w:lineRule="auto"/>
        <w:jc w:val="left"/>
        <w:rPr>
          <w:rFonts w:ascii="HelveticaNeueLTPro-Lt" w:hAnsi="HelveticaNeueLTPro-Lt" w:hint="eastAsia"/>
          <w:color w:val="1A74F3"/>
          <w:sz w:val="20"/>
          <w:szCs w:val="20"/>
        </w:rPr>
      </w:pPr>
      <w:r>
        <w:rPr>
          <w:rFonts w:ascii="Cambria" w:hAnsi="Cambria"/>
          <w:color w:val="000000"/>
        </w:rPr>
        <w:t>[2]</w:t>
      </w:r>
      <w:r w:rsidRPr="00A24260">
        <w:rPr>
          <w:rFonts w:ascii="HelveticaNeueLTPro-Lt" w:hAnsi="HelveticaNeueLTPro-Lt"/>
          <w:color w:val="262626"/>
          <w:sz w:val="26"/>
          <w:szCs w:val="26"/>
        </w:rPr>
        <w:t xml:space="preserve"> </w:t>
      </w:r>
      <w:r w:rsidRPr="00A24260">
        <w:rPr>
          <w:rFonts w:ascii="Cambria" w:hAnsi="Cambria"/>
          <w:color w:val="000000"/>
        </w:rPr>
        <w:t>Marsh McLennan</w:t>
      </w:r>
      <w:r>
        <w:rPr>
          <w:rFonts w:ascii="Cambria" w:hAnsi="Cambria"/>
          <w:color w:val="000000"/>
        </w:rPr>
        <w:t xml:space="preserve">. </w:t>
      </w:r>
      <w:r w:rsidRPr="00A24260">
        <w:rPr>
          <w:rFonts w:ascii="Cambria" w:hAnsi="Cambria"/>
          <w:color w:val="000000"/>
        </w:rPr>
        <w:t>SK Group</w:t>
      </w:r>
      <w:r>
        <w:rPr>
          <w:rFonts w:ascii="Cambria" w:hAnsi="Cambria"/>
          <w:color w:val="000000"/>
        </w:rPr>
        <w:t xml:space="preserve">. </w:t>
      </w:r>
      <w:r w:rsidRPr="00A24260">
        <w:rPr>
          <w:rFonts w:ascii="Cambria" w:hAnsi="Cambria"/>
          <w:color w:val="000000"/>
        </w:rPr>
        <w:t>Zurich Insurance Group</w:t>
      </w:r>
      <w:r>
        <w:rPr>
          <w:rFonts w:ascii="Cambria" w:hAnsi="Cambria"/>
          <w:color w:val="000000"/>
        </w:rPr>
        <w:t>. "T</w:t>
      </w:r>
      <w:r>
        <w:rPr>
          <w:rFonts w:ascii="Cambria" w:hAnsi="Cambria" w:hint="eastAsia"/>
          <w:color w:val="000000"/>
        </w:rPr>
        <w:t>h</w:t>
      </w:r>
      <w:r>
        <w:rPr>
          <w:rFonts w:ascii="Cambria" w:hAnsi="Cambria"/>
          <w:color w:val="000000"/>
        </w:rPr>
        <w:t>e Global Risks Report 2022 17</w:t>
      </w:r>
      <w:r w:rsidRPr="00E22047">
        <w:rPr>
          <w:rFonts w:ascii="Cambria" w:hAnsi="Cambria"/>
          <w:color w:val="000000"/>
          <w:vertAlign w:val="superscript"/>
        </w:rPr>
        <w:t>th</w:t>
      </w:r>
      <w:r>
        <w:rPr>
          <w:rFonts w:ascii="Cambria" w:hAnsi="Cambria"/>
          <w:color w:val="000000"/>
        </w:rPr>
        <w:t xml:space="preserve"> Edition”. </w:t>
      </w:r>
      <w:r>
        <w:rPr>
          <w:rFonts w:ascii="Cambria" w:hAnsi="Cambria"/>
          <w:i/>
          <w:iCs/>
          <w:color w:val="000000"/>
        </w:rPr>
        <w:t>World Economic Forum,</w:t>
      </w:r>
      <w:r>
        <w:rPr>
          <w:rFonts w:ascii="Cambria" w:hAnsi="Cambria"/>
          <w:color w:val="000000"/>
        </w:rPr>
        <w:t xml:space="preserve"> last modified January 11, 2022, accessed April 23, 2022, </w:t>
      </w:r>
      <w:hyperlink r:id="rId18" w:history="1">
        <w:r w:rsidRPr="00DB7552">
          <w:rPr>
            <w:rStyle w:val="Hyperlink"/>
            <w:rFonts w:ascii="HelveticaNeueLTPro-Lt" w:hAnsi="HelveticaNeueLTPro-Lt"/>
            <w:sz w:val="20"/>
            <w:szCs w:val="20"/>
          </w:rPr>
          <w:t>https://www.weforum.org/reports/global-risks-report-2022</w:t>
        </w:r>
      </w:hyperlink>
    </w:p>
    <w:p w14:paraId="5CB93D49" w14:textId="0824550C" w:rsidR="00236284" w:rsidRDefault="00CE3224" w:rsidP="00236284">
      <w:pPr>
        <w:widowControl/>
        <w:spacing w:after="0" w:line="240" w:lineRule="auto"/>
        <w:jc w:val="left"/>
        <w:rPr>
          <w:rFonts w:ascii="Cambria" w:hAnsi="Cambria"/>
          <w:color w:val="000000"/>
        </w:rPr>
      </w:pPr>
      <w:r w:rsidRPr="00C9740D">
        <w:rPr>
          <w:rFonts w:ascii="Cambria" w:hAnsi="Cambria"/>
          <w:color w:val="000000"/>
        </w:rPr>
        <w:t>[3</w:t>
      </w:r>
      <w:r w:rsidR="00236284">
        <w:rPr>
          <w:rFonts w:ascii="Cambria" w:hAnsi="Cambria"/>
          <w:color w:val="000000"/>
        </w:rPr>
        <w:t xml:space="preserve">] </w:t>
      </w:r>
      <w:r w:rsidR="00236284" w:rsidRPr="00236284">
        <w:rPr>
          <w:rFonts w:ascii="Cambria" w:hAnsi="Cambria"/>
          <w:color w:val="000000"/>
        </w:rPr>
        <w:t>“Sovereign Defaults: Moving Higher Again in 20</w:t>
      </w:r>
      <w:r w:rsidR="00236284">
        <w:rPr>
          <w:rFonts w:ascii="Cambria" w:hAnsi="Cambria"/>
          <w:color w:val="000000"/>
        </w:rPr>
        <w:t>22</w:t>
      </w:r>
      <w:r w:rsidR="00236284" w:rsidRPr="00236284">
        <w:rPr>
          <w:rFonts w:ascii="Cambria" w:hAnsi="Cambria"/>
          <w:color w:val="000000"/>
        </w:rPr>
        <w:t>?”</w:t>
      </w:r>
      <w:r w:rsidR="00236284">
        <w:rPr>
          <w:rFonts w:ascii="Cambria" w:hAnsi="Cambria"/>
          <w:color w:val="000000"/>
        </w:rPr>
        <w:t>.</w:t>
      </w:r>
      <w:r w:rsidR="00236284" w:rsidRPr="00236284">
        <w:rPr>
          <w:rFonts w:ascii="Cambria" w:hAnsi="Cambria"/>
          <w:color w:val="000000"/>
        </w:rPr>
        <w:t xml:space="preserve"> </w:t>
      </w:r>
      <w:r w:rsidR="00236284" w:rsidRPr="00236284">
        <w:rPr>
          <w:rFonts w:ascii="Cambria" w:hAnsi="Cambria"/>
          <w:i/>
          <w:iCs/>
          <w:color w:val="000000"/>
        </w:rPr>
        <w:t>Standard &amp; Poor’s</w:t>
      </w:r>
      <w:r w:rsidR="00236284">
        <w:rPr>
          <w:rFonts w:ascii="Cambria" w:hAnsi="Cambria"/>
          <w:color w:val="000000"/>
        </w:rPr>
        <w:t xml:space="preserve">, </w:t>
      </w:r>
      <w:r w:rsidR="00236284" w:rsidRPr="00236284">
        <w:rPr>
          <w:rFonts w:ascii="Cambria" w:hAnsi="Cambria"/>
          <w:color w:val="000000"/>
        </w:rPr>
        <w:t xml:space="preserve"> </w:t>
      </w:r>
      <w:r w:rsidR="00236284">
        <w:rPr>
          <w:rFonts w:ascii="Cambria" w:hAnsi="Cambria"/>
          <w:color w:val="000000"/>
        </w:rPr>
        <w:t>last modified January</w:t>
      </w:r>
      <w:r w:rsidR="00236284" w:rsidRPr="00236284">
        <w:rPr>
          <w:rFonts w:ascii="Cambria" w:hAnsi="Cambria"/>
          <w:color w:val="000000"/>
        </w:rPr>
        <w:t xml:space="preserve"> 24</w:t>
      </w:r>
      <w:r w:rsidR="00236284">
        <w:rPr>
          <w:rFonts w:ascii="Cambria" w:hAnsi="Cambria"/>
          <w:color w:val="000000"/>
        </w:rPr>
        <w:t xml:space="preserve">, 2022, accessed April 23, 2022. </w:t>
      </w:r>
    </w:p>
    <w:p w14:paraId="74DF4F73" w14:textId="78BB9BE3" w:rsidR="00F5309D" w:rsidRDefault="00F5309D" w:rsidP="00236284">
      <w:pPr>
        <w:widowControl/>
        <w:spacing w:after="0" w:line="240" w:lineRule="auto"/>
        <w:jc w:val="left"/>
        <w:rPr>
          <w:rFonts w:ascii="Cambria" w:hAnsi="Cambria"/>
          <w:color w:val="000000"/>
        </w:rPr>
      </w:pPr>
      <w:r>
        <w:rPr>
          <w:rFonts w:ascii="Cambria" w:hAnsi="Cambria" w:hint="eastAsia"/>
          <w:color w:val="000000"/>
        </w:rPr>
        <w:t>[</w:t>
      </w:r>
      <w:r>
        <w:rPr>
          <w:rFonts w:ascii="Cambria" w:hAnsi="Cambria"/>
          <w:color w:val="000000"/>
        </w:rPr>
        <w:t>4]</w:t>
      </w:r>
      <w:r w:rsidRPr="00F5309D">
        <w:rPr>
          <w:rFonts w:ascii="Cambria" w:hAnsi="Cambria"/>
          <w:color w:val="000000"/>
        </w:rPr>
        <w:t xml:space="preserve"> </w:t>
      </w:r>
      <w:r w:rsidRPr="00275946">
        <w:rPr>
          <w:rFonts w:ascii="Cambria" w:hAnsi="Cambria"/>
          <w:color w:val="000000"/>
        </w:rPr>
        <w:t>Paolo Manasse, Nouriel Roubini,</w:t>
      </w:r>
      <w:r>
        <w:rPr>
          <w:rFonts w:ascii="Cambria" w:hAnsi="Cambria"/>
          <w:color w:val="000000"/>
        </w:rPr>
        <w:t xml:space="preserve"> </w:t>
      </w:r>
      <w:r w:rsidRPr="00275946">
        <w:rPr>
          <w:rFonts w:ascii="Cambria" w:hAnsi="Cambria"/>
          <w:color w:val="000000"/>
        </w:rPr>
        <w:t xml:space="preserve">Axel Schimmelpfennig. </w:t>
      </w:r>
      <w:r>
        <w:rPr>
          <w:rFonts w:ascii="Cambria" w:hAnsi="Cambria"/>
          <w:color w:val="000000"/>
        </w:rPr>
        <w:t>“</w:t>
      </w:r>
      <w:r w:rsidRPr="00275946">
        <w:rPr>
          <w:rFonts w:ascii="Cambria" w:hAnsi="Cambria"/>
          <w:color w:val="000000"/>
        </w:rPr>
        <w:t xml:space="preserve">Predicting Sovereign Debt </w:t>
      </w:r>
      <w:r w:rsidRPr="00262DBF">
        <w:rPr>
          <w:rFonts w:ascii="Cambria" w:hAnsi="Cambria"/>
          <w:color w:val="000000"/>
        </w:rPr>
        <w:t>Crises”</w:t>
      </w:r>
      <w:r w:rsidRPr="00262DBF">
        <w:rPr>
          <w:rFonts w:ascii="Cambria" w:hAnsi="Cambria"/>
          <w:i/>
          <w:iCs/>
          <w:color w:val="000000"/>
        </w:rPr>
        <w:t>. International Monetary Fund</w:t>
      </w:r>
      <w:r>
        <w:rPr>
          <w:rFonts w:ascii="Cambria" w:hAnsi="Cambria"/>
          <w:i/>
          <w:iCs/>
          <w:color w:val="000000"/>
        </w:rPr>
        <w:t xml:space="preserve">, </w:t>
      </w:r>
      <w:r>
        <w:rPr>
          <w:rFonts w:ascii="Cambria" w:hAnsi="Cambria"/>
          <w:color w:val="000000"/>
        </w:rPr>
        <w:t xml:space="preserve">last modified November, 2003, accessed April 23, 2022, </w:t>
      </w:r>
      <w:hyperlink r:id="rId19" w:history="1">
        <w:r w:rsidRPr="00DB7552">
          <w:rPr>
            <w:rStyle w:val="Hyperlink"/>
            <w:rFonts w:ascii="HelveticaNeueLTPro-Lt" w:hAnsi="HelveticaNeueLTPro-Lt"/>
            <w:sz w:val="20"/>
            <w:szCs w:val="20"/>
          </w:rPr>
          <w:t>https://www.imf.org/external/pubs/ft/wp/2003/wp03221.pdf</w:t>
        </w:r>
      </w:hyperlink>
    </w:p>
    <w:p w14:paraId="0DB201B0" w14:textId="298FA629" w:rsidR="00EE0E70" w:rsidRDefault="00C9740D" w:rsidP="00236284">
      <w:pPr>
        <w:widowControl/>
        <w:spacing w:after="0" w:line="240" w:lineRule="auto"/>
        <w:jc w:val="left"/>
        <w:rPr>
          <w:rStyle w:val="Hyperlink"/>
          <w:rFonts w:ascii="HelveticaNeueLTPro-Lt" w:hAnsi="HelveticaNeueLTPro-Lt"/>
          <w:sz w:val="20"/>
          <w:szCs w:val="20"/>
        </w:rPr>
      </w:pPr>
      <w:r w:rsidRPr="00C9740D">
        <w:rPr>
          <w:rFonts w:ascii="Cambria" w:hAnsi="Cambria"/>
          <w:color w:val="000000"/>
        </w:rPr>
        <w:t>[</w:t>
      </w:r>
      <w:r w:rsidR="00F5309D">
        <w:rPr>
          <w:rFonts w:ascii="Cambria" w:hAnsi="Cambria"/>
          <w:color w:val="000000"/>
        </w:rPr>
        <w:t>5</w:t>
      </w:r>
      <w:r w:rsidRPr="00C9740D">
        <w:rPr>
          <w:rFonts w:ascii="Cambria" w:hAnsi="Cambria"/>
          <w:color w:val="000000"/>
        </w:rPr>
        <w:t xml:space="preserve">] </w:t>
      </w:r>
      <w:r w:rsidR="00E95ADD" w:rsidRPr="00584F0B">
        <w:rPr>
          <w:rFonts w:ascii="Cambria" w:hAnsi="Cambria"/>
          <w:color w:val="000000"/>
        </w:rPr>
        <w:t>Bhumika Dutta. “A Classification and Regression Tree (CART) Algorithm”</w:t>
      </w:r>
      <w:r w:rsidR="00E95ADD">
        <w:rPr>
          <w:rFonts w:ascii="Cambria" w:hAnsi="Cambria"/>
          <w:color w:val="000000"/>
        </w:rPr>
        <w:t xml:space="preserve">, </w:t>
      </w:r>
      <w:r w:rsidR="00E95ADD" w:rsidRPr="00584F0B">
        <w:rPr>
          <w:rFonts w:ascii="Cambria" w:hAnsi="Cambria"/>
          <w:i/>
          <w:iCs/>
          <w:color w:val="000000"/>
        </w:rPr>
        <w:t>AnalyticSteps</w:t>
      </w:r>
      <w:r w:rsidR="00E95ADD" w:rsidRPr="00584F0B">
        <w:rPr>
          <w:rFonts w:ascii="Cambria" w:hAnsi="Cambria"/>
          <w:color w:val="000000"/>
        </w:rPr>
        <w:t xml:space="preserve">, </w:t>
      </w:r>
      <w:r w:rsidR="00E95ADD">
        <w:rPr>
          <w:rFonts w:ascii="Cambria" w:hAnsi="Cambria"/>
          <w:color w:val="000000"/>
        </w:rPr>
        <w:t xml:space="preserve">last modified July 7, 2021, accessed April 23, 2022, </w:t>
      </w:r>
      <w:hyperlink r:id="rId20" w:history="1">
        <w:r w:rsidR="00E95ADD" w:rsidRPr="00DB7552">
          <w:rPr>
            <w:rStyle w:val="Hyperlink"/>
            <w:rFonts w:ascii="HelveticaNeueLTPro-Lt" w:hAnsi="HelveticaNeueLTPro-Lt"/>
            <w:sz w:val="20"/>
            <w:szCs w:val="20"/>
          </w:rPr>
          <w:t>https://www.analyticssteps.com/blogs/classification-and-regression-tree-cart-algorithm</w:t>
        </w:r>
      </w:hyperlink>
    </w:p>
    <w:p w14:paraId="2FDFA156" w14:textId="4235EB46" w:rsidR="00EE0E70" w:rsidRDefault="00F5309D" w:rsidP="00236284">
      <w:pPr>
        <w:widowControl/>
        <w:spacing w:after="0" w:line="240" w:lineRule="auto"/>
        <w:jc w:val="left"/>
        <w:rPr>
          <w:rFonts w:ascii="Cambria" w:hAnsi="Cambria"/>
          <w:color w:val="000000"/>
        </w:rPr>
      </w:pPr>
      <w:r>
        <w:t xml:space="preserve">[6] </w:t>
      </w:r>
      <w:hyperlink r:id="rId21" w:tgtFrame="_blank" w:history="1">
        <w:r w:rsidR="00EE0E70" w:rsidRPr="00C9740D">
          <w:rPr>
            <w:rFonts w:ascii="Cambria" w:hAnsi="Cambria"/>
            <w:color w:val="000000"/>
          </w:rPr>
          <w:t>Liz Capo McCormick</w:t>
        </w:r>
      </w:hyperlink>
      <w:r w:rsidR="00EE0E70" w:rsidRPr="00C9740D">
        <w:rPr>
          <w:rFonts w:ascii="Cambria" w:hAnsi="Cambria"/>
          <w:color w:val="000000"/>
        </w:rPr>
        <w:t>. “The Covid-19 Pandemic Has Added $19.5 Trillion to Global Debt</w:t>
      </w:r>
      <w:r w:rsidR="00EE0E70">
        <w:rPr>
          <w:rFonts w:ascii="Cambria" w:hAnsi="Cambria"/>
          <w:color w:val="000000"/>
        </w:rPr>
        <w:t xml:space="preserve">”. </w:t>
      </w:r>
      <w:r w:rsidR="00EE0E70" w:rsidRPr="006F3561">
        <w:rPr>
          <w:rFonts w:ascii="Cambria" w:hAnsi="Cambria"/>
          <w:i/>
          <w:iCs/>
          <w:color w:val="000000"/>
        </w:rPr>
        <w:t>Bloomberg</w:t>
      </w:r>
      <w:r w:rsidR="00EE0E70">
        <w:rPr>
          <w:rFonts w:ascii="Cambria" w:hAnsi="Cambria"/>
          <w:color w:val="000000"/>
        </w:rPr>
        <w:t xml:space="preserve">, last modified January 28, 2021, accessed April 23, 2022, </w:t>
      </w:r>
      <w:hyperlink r:id="rId22" w:history="1">
        <w:r w:rsidR="00EE0E70" w:rsidRPr="006F3561">
          <w:rPr>
            <w:rFonts w:ascii="HelveticaNeueLTPro-Lt" w:hAnsi="HelveticaNeueLTPro-Lt"/>
            <w:color w:val="1A74F3"/>
            <w:sz w:val="20"/>
            <w:szCs w:val="20"/>
          </w:rPr>
          <w:t>https://www.bloomberg.com/graphics/2021-coronavirus-global-debt/</w:t>
        </w:r>
      </w:hyperlink>
    </w:p>
    <w:p w14:paraId="5A232E76" w14:textId="323B48FF" w:rsidR="006F3561" w:rsidRPr="006F3561" w:rsidRDefault="006F3561" w:rsidP="006F3561">
      <w:pPr>
        <w:spacing w:line="240" w:lineRule="auto"/>
        <w:jc w:val="left"/>
        <w:rPr>
          <w:rFonts w:ascii="Cambria" w:hAnsi="Cambria"/>
          <w:color w:val="000000"/>
        </w:rPr>
      </w:pPr>
      <w:r w:rsidRPr="00C9740D">
        <w:rPr>
          <w:rFonts w:ascii="Cambria" w:hAnsi="Cambria"/>
          <w:color w:val="000000"/>
        </w:rPr>
        <w:t>[</w:t>
      </w:r>
      <w:r w:rsidR="00F5309D">
        <w:rPr>
          <w:rFonts w:ascii="Cambria" w:hAnsi="Cambria"/>
          <w:color w:val="000000"/>
        </w:rPr>
        <w:t>7</w:t>
      </w:r>
      <w:r w:rsidRPr="00C9740D">
        <w:rPr>
          <w:rFonts w:ascii="Cambria" w:hAnsi="Cambria"/>
          <w:color w:val="000000"/>
        </w:rPr>
        <w:t>] “</w:t>
      </w:r>
      <w:r>
        <w:rPr>
          <w:rFonts w:ascii="Cambria" w:hAnsi="Cambria"/>
          <w:color w:val="000000"/>
        </w:rPr>
        <w:t xml:space="preserve">United States External Debt”. </w:t>
      </w:r>
      <w:r w:rsidRPr="006F3561">
        <w:rPr>
          <w:rFonts w:ascii="Cambria" w:hAnsi="Cambria"/>
          <w:i/>
          <w:iCs/>
          <w:color w:val="000000"/>
        </w:rPr>
        <w:t>CEIC</w:t>
      </w:r>
      <w:r>
        <w:rPr>
          <w:rFonts w:ascii="Cambria" w:hAnsi="Cambria"/>
          <w:color w:val="000000"/>
        </w:rPr>
        <w:t xml:space="preserve">, accessed April 23, 2022, </w:t>
      </w:r>
      <w:hyperlink r:id="rId23" w:history="1">
        <w:r w:rsidRPr="00DB7552">
          <w:rPr>
            <w:rStyle w:val="Hyperlink"/>
            <w:rFonts w:ascii="HelveticaNeueLTPro-Lt" w:hAnsi="HelveticaNeueLTPro-Lt"/>
            <w:sz w:val="20"/>
            <w:szCs w:val="20"/>
          </w:rPr>
          <w:t>https://www.ceicdata.com/en/indicator/united-states/external-debt</w:t>
        </w:r>
      </w:hyperlink>
    </w:p>
    <w:p w14:paraId="2951B5DA" w14:textId="7E57CB22" w:rsidR="00952029" w:rsidRDefault="006F3561" w:rsidP="006F3561">
      <w:pPr>
        <w:spacing w:line="240" w:lineRule="auto"/>
        <w:jc w:val="left"/>
        <w:rPr>
          <w:rFonts w:ascii="HelveticaNeueLTPro-Lt" w:hAnsi="HelveticaNeueLTPro-Lt" w:hint="eastAsia"/>
          <w:color w:val="1A74F3"/>
          <w:sz w:val="20"/>
          <w:szCs w:val="20"/>
        </w:rPr>
      </w:pPr>
      <w:r>
        <w:rPr>
          <w:rFonts w:ascii="Cambria" w:hAnsi="Cambria"/>
          <w:color w:val="000000"/>
        </w:rPr>
        <w:t>[</w:t>
      </w:r>
      <w:r w:rsidR="00F5309D">
        <w:rPr>
          <w:rFonts w:ascii="Cambria" w:hAnsi="Cambria"/>
          <w:color w:val="000000"/>
        </w:rPr>
        <w:t>8</w:t>
      </w:r>
      <w:r>
        <w:rPr>
          <w:rFonts w:ascii="Cambria" w:hAnsi="Cambria"/>
          <w:color w:val="000000"/>
        </w:rPr>
        <w:t>]</w:t>
      </w:r>
      <w:r w:rsidRPr="00A24260">
        <w:rPr>
          <w:rFonts w:ascii="HelveticaNeueLTPro-Lt" w:hAnsi="HelveticaNeueLTPro-Lt"/>
          <w:color w:val="262626"/>
          <w:sz w:val="26"/>
          <w:szCs w:val="26"/>
        </w:rPr>
        <w:t xml:space="preserve"> </w:t>
      </w:r>
      <w:r w:rsidRPr="00C9740D">
        <w:rPr>
          <w:rFonts w:ascii="Cambria" w:hAnsi="Cambria"/>
          <w:color w:val="000000"/>
        </w:rPr>
        <w:t>“</w:t>
      </w:r>
      <w:r>
        <w:rPr>
          <w:rFonts w:ascii="Cambria" w:hAnsi="Cambria"/>
          <w:color w:val="000000"/>
        </w:rPr>
        <w:t xml:space="preserve">United States </w:t>
      </w:r>
      <w:r w:rsidR="003807E3">
        <w:rPr>
          <w:rFonts w:ascii="Cambria" w:hAnsi="Cambria"/>
          <w:color w:val="000000"/>
        </w:rPr>
        <w:t>Inflation</w:t>
      </w:r>
      <w:r>
        <w:rPr>
          <w:rFonts w:ascii="Cambria" w:hAnsi="Cambria"/>
          <w:color w:val="000000"/>
        </w:rPr>
        <w:t xml:space="preserve"> </w:t>
      </w:r>
      <w:r w:rsidR="003807E3">
        <w:rPr>
          <w:rFonts w:ascii="Cambria" w:hAnsi="Cambria"/>
          <w:color w:val="000000"/>
        </w:rPr>
        <w:t>Rate</w:t>
      </w:r>
      <w:r>
        <w:rPr>
          <w:rFonts w:ascii="Cambria" w:hAnsi="Cambria"/>
          <w:color w:val="000000"/>
        </w:rPr>
        <w:t xml:space="preserve">”. </w:t>
      </w:r>
      <w:r w:rsidR="003807E3">
        <w:rPr>
          <w:rFonts w:ascii="Cambria" w:hAnsi="Cambria"/>
          <w:i/>
          <w:iCs/>
          <w:color w:val="000000"/>
        </w:rPr>
        <w:t>Trading Economics</w:t>
      </w:r>
      <w:r>
        <w:rPr>
          <w:rFonts w:ascii="Cambria" w:hAnsi="Cambria"/>
          <w:i/>
          <w:iCs/>
          <w:color w:val="000000"/>
        </w:rPr>
        <w:t>,</w:t>
      </w:r>
      <w:r>
        <w:rPr>
          <w:rFonts w:ascii="Cambria" w:hAnsi="Cambria"/>
          <w:color w:val="000000"/>
        </w:rPr>
        <w:t xml:space="preserve"> accessed April 23, 2022,</w:t>
      </w:r>
      <w:r>
        <w:rPr>
          <w:rFonts w:ascii="HelveticaNeueLTPro-Lt" w:hAnsi="HelveticaNeueLTPro-Lt"/>
          <w:color w:val="1A74F3"/>
          <w:sz w:val="20"/>
          <w:szCs w:val="20"/>
        </w:rPr>
        <w:t xml:space="preserve"> </w:t>
      </w:r>
      <w:hyperlink r:id="rId24" w:history="1">
        <w:r w:rsidRPr="00DB7552">
          <w:rPr>
            <w:rStyle w:val="Hyperlink"/>
            <w:rFonts w:ascii="HelveticaNeueLTPro-Lt" w:hAnsi="HelveticaNeueLTPro-Lt"/>
            <w:sz w:val="20"/>
            <w:szCs w:val="20"/>
          </w:rPr>
          <w:t>https://tradingeconomics.com/united-states/inflation-cpi</w:t>
        </w:r>
      </w:hyperlink>
    </w:p>
    <w:p w14:paraId="2F57B3A7" w14:textId="26127E80" w:rsidR="00952029" w:rsidRDefault="003807E3" w:rsidP="001033A3">
      <w:pPr>
        <w:spacing w:line="240" w:lineRule="auto"/>
        <w:jc w:val="left"/>
        <w:rPr>
          <w:rFonts w:ascii="HelveticaNeueLTPro-Lt" w:hAnsi="HelveticaNeueLTPro-Lt" w:hint="eastAsia"/>
          <w:color w:val="1A74F3"/>
          <w:sz w:val="20"/>
          <w:szCs w:val="20"/>
        </w:rPr>
      </w:pPr>
      <w:r>
        <w:rPr>
          <w:rFonts w:ascii="Cambria" w:hAnsi="Cambria"/>
          <w:color w:val="000000"/>
        </w:rPr>
        <w:t>[</w:t>
      </w:r>
      <w:r w:rsidR="00F5309D">
        <w:rPr>
          <w:rFonts w:ascii="Cambria" w:hAnsi="Cambria"/>
          <w:color w:val="000000"/>
        </w:rPr>
        <w:t>9</w:t>
      </w:r>
      <w:r>
        <w:rPr>
          <w:rFonts w:ascii="Cambria" w:hAnsi="Cambria"/>
          <w:color w:val="000000"/>
        </w:rPr>
        <w:t>]</w:t>
      </w:r>
      <w:r w:rsidRPr="00A24260">
        <w:rPr>
          <w:rFonts w:ascii="HelveticaNeueLTPro-Lt" w:hAnsi="HelveticaNeueLTPro-Lt"/>
          <w:color w:val="262626"/>
          <w:sz w:val="26"/>
          <w:szCs w:val="26"/>
        </w:rPr>
        <w:t xml:space="preserve"> </w:t>
      </w:r>
      <w:r w:rsidRPr="003807E3">
        <w:rPr>
          <w:rFonts w:ascii="Cambria" w:hAnsi="Cambria"/>
          <w:color w:val="000000"/>
        </w:rPr>
        <w:t>Tim Jones, Jubilee Debt Campaign.</w:t>
      </w:r>
      <w:r w:rsidRPr="00C9740D">
        <w:rPr>
          <w:rFonts w:ascii="Cambria" w:hAnsi="Cambria"/>
          <w:color w:val="000000"/>
        </w:rPr>
        <w:t xml:space="preserve"> “</w:t>
      </w:r>
      <w:r w:rsidRPr="003807E3">
        <w:rPr>
          <w:rFonts w:ascii="Cambria" w:hAnsi="Cambria"/>
          <w:color w:val="000000"/>
        </w:rPr>
        <w:t>Rising Debt Burdens, The Impact on Public Spending, and the Coronavirus Crisis</w:t>
      </w:r>
      <w:r>
        <w:rPr>
          <w:rFonts w:ascii="Cambria" w:hAnsi="Cambria"/>
          <w:color w:val="000000"/>
        </w:rPr>
        <w:t>”</w:t>
      </w:r>
      <w:r>
        <w:rPr>
          <w:rFonts w:ascii="Cambria" w:hAnsi="Cambria"/>
          <w:i/>
          <w:iCs/>
          <w:color w:val="000000"/>
        </w:rPr>
        <w:t>,</w:t>
      </w:r>
      <w:r>
        <w:rPr>
          <w:rFonts w:ascii="Cambria" w:hAnsi="Cambria"/>
          <w:color w:val="000000"/>
        </w:rPr>
        <w:t xml:space="preserve"> last modified September 20, 2020, accessed April 23, 2022, </w:t>
      </w:r>
      <w:hyperlink r:id="rId25" w:history="1">
        <w:r w:rsidRPr="00DB7552">
          <w:rPr>
            <w:rStyle w:val="Hyperlink"/>
            <w:rFonts w:ascii="HelveticaNeueLTPro-Lt" w:hAnsi="HelveticaNeueLTPro-Lt"/>
            <w:sz w:val="20"/>
            <w:szCs w:val="20"/>
          </w:rPr>
          <w:t>https://www.cgdev.org/sites/default/files/Jones-Debt-Paper-LICS.pdf</w:t>
        </w:r>
      </w:hyperlink>
    </w:p>
    <w:p w14:paraId="0C36F9A8" w14:textId="77777777" w:rsidR="00952029" w:rsidRDefault="00952029" w:rsidP="006F3561">
      <w:pPr>
        <w:pStyle w:val="ListParagraph"/>
        <w:spacing w:line="240" w:lineRule="auto"/>
        <w:jc w:val="left"/>
      </w:pPr>
    </w:p>
    <w:p w14:paraId="3414567B" w14:textId="77777777" w:rsidR="00952029" w:rsidRDefault="00952029" w:rsidP="006F3561">
      <w:pPr>
        <w:pStyle w:val="ListParagraph"/>
        <w:spacing w:line="240" w:lineRule="auto"/>
        <w:jc w:val="left"/>
      </w:pPr>
    </w:p>
    <w:p w14:paraId="0B468C39" w14:textId="77777777" w:rsidR="00952029" w:rsidRDefault="00952029" w:rsidP="006F3561">
      <w:pPr>
        <w:pStyle w:val="ListParagraph"/>
        <w:spacing w:line="240" w:lineRule="auto"/>
        <w:jc w:val="left"/>
      </w:pPr>
    </w:p>
    <w:p w14:paraId="2C7E0A86" w14:textId="77777777" w:rsidR="00952029" w:rsidRDefault="00952029" w:rsidP="006F3561">
      <w:pPr>
        <w:spacing w:line="240" w:lineRule="auto"/>
        <w:jc w:val="left"/>
      </w:pPr>
    </w:p>
    <w:sectPr w:rsidR="0095202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C3ECC" w14:textId="77777777" w:rsidR="007960FA" w:rsidRDefault="007960FA">
      <w:pPr>
        <w:spacing w:line="240" w:lineRule="auto"/>
      </w:pPr>
      <w:r>
        <w:separator/>
      </w:r>
    </w:p>
  </w:endnote>
  <w:endnote w:type="continuationSeparator" w:id="0">
    <w:p w14:paraId="7F731487" w14:textId="77777777" w:rsidR="007960FA" w:rsidRDefault="007960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NeueLTPro-Lt">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CC0CD" w14:textId="77777777" w:rsidR="007960FA" w:rsidRDefault="007960FA">
      <w:pPr>
        <w:spacing w:after="0"/>
      </w:pPr>
      <w:r>
        <w:separator/>
      </w:r>
    </w:p>
  </w:footnote>
  <w:footnote w:type="continuationSeparator" w:id="0">
    <w:p w14:paraId="7A60258D" w14:textId="77777777" w:rsidR="007960FA" w:rsidRDefault="007960F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D1A9E"/>
    <w:multiLevelType w:val="multilevel"/>
    <w:tmpl w:val="295D1A9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E216CEC"/>
    <w:multiLevelType w:val="multilevel"/>
    <w:tmpl w:val="F0E665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67237660">
    <w:abstractNumId w:val="0"/>
  </w:num>
  <w:num w:numId="2" w16cid:durableId="58673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8DD"/>
    <w:rsid w:val="000401F2"/>
    <w:rsid w:val="00047D55"/>
    <w:rsid w:val="00074609"/>
    <w:rsid w:val="000943CE"/>
    <w:rsid w:val="000B7364"/>
    <w:rsid w:val="000C3BD2"/>
    <w:rsid w:val="000E7071"/>
    <w:rsid w:val="000E7C9B"/>
    <w:rsid w:val="001033A3"/>
    <w:rsid w:val="0010696B"/>
    <w:rsid w:val="00134CA9"/>
    <w:rsid w:val="0014057C"/>
    <w:rsid w:val="001624C1"/>
    <w:rsid w:val="00172BB3"/>
    <w:rsid w:val="00177B36"/>
    <w:rsid w:val="00197A4C"/>
    <w:rsid w:val="001C4E8F"/>
    <w:rsid w:val="0020330E"/>
    <w:rsid w:val="00230162"/>
    <w:rsid w:val="0023264E"/>
    <w:rsid w:val="00236284"/>
    <w:rsid w:val="00262DBF"/>
    <w:rsid w:val="00275946"/>
    <w:rsid w:val="00285495"/>
    <w:rsid w:val="002B5820"/>
    <w:rsid w:val="002D147A"/>
    <w:rsid w:val="00325D06"/>
    <w:rsid w:val="00327AA3"/>
    <w:rsid w:val="003516F9"/>
    <w:rsid w:val="003525FE"/>
    <w:rsid w:val="00372C0A"/>
    <w:rsid w:val="003807E3"/>
    <w:rsid w:val="003820F8"/>
    <w:rsid w:val="0039398F"/>
    <w:rsid w:val="003A27FC"/>
    <w:rsid w:val="003C350A"/>
    <w:rsid w:val="003C4EC8"/>
    <w:rsid w:val="003D2453"/>
    <w:rsid w:val="003E4500"/>
    <w:rsid w:val="003F365D"/>
    <w:rsid w:val="003F56AE"/>
    <w:rsid w:val="003F5DB8"/>
    <w:rsid w:val="00435753"/>
    <w:rsid w:val="004446B8"/>
    <w:rsid w:val="00454E98"/>
    <w:rsid w:val="00476192"/>
    <w:rsid w:val="004B2E22"/>
    <w:rsid w:val="004C2B55"/>
    <w:rsid w:val="004C4643"/>
    <w:rsid w:val="005257DA"/>
    <w:rsid w:val="00532E66"/>
    <w:rsid w:val="00584F0B"/>
    <w:rsid w:val="005A782B"/>
    <w:rsid w:val="005B2A80"/>
    <w:rsid w:val="005B5E60"/>
    <w:rsid w:val="005B7EBD"/>
    <w:rsid w:val="005C213A"/>
    <w:rsid w:val="005C441A"/>
    <w:rsid w:val="005E6634"/>
    <w:rsid w:val="006251A9"/>
    <w:rsid w:val="00642069"/>
    <w:rsid w:val="006652FC"/>
    <w:rsid w:val="006765CC"/>
    <w:rsid w:val="00693601"/>
    <w:rsid w:val="006C5F6A"/>
    <w:rsid w:val="006D3F70"/>
    <w:rsid w:val="006D71DA"/>
    <w:rsid w:val="006F3561"/>
    <w:rsid w:val="0073010E"/>
    <w:rsid w:val="00782C87"/>
    <w:rsid w:val="007960FA"/>
    <w:rsid w:val="007B768A"/>
    <w:rsid w:val="007D00C4"/>
    <w:rsid w:val="007D25D1"/>
    <w:rsid w:val="007F0657"/>
    <w:rsid w:val="00803CF4"/>
    <w:rsid w:val="00826310"/>
    <w:rsid w:val="00860AD3"/>
    <w:rsid w:val="00862546"/>
    <w:rsid w:val="00875473"/>
    <w:rsid w:val="008814B2"/>
    <w:rsid w:val="00884333"/>
    <w:rsid w:val="008C704C"/>
    <w:rsid w:val="008D7595"/>
    <w:rsid w:val="009411E6"/>
    <w:rsid w:val="00944867"/>
    <w:rsid w:val="00952029"/>
    <w:rsid w:val="009A0E44"/>
    <w:rsid w:val="009C78FA"/>
    <w:rsid w:val="009D7E20"/>
    <w:rsid w:val="00A24260"/>
    <w:rsid w:val="00A6247F"/>
    <w:rsid w:val="00A9448C"/>
    <w:rsid w:val="00AC45E6"/>
    <w:rsid w:val="00AD08DD"/>
    <w:rsid w:val="00AF06A1"/>
    <w:rsid w:val="00AF30FA"/>
    <w:rsid w:val="00B13AEA"/>
    <w:rsid w:val="00B23EE4"/>
    <w:rsid w:val="00B66114"/>
    <w:rsid w:val="00B736C1"/>
    <w:rsid w:val="00B87824"/>
    <w:rsid w:val="00BB5A05"/>
    <w:rsid w:val="00BC0D86"/>
    <w:rsid w:val="00BC343B"/>
    <w:rsid w:val="00BE480A"/>
    <w:rsid w:val="00BE66AB"/>
    <w:rsid w:val="00BF18B6"/>
    <w:rsid w:val="00BF371C"/>
    <w:rsid w:val="00C054ED"/>
    <w:rsid w:val="00C52B9B"/>
    <w:rsid w:val="00C548D1"/>
    <w:rsid w:val="00C915C4"/>
    <w:rsid w:val="00C9740D"/>
    <w:rsid w:val="00CD0BE6"/>
    <w:rsid w:val="00CE3224"/>
    <w:rsid w:val="00CE7CDE"/>
    <w:rsid w:val="00D01155"/>
    <w:rsid w:val="00D62F1E"/>
    <w:rsid w:val="00D77CB9"/>
    <w:rsid w:val="00DB1E43"/>
    <w:rsid w:val="00DB29ED"/>
    <w:rsid w:val="00DF3F60"/>
    <w:rsid w:val="00E21CE4"/>
    <w:rsid w:val="00E22047"/>
    <w:rsid w:val="00E26C62"/>
    <w:rsid w:val="00E35CD1"/>
    <w:rsid w:val="00E44BD7"/>
    <w:rsid w:val="00E528EC"/>
    <w:rsid w:val="00E5371A"/>
    <w:rsid w:val="00E73842"/>
    <w:rsid w:val="00E95ADD"/>
    <w:rsid w:val="00EA29BD"/>
    <w:rsid w:val="00EE0E70"/>
    <w:rsid w:val="00F06A6D"/>
    <w:rsid w:val="00F41A53"/>
    <w:rsid w:val="00F4420A"/>
    <w:rsid w:val="00F5309D"/>
    <w:rsid w:val="00F54A74"/>
    <w:rsid w:val="00F61FFC"/>
    <w:rsid w:val="00F62B00"/>
    <w:rsid w:val="00F81E8B"/>
    <w:rsid w:val="00F8224B"/>
    <w:rsid w:val="00F8439D"/>
    <w:rsid w:val="00FC0D6A"/>
    <w:rsid w:val="00FD20F1"/>
    <w:rsid w:val="00FE693B"/>
    <w:rsid w:val="00FF386C"/>
    <w:rsid w:val="042E36A1"/>
    <w:rsid w:val="41DC62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12470"/>
  <w15:docId w15:val="{7F3876A4-B393-4D9B-A584-98A32581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F0B"/>
    <w:pPr>
      <w:widowControl w:val="0"/>
      <w:spacing w:after="160" w:line="480" w:lineRule="auto"/>
      <w:jc w:val="both"/>
    </w:pPr>
    <w:rPr>
      <w:sz w:val="22"/>
      <w:szCs w:val="22"/>
    </w:rPr>
  </w:style>
  <w:style w:type="paragraph" w:styleId="Heading1">
    <w:name w:val="heading 1"/>
    <w:basedOn w:val="Normal"/>
    <w:link w:val="Heading1Char"/>
    <w:uiPriority w:val="9"/>
    <w:qFormat/>
    <w:rsid w:val="00C9740D"/>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Header">
    <w:name w:val="header"/>
    <w:basedOn w:val="Normal"/>
    <w:link w:val="HeaderChar"/>
    <w:uiPriority w:val="99"/>
    <w:unhideWhenUsed/>
    <w:rsid w:val="00C915C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915C4"/>
    <w:rPr>
      <w:sz w:val="22"/>
      <w:szCs w:val="22"/>
    </w:rPr>
  </w:style>
  <w:style w:type="paragraph" w:styleId="Footer">
    <w:name w:val="footer"/>
    <w:basedOn w:val="Normal"/>
    <w:link w:val="FooterChar"/>
    <w:uiPriority w:val="99"/>
    <w:unhideWhenUsed/>
    <w:rsid w:val="00C915C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915C4"/>
    <w:rPr>
      <w:sz w:val="22"/>
      <w:szCs w:val="22"/>
    </w:rPr>
  </w:style>
  <w:style w:type="character" w:styleId="FollowedHyperlink">
    <w:name w:val="FollowedHyperlink"/>
    <w:basedOn w:val="DefaultParagraphFont"/>
    <w:uiPriority w:val="99"/>
    <w:semiHidden/>
    <w:unhideWhenUsed/>
    <w:rsid w:val="00A24260"/>
    <w:rPr>
      <w:color w:val="954F72" w:themeColor="followedHyperlink"/>
      <w:u w:val="single"/>
    </w:rPr>
  </w:style>
  <w:style w:type="character" w:styleId="UnresolvedMention">
    <w:name w:val="Unresolved Mention"/>
    <w:basedOn w:val="DefaultParagraphFont"/>
    <w:uiPriority w:val="99"/>
    <w:semiHidden/>
    <w:unhideWhenUsed/>
    <w:rsid w:val="00A24260"/>
    <w:rPr>
      <w:color w:val="605E5C"/>
      <w:shd w:val="clear" w:color="auto" w:fill="E1DFDD"/>
    </w:rPr>
  </w:style>
  <w:style w:type="character" w:customStyle="1" w:styleId="Heading1Char">
    <w:name w:val="Heading 1 Char"/>
    <w:basedOn w:val="DefaultParagraphFont"/>
    <w:link w:val="Heading1"/>
    <w:uiPriority w:val="9"/>
    <w:rsid w:val="00C9740D"/>
    <w:rPr>
      <w:rFonts w:ascii="Times New Roman" w:eastAsia="Times New Roman" w:hAnsi="Times New Roman" w:cs="Times New Roman"/>
      <w:b/>
      <w:bCs/>
      <w:kern w:val="36"/>
      <w:sz w:val="48"/>
      <w:szCs w:val="48"/>
    </w:rPr>
  </w:style>
  <w:style w:type="character" w:customStyle="1" w:styleId="part-1-break-together">
    <w:name w:val="part-1-break-together"/>
    <w:basedOn w:val="DefaultParagraphFont"/>
    <w:rsid w:val="00C97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15488">
      <w:bodyDiv w:val="1"/>
      <w:marLeft w:val="0"/>
      <w:marRight w:val="0"/>
      <w:marTop w:val="0"/>
      <w:marBottom w:val="0"/>
      <w:divBdr>
        <w:top w:val="none" w:sz="0" w:space="0" w:color="auto"/>
        <w:left w:val="none" w:sz="0" w:space="0" w:color="auto"/>
        <w:bottom w:val="none" w:sz="0" w:space="0" w:color="auto"/>
        <w:right w:val="none" w:sz="0" w:space="0" w:color="auto"/>
      </w:divBdr>
      <w:divsChild>
        <w:div w:id="129247031">
          <w:marLeft w:val="0"/>
          <w:marRight w:val="0"/>
          <w:marTop w:val="0"/>
          <w:marBottom w:val="0"/>
          <w:divBdr>
            <w:top w:val="none" w:sz="0" w:space="0" w:color="auto"/>
            <w:left w:val="none" w:sz="0" w:space="0" w:color="auto"/>
            <w:bottom w:val="none" w:sz="0" w:space="0" w:color="auto"/>
            <w:right w:val="none" w:sz="0" w:space="0" w:color="auto"/>
          </w:divBdr>
        </w:div>
      </w:divsChild>
    </w:div>
    <w:div w:id="894051245">
      <w:bodyDiv w:val="1"/>
      <w:marLeft w:val="0"/>
      <w:marRight w:val="0"/>
      <w:marTop w:val="0"/>
      <w:marBottom w:val="0"/>
      <w:divBdr>
        <w:top w:val="none" w:sz="0" w:space="0" w:color="auto"/>
        <w:left w:val="none" w:sz="0" w:space="0" w:color="auto"/>
        <w:bottom w:val="none" w:sz="0" w:space="0" w:color="auto"/>
        <w:right w:val="none" w:sz="0" w:space="0" w:color="auto"/>
      </w:divBdr>
    </w:div>
    <w:div w:id="1187937726">
      <w:bodyDiv w:val="1"/>
      <w:marLeft w:val="0"/>
      <w:marRight w:val="0"/>
      <w:marTop w:val="0"/>
      <w:marBottom w:val="0"/>
      <w:divBdr>
        <w:top w:val="none" w:sz="0" w:space="0" w:color="auto"/>
        <w:left w:val="none" w:sz="0" w:space="0" w:color="auto"/>
        <w:bottom w:val="none" w:sz="0" w:space="0" w:color="auto"/>
        <w:right w:val="none" w:sz="0" w:space="0" w:color="auto"/>
      </w:divBdr>
    </w:div>
    <w:div w:id="1221405671">
      <w:bodyDiv w:val="1"/>
      <w:marLeft w:val="0"/>
      <w:marRight w:val="0"/>
      <w:marTop w:val="0"/>
      <w:marBottom w:val="0"/>
      <w:divBdr>
        <w:top w:val="none" w:sz="0" w:space="0" w:color="auto"/>
        <w:left w:val="none" w:sz="0" w:space="0" w:color="auto"/>
        <w:bottom w:val="none" w:sz="0" w:space="0" w:color="auto"/>
        <w:right w:val="none" w:sz="0" w:space="0" w:color="auto"/>
      </w:divBdr>
    </w:div>
    <w:div w:id="1548564881">
      <w:bodyDiv w:val="1"/>
      <w:marLeft w:val="0"/>
      <w:marRight w:val="0"/>
      <w:marTop w:val="0"/>
      <w:marBottom w:val="0"/>
      <w:divBdr>
        <w:top w:val="none" w:sz="0" w:space="0" w:color="auto"/>
        <w:left w:val="none" w:sz="0" w:space="0" w:color="auto"/>
        <w:bottom w:val="none" w:sz="0" w:space="0" w:color="auto"/>
        <w:right w:val="none" w:sz="0" w:space="0" w:color="auto"/>
      </w:divBdr>
    </w:div>
    <w:div w:id="1676492740">
      <w:bodyDiv w:val="1"/>
      <w:marLeft w:val="0"/>
      <w:marRight w:val="0"/>
      <w:marTop w:val="0"/>
      <w:marBottom w:val="0"/>
      <w:divBdr>
        <w:top w:val="none" w:sz="0" w:space="0" w:color="auto"/>
        <w:left w:val="none" w:sz="0" w:space="0" w:color="auto"/>
        <w:bottom w:val="none" w:sz="0" w:space="0" w:color="auto"/>
        <w:right w:val="none" w:sz="0" w:space="0" w:color="auto"/>
      </w:divBdr>
      <w:divsChild>
        <w:div w:id="638609325">
          <w:marLeft w:val="0"/>
          <w:marRight w:val="0"/>
          <w:marTop w:val="0"/>
          <w:marBottom w:val="0"/>
          <w:divBdr>
            <w:top w:val="none" w:sz="0" w:space="0" w:color="auto"/>
            <w:left w:val="none" w:sz="0" w:space="0" w:color="auto"/>
            <w:bottom w:val="none" w:sz="0" w:space="0" w:color="auto"/>
            <w:right w:val="none" w:sz="0" w:space="0" w:color="auto"/>
          </w:divBdr>
        </w:div>
        <w:div w:id="2146893880">
          <w:marLeft w:val="0"/>
          <w:marRight w:val="0"/>
          <w:marTop w:val="0"/>
          <w:marBottom w:val="0"/>
          <w:divBdr>
            <w:top w:val="none" w:sz="0" w:space="0" w:color="auto"/>
            <w:left w:val="none" w:sz="0" w:space="0" w:color="auto"/>
            <w:bottom w:val="none" w:sz="0" w:space="0" w:color="auto"/>
            <w:right w:val="none" w:sz="0" w:space="0" w:color="auto"/>
          </w:divBdr>
        </w:div>
      </w:divsChild>
    </w:div>
    <w:div w:id="1926183231">
      <w:bodyDiv w:val="1"/>
      <w:marLeft w:val="0"/>
      <w:marRight w:val="0"/>
      <w:marTop w:val="0"/>
      <w:marBottom w:val="0"/>
      <w:divBdr>
        <w:top w:val="none" w:sz="0" w:space="0" w:color="auto"/>
        <w:left w:val="none" w:sz="0" w:space="0" w:color="auto"/>
        <w:bottom w:val="none" w:sz="0" w:space="0" w:color="auto"/>
        <w:right w:val="none" w:sz="0" w:space="0" w:color="auto"/>
      </w:divBdr>
      <w:divsChild>
        <w:div w:id="7518513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yperlink" Target="https://www.weforum.org/reports/global-risks-report-202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witter.com/mccormickliz" TargetMode="Externa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hyperlink" Target="https://www.jstor.org/stable/30036034?seq=1" TargetMode="External"/><Relationship Id="rId25" Type="http://schemas.openxmlformats.org/officeDocument/2006/relationships/hyperlink" Target="https://www.cgdev.org/sites/default/files/Jones-Debt-Paper-LICS.pdf"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www.analyticssteps.com/blogs/classification-and-regression-tree-cart-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yperlink" Target="https://tradingeconomics.com/united-states/inflation-cpi" TargetMode="Externa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hyperlink" Target="https://www.ceicdata.com/en/indicator/united-states/external-debt" TargetMode="External"/><Relationship Id="rId10" Type="http://schemas.openxmlformats.org/officeDocument/2006/relationships/chart" Target="charts/chart3.xml"/><Relationship Id="rId19" Type="http://schemas.openxmlformats.org/officeDocument/2006/relationships/hyperlink" Target="https://www.imf.org/external/pubs/ft/wp/2003/wp03221.pdf"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yperlink" Target="https://www.bloomberg.com/graphics/2021-coronavirus-global-debt/"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pple\Desktop\CEE690%20projec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apple\Desktop\CEE690%20project.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pple\Desktop\CEE690%20project.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pple\Desktop\CEE690%20project.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pple\Desktop\CEE690%20project.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pple\Desktop\CEE690%20project.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pple\Desktop\CEE690%20project.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pple\Desktop\CEE690%20project.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1"/>
        <c:ser>
          <c:idx val="0"/>
          <c:order val="0"/>
          <c:tx>
            <c:strRef>
              <c:f>'Total External Debt to GDP'!$J$1</c:f>
              <c:strCache>
                <c:ptCount val="1"/>
                <c:pt idx="0">
                  <c:v>Real Data</c:v>
                </c:pt>
              </c:strCache>
            </c:strRef>
          </c:tx>
          <c:spPr>
            <a:solidFill>
              <a:schemeClr val="tx2"/>
            </a:solidFill>
            <a:ln w="25400">
              <a:noFill/>
            </a:ln>
            <a:effectLst/>
          </c:spPr>
          <c:invertIfNegative val="0"/>
          <c:errBars>
            <c:errBarType val="minus"/>
            <c:errValType val="percentage"/>
            <c:noEndCap val="1"/>
            <c:val val="100"/>
            <c:spPr>
              <a:noFill/>
              <a:ln w="304800" cap="flat" cmpd="sng" algn="ctr">
                <a:solidFill>
                  <a:schemeClr val="tx2"/>
                </a:solidFill>
                <a:prstDash val="solid"/>
                <a:round/>
              </a:ln>
              <a:effectLst/>
            </c:spPr>
          </c:errBars>
          <c:cat>
            <c:numRef>
              <c:f>'Total External Debt to GDP'!$I$2:$I$14</c:f>
              <c:numCache>
                <c:formatCode>General</c:formatCode>
                <c:ptCount val="13"/>
                <c:pt idx="0">
                  <c:v>0</c:v>
                </c:pt>
                <c:pt idx="1">
                  <c:v>10</c:v>
                </c:pt>
                <c:pt idx="2">
                  <c:v>20</c:v>
                </c:pt>
                <c:pt idx="3">
                  <c:v>30</c:v>
                </c:pt>
                <c:pt idx="4">
                  <c:v>40</c:v>
                </c:pt>
                <c:pt idx="5">
                  <c:v>50</c:v>
                </c:pt>
                <c:pt idx="6">
                  <c:v>60</c:v>
                </c:pt>
                <c:pt idx="7">
                  <c:v>70</c:v>
                </c:pt>
                <c:pt idx="8">
                  <c:v>80</c:v>
                </c:pt>
                <c:pt idx="9">
                  <c:v>90</c:v>
                </c:pt>
                <c:pt idx="10">
                  <c:v>100</c:v>
                </c:pt>
                <c:pt idx="11">
                  <c:v>110</c:v>
                </c:pt>
                <c:pt idx="12">
                  <c:v>120</c:v>
                </c:pt>
              </c:numCache>
            </c:numRef>
          </c:cat>
          <c:val>
            <c:numRef>
              <c:f>'Total External Debt to GDP'!$J$2:$J$14</c:f>
              <c:numCache>
                <c:formatCode>General</c:formatCode>
                <c:ptCount val="13"/>
                <c:pt idx="0">
                  <c:v>3</c:v>
                </c:pt>
                <c:pt idx="1">
                  <c:v>9</c:v>
                </c:pt>
                <c:pt idx="2">
                  <c:v>60</c:v>
                </c:pt>
                <c:pt idx="3">
                  <c:v>127</c:v>
                </c:pt>
                <c:pt idx="4">
                  <c:v>270</c:v>
                </c:pt>
                <c:pt idx="5">
                  <c:v>283</c:v>
                </c:pt>
                <c:pt idx="6">
                  <c:v>261</c:v>
                </c:pt>
                <c:pt idx="7">
                  <c:v>164</c:v>
                </c:pt>
                <c:pt idx="8">
                  <c:v>65</c:v>
                </c:pt>
                <c:pt idx="9">
                  <c:v>19</c:v>
                </c:pt>
                <c:pt idx="10">
                  <c:v>5</c:v>
                </c:pt>
                <c:pt idx="11">
                  <c:v>0</c:v>
                </c:pt>
                <c:pt idx="12">
                  <c:v>0</c:v>
                </c:pt>
              </c:numCache>
            </c:numRef>
          </c:val>
          <c:extLst>
            <c:ext xmlns:c16="http://schemas.microsoft.com/office/drawing/2014/chart" uri="{C3380CC4-5D6E-409C-BE32-E72D297353CC}">
              <c16:uniqueId val="{00000000-F8F7-4294-8981-43B26B3A230B}"/>
            </c:ext>
          </c:extLst>
        </c:ser>
        <c:dLbls>
          <c:showLegendKey val="0"/>
          <c:showVal val="0"/>
          <c:showCatName val="0"/>
          <c:showSerName val="0"/>
          <c:showPercent val="0"/>
          <c:showBubbleSize val="0"/>
        </c:dLbls>
        <c:gapWidth val="0"/>
        <c:axId val="307095592"/>
        <c:axId val="351277648"/>
      </c:barChart>
      <c:lineChart>
        <c:grouping val="standard"/>
        <c:varyColors val="1"/>
        <c:ser>
          <c:idx val="1"/>
          <c:order val="1"/>
          <c:tx>
            <c:strRef>
              <c:f>'Total External Debt to GDP'!$L$1</c:f>
              <c:strCache>
                <c:ptCount val="1"/>
                <c:pt idx="0">
                  <c:v>Normal</c:v>
                </c:pt>
              </c:strCache>
            </c:strRef>
          </c:tx>
          <c:spPr>
            <a:ln w="19050" cap="rnd" cmpd="sng" algn="ctr">
              <a:solidFill>
                <a:schemeClr val="accent2"/>
              </a:solidFill>
              <a:prstDash val="solid"/>
              <a:round/>
            </a:ln>
            <a:effectLst/>
          </c:spPr>
          <c:marker>
            <c:symbol val="none"/>
          </c:marker>
          <c:cat>
            <c:numRef>
              <c:f>'Total External Debt to GDP'!$I$2:$I$14</c:f>
              <c:numCache>
                <c:formatCode>General</c:formatCode>
                <c:ptCount val="13"/>
                <c:pt idx="0">
                  <c:v>0</c:v>
                </c:pt>
                <c:pt idx="1">
                  <c:v>10</c:v>
                </c:pt>
                <c:pt idx="2">
                  <c:v>20</c:v>
                </c:pt>
                <c:pt idx="3">
                  <c:v>30</c:v>
                </c:pt>
                <c:pt idx="4">
                  <c:v>40</c:v>
                </c:pt>
                <c:pt idx="5">
                  <c:v>50</c:v>
                </c:pt>
                <c:pt idx="6">
                  <c:v>60</c:v>
                </c:pt>
                <c:pt idx="7">
                  <c:v>70</c:v>
                </c:pt>
                <c:pt idx="8">
                  <c:v>80</c:v>
                </c:pt>
                <c:pt idx="9">
                  <c:v>90</c:v>
                </c:pt>
                <c:pt idx="10">
                  <c:v>100</c:v>
                </c:pt>
                <c:pt idx="11">
                  <c:v>110</c:v>
                </c:pt>
                <c:pt idx="12">
                  <c:v>120</c:v>
                </c:pt>
              </c:numCache>
            </c:numRef>
          </c:cat>
          <c:val>
            <c:numRef>
              <c:f>'Total External Debt to GDP'!$L$2:$L$14</c:f>
              <c:numCache>
                <c:formatCode>General</c:formatCode>
                <c:ptCount val="13"/>
                <c:pt idx="0">
                  <c:v>6.2323753072247E-4</c:v>
                </c:pt>
                <c:pt idx="1">
                  <c:v>2.44849041985344E-3</c:v>
                </c:pt>
                <c:pt idx="2">
                  <c:v>6.9447459033645798E-3</c:v>
                </c:pt>
                <c:pt idx="3">
                  <c:v>1.42209120879466E-2</c:v>
                </c:pt>
                <c:pt idx="4">
                  <c:v>2.1023822602706198E-2</c:v>
                </c:pt>
                <c:pt idx="5">
                  <c:v>2.2439287105564799E-2</c:v>
                </c:pt>
                <c:pt idx="6">
                  <c:v>1.7290978369822501E-2</c:v>
                </c:pt>
                <c:pt idx="7">
                  <c:v>9.6192944753574396E-3</c:v>
                </c:pt>
                <c:pt idx="8">
                  <c:v>3.86349195934376E-3</c:v>
                </c:pt>
                <c:pt idx="9">
                  <c:v>1.12028867507805E-3</c:v>
                </c:pt>
                <c:pt idx="10">
                  <c:v>2.3452709222771299E-4</c:v>
                </c:pt>
                <c:pt idx="11">
                  <c:v>3.5446163186858699E-5</c:v>
                </c:pt>
                <c:pt idx="12">
                  <c:v>3.8677517059827404E-6</c:v>
                </c:pt>
              </c:numCache>
            </c:numRef>
          </c:val>
          <c:smooth val="1"/>
          <c:extLst>
            <c:ext xmlns:c16="http://schemas.microsoft.com/office/drawing/2014/chart" uri="{C3380CC4-5D6E-409C-BE32-E72D297353CC}">
              <c16:uniqueId val="{00000001-F8F7-4294-8981-43B26B3A230B}"/>
            </c:ext>
          </c:extLst>
        </c:ser>
        <c:dLbls>
          <c:showLegendKey val="0"/>
          <c:showVal val="0"/>
          <c:showCatName val="0"/>
          <c:showSerName val="0"/>
          <c:showPercent val="0"/>
          <c:showBubbleSize val="0"/>
        </c:dLbls>
        <c:marker val="1"/>
        <c:smooth val="0"/>
        <c:axId val="813705480"/>
        <c:axId val="813707776"/>
      </c:lineChart>
      <c:catAx>
        <c:axId val="30709559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rot="0" spcFirstLastPara="1" vertOverflow="ellipsis" vert="horz" wrap="square" anchor="ctr" anchorCtr="1"/>
              <a:lstStyle/>
              <a:p>
                <a:pPr>
                  <a:defRPr lang="en-US" sz="1000" b="0" i="0" u="none" strike="noStrike" kern="1200" baseline="0">
                    <a:solidFill>
                      <a:schemeClr val="tx1"/>
                    </a:solidFill>
                    <a:latin typeface="+mn-lt"/>
                    <a:ea typeface="+mn-ea"/>
                    <a:cs typeface="+mn-cs"/>
                  </a:defRPr>
                </a:pPr>
                <a:r>
                  <a:rPr lang="en-US"/>
                  <a:t>Total External Debt to GDP (percent)</a:t>
                </a:r>
              </a:p>
            </c:rich>
          </c:tx>
          <c:layout>
            <c:manualLayout>
              <c:xMode val="edge"/>
              <c:yMode val="edge"/>
              <c:x val="0.246857842094063"/>
              <c:y val="0.9075468657306130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351277648"/>
        <c:crosses val="autoZero"/>
        <c:auto val="1"/>
        <c:lblAlgn val="ctr"/>
        <c:lblOffset val="100"/>
        <c:noMultiLvlLbl val="0"/>
      </c:catAx>
      <c:valAx>
        <c:axId val="35127764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r>
                  <a:rPr lang="en-US"/>
                  <a:t>Frequency</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307095592"/>
        <c:crosses val="autoZero"/>
        <c:crossBetween val="between"/>
      </c:valAx>
      <c:catAx>
        <c:axId val="813705480"/>
        <c:scaling>
          <c:orientation val="minMax"/>
        </c:scaling>
        <c:delete val="1"/>
        <c:axPos val="b"/>
        <c:numFmt formatCode="General" sourceLinked="1"/>
        <c:majorTickMark val="out"/>
        <c:minorTickMark val="none"/>
        <c:tickLblPos val="nextTo"/>
        <c:crossAx val="813707776"/>
        <c:crosses val="autoZero"/>
        <c:auto val="1"/>
        <c:lblAlgn val="ctr"/>
        <c:lblOffset val="100"/>
        <c:noMultiLvlLbl val="0"/>
      </c:catAx>
      <c:valAx>
        <c:axId val="813707776"/>
        <c:scaling>
          <c:orientation val="minMax"/>
        </c:scaling>
        <c:delete val="0"/>
        <c:axPos val="r"/>
        <c:title>
          <c:tx>
            <c:rich>
              <a:bodyPr rot="-54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r>
                  <a:rPr lang="en-US"/>
                  <a:t>Probability</a:t>
                </a:r>
              </a:p>
            </c:rich>
          </c:tx>
          <c:layout>
            <c:manualLayout>
              <c:xMode val="edge"/>
              <c:yMode val="edge"/>
              <c:x val="0.80758972899471904"/>
              <c:y val="0.35736005350959499"/>
            </c:manualLayout>
          </c:layout>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813705480"/>
        <c:crosses val="max"/>
        <c:crossBetween val="between"/>
      </c:valAx>
      <c:spPr>
        <a:noFill/>
        <a:ln>
          <a:noFill/>
        </a:ln>
        <a:effectLst/>
      </c:spPr>
    </c:plotArea>
    <c:legend>
      <c:legendPos val="r"/>
      <c:layout>
        <c:manualLayout>
          <c:xMode val="edge"/>
          <c:yMode val="edge"/>
          <c:x val="0.75405162002233495"/>
          <c:y val="0.83095691843456998"/>
          <c:w val="0.19118671447070801"/>
          <c:h val="0.11467561555882801"/>
        </c:manualLayout>
      </c:layout>
      <c:overlay val="0"/>
      <c:spPr>
        <a:noFill/>
        <a:ln>
          <a:noFill/>
        </a:ln>
        <a:effectLst/>
      </c:spPr>
      <c:txPr>
        <a:bodyPr rot="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sz="1000" b="0" i="0" u="none" strike="noStrike" kern="1200" baseline="0">
          <a:solidFill>
            <a:schemeClr val="tx1"/>
          </a:solidFill>
          <a:latin typeface="+mn-lt"/>
          <a:ea typeface="+mn-ea"/>
          <a:cs typeface="+mn-cs"/>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'Short-term External Debt to Res'!$J$1</c:f>
              <c:strCache>
                <c:ptCount val="1"/>
                <c:pt idx="0">
                  <c:v>Real Data</c:v>
                </c:pt>
              </c:strCache>
            </c:strRef>
          </c:tx>
          <c:spPr>
            <a:solidFill>
              <a:schemeClr val="tx2"/>
            </a:solidFill>
            <a:ln w="584200">
              <a:solidFill>
                <a:schemeClr val="accent1">
                  <a:alpha val="0"/>
                </a:schemeClr>
              </a:solidFill>
            </a:ln>
            <a:effectLst/>
          </c:spPr>
          <c:invertIfNegative val="0"/>
          <c:errBars>
            <c:errBarType val="minus"/>
            <c:errValType val="percentage"/>
            <c:noEndCap val="1"/>
            <c:val val="0.1"/>
            <c:spPr>
              <a:noFill/>
              <a:ln w="9525" cap="flat" cmpd="sng" algn="ctr">
                <a:solidFill>
                  <a:schemeClr val="tx1">
                    <a:lumMod val="65000"/>
                    <a:lumOff val="35000"/>
                  </a:schemeClr>
                </a:solidFill>
                <a:round/>
              </a:ln>
              <a:effectLst/>
            </c:spPr>
          </c:errBars>
          <c:cat>
            <c:numRef>
              <c:f>'Short-term External Debt to Res'!$I$2:$I$8</c:f>
              <c:numCache>
                <c:formatCode>General</c:formatCode>
                <c:ptCount val="7"/>
                <c:pt idx="0">
                  <c:v>0</c:v>
                </c:pt>
                <c:pt idx="1">
                  <c:v>1</c:v>
                </c:pt>
                <c:pt idx="2">
                  <c:v>2</c:v>
                </c:pt>
                <c:pt idx="3">
                  <c:v>3</c:v>
                </c:pt>
                <c:pt idx="4">
                  <c:v>4</c:v>
                </c:pt>
                <c:pt idx="5">
                  <c:v>5</c:v>
                </c:pt>
                <c:pt idx="6">
                  <c:v>6</c:v>
                </c:pt>
              </c:numCache>
            </c:numRef>
          </c:cat>
          <c:val>
            <c:numRef>
              <c:f>'Short-term External Debt to Res'!$J$2:$J$8</c:f>
              <c:numCache>
                <c:formatCode>General</c:formatCode>
                <c:ptCount val="7"/>
                <c:pt idx="0">
                  <c:v>7</c:v>
                </c:pt>
                <c:pt idx="1">
                  <c:v>111</c:v>
                </c:pt>
                <c:pt idx="2">
                  <c:v>429</c:v>
                </c:pt>
                <c:pt idx="3">
                  <c:v>536</c:v>
                </c:pt>
                <c:pt idx="4">
                  <c:v>172</c:v>
                </c:pt>
                <c:pt idx="5">
                  <c:v>11</c:v>
                </c:pt>
                <c:pt idx="6">
                  <c:v>0</c:v>
                </c:pt>
              </c:numCache>
            </c:numRef>
          </c:val>
          <c:extLst>
            <c:ext xmlns:c16="http://schemas.microsoft.com/office/drawing/2014/chart" uri="{C3380CC4-5D6E-409C-BE32-E72D297353CC}">
              <c16:uniqueId val="{00000000-11E8-4B6C-9B7B-D7E79B906E47}"/>
            </c:ext>
          </c:extLst>
        </c:ser>
        <c:dLbls>
          <c:showLegendKey val="0"/>
          <c:showVal val="0"/>
          <c:showCatName val="0"/>
          <c:showSerName val="0"/>
          <c:showPercent val="0"/>
          <c:showBubbleSize val="0"/>
        </c:dLbls>
        <c:gapWidth val="0"/>
        <c:axId val="813713680"/>
        <c:axId val="813714336"/>
      </c:barChart>
      <c:lineChart>
        <c:grouping val="standard"/>
        <c:varyColors val="0"/>
        <c:ser>
          <c:idx val="1"/>
          <c:order val="1"/>
          <c:tx>
            <c:strRef>
              <c:f>'Short-term External Debt to Res'!$L$1</c:f>
              <c:strCache>
                <c:ptCount val="1"/>
                <c:pt idx="0">
                  <c:v>Normal</c:v>
                </c:pt>
              </c:strCache>
            </c:strRef>
          </c:tx>
          <c:spPr>
            <a:ln w="19050" cap="rnd">
              <a:solidFill>
                <a:schemeClr val="accent2"/>
              </a:solidFill>
              <a:round/>
            </a:ln>
            <a:effectLst/>
          </c:spPr>
          <c:marker>
            <c:symbol val="none"/>
          </c:marker>
          <c:cat>
            <c:numRef>
              <c:f>'Short-term External Debt to Res'!$I$2:$I$8</c:f>
              <c:numCache>
                <c:formatCode>General</c:formatCode>
                <c:ptCount val="7"/>
                <c:pt idx="0">
                  <c:v>0</c:v>
                </c:pt>
                <c:pt idx="1">
                  <c:v>1</c:v>
                </c:pt>
                <c:pt idx="2">
                  <c:v>2</c:v>
                </c:pt>
                <c:pt idx="3">
                  <c:v>3</c:v>
                </c:pt>
                <c:pt idx="4">
                  <c:v>4</c:v>
                </c:pt>
                <c:pt idx="5">
                  <c:v>5</c:v>
                </c:pt>
                <c:pt idx="6">
                  <c:v>6</c:v>
                </c:pt>
              </c:numCache>
            </c:numRef>
          </c:cat>
          <c:val>
            <c:numRef>
              <c:f>'Short-term External Debt to Res'!$L$2:$L$8</c:f>
              <c:numCache>
                <c:formatCode>General</c:formatCode>
                <c:ptCount val="7"/>
                <c:pt idx="0">
                  <c:v>1.47622167824E-3</c:v>
                </c:pt>
                <c:pt idx="1">
                  <c:v>3.3963566364317202E-2</c:v>
                </c:pt>
                <c:pt idx="2">
                  <c:v>0.22735733446945899</c:v>
                </c:pt>
                <c:pt idx="3">
                  <c:v>0.44283161982961899</c:v>
                </c:pt>
                <c:pt idx="4">
                  <c:v>0.25095869718569402</c:v>
                </c:pt>
                <c:pt idx="5">
                  <c:v>4.1380892345591502E-2</c:v>
                </c:pt>
                <c:pt idx="6">
                  <c:v>1.9853241483156199E-3</c:v>
                </c:pt>
              </c:numCache>
            </c:numRef>
          </c:val>
          <c:smooth val="1"/>
          <c:extLst>
            <c:ext xmlns:c16="http://schemas.microsoft.com/office/drawing/2014/chart" uri="{C3380CC4-5D6E-409C-BE32-E72D297353CC}">
              <c16:uniqueId val="{00000001-11E8-4B6C-9B7B-D7E79B906E47}"/>
            </c:ext>
          </c:extLst>
        </c:ser>
        <c:dLbls>
          <c:showLegendKey val="0"/>
          <c:showVal val="0"/>
          <c:showCatName val="0"/>
          <c:showSerName val="0"/>
          <c:showPercent val="0"/>
          <c:showBubbleSize val="0"/>
        </c:dLbls>
        <c:marker val="1"/>
        <c:smooth val="0"/>
        <c:axId val="753512408"/>
        <c:axId val="753512080"/>
      </c:lineChart>
      <c:catAx>
        <c:axId val="813713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Short-term External Debt to Reserves </a:t>
                </a:r>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813714336"/>
        <c:crosses val="autoZero"/>
        <c:auto val="1"/>
        <c:lblAlgn val="ctr"/>
        <c:lblOffset val="100"/>
        <c:noMultiLvlLbl val="0"/>
      </c:catAx>
      <c:valAx>
        <c:axId val="813714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813713680"/>
        <c:crosses val="autoZero"/>
        <c:crossBetween val="between"/>
      </c:valAx>
      <c:catAx>
        <c:axId val="753512408"/>
        <c:scaling>
          <c:orientation val="minMax"/>
        </c:scaling>
        <c:delete val="1"/>
        <c:axPos val="b"/>
        <c:numFmt formatCode="General" sourceLinked="1"/>
        <c:majorTickMark val="out"/>
        <c:minorTickMark val="none"/>
        <c:tickLblPos val="nextTo"/>
        <c:crossAx val="753512080"/>
        <c:crosses val="autoZero"/>
        <c:auto val="1"/>
        <c:lblAlgn val="ctr"/>
        <c:lblOffset val="100"/>
        <c:noMultiLvlLbl val="0"/>
      </c:catAx>
      <c:valAx>
        <c:axId val="753512080"/>
        <c:scaling>
          <c:orientation val="minMax"/>
        </c:scaling>
        <c:delete val="0"/>
        <c:axPos val="r"/>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Probability</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753512408"/>
        <c:crosses val="max"/>
        <c:crossBetween val="between"/>
      </c:valAx>
      <c:spPr>
        <a:noFill/>
        <a:ln>
          <a:noFill/>
        </a:ln>
        <a:effectLst/>
      </c:spPr>
    </c:plotArea>
    <c:legend>
      <c:legendPos val="r"/>
      <c:layout>
        <c:manualLayout>
          <c:xMode val="edge"/>
          <c:yMode val="edge"/>
          <c:x val="0.78438051612438398"/>
          <c:y val="0.83687411866108696"/>
          <c:w val="0.17871076974997699"/>
          <c:h val="0.119522732234982"/>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'Public External Debt to Revenue'!$J$1</c:f>
              <c:strCache>
                <c:ptCount val="1"/>
                <c:pt idx="0">
                  <c:v>Real Data</c:v>
                </c:pt>
              </c:strCache>
            </c:strRef>
          </c:tx>
          <c:spPr>
            <a:solidFill>
              <a:schemeClr val="tx2"/>
            </a:solidFill>
            <a:ln>
              <a:solidFill>
                <a:schemeClr val="tx2">
                  <a:alpha val="0"/>
                </a:schemeClr>
              </a:solidFill>
            </a:ln>
            <a:effectLst/>
          </c:spPr>
          <c:invertIfNegative val="0"/>
          <c:errBars>
            <c:errBarType val="both"/>
            <c:errValType val="percentage"/>
            <c:noEndCap val="0"/>
            <c:val val="0.1"/>
            <c:spPr>
              <a:noFill/>
              <a:ln w="0" cap="flat" cmpd="sng" algn="ctr">
                <a:solidFill>
                  <a:schemeClr val="tx2"/>
                </a:solidFill>
                <a:round/>
              </a:ln>
              <a:effectLst/>
            </c:spPr>
          </c:errBars>
          <c:cat>
            <c:numRef>
              <c:f>'Public External Debt to Revenue'!$I$2:$I$10</c:f>
              <c:numCache>
                <c:formatCode>General</c:formatCode>
                <c:ptCount val="9"/>
                <c:pt idx="0">
                  <c:v>0</c:v>
                </c:pt>
                <c:pt idx="1">
                  <c:v>0.5</c:v>
                </c:pt>
                <c:pt idx="2">
                  <c:v>1</c:v>
                </c:pt>
                <c:pt idx="3">
                  <c:v>1.5</c:v>
                </c:pt>
                <c:pt idx="4">
                  <c:v>2</c:v>
                </c:pt>
                <c:pt idx="5">
                  <c:v>2.5</c:v>
                </c:pt>
                <c:pt idx="6">
                  <c:v>3</c:v>
                </c:pt>
                <c:pt idx="7">
                  <c:v>3.5</c:v>
                </c:pt>
                <c:pt idx="8">
                  <c:v>4</c:v>
                </c:pt>
              </c:numCache>
            </c:numRef>
          </c:cat>
          <c:val>
            <c:numRef>
              <c:f>'Public External Debt to Revenue'!$J$2:$J$10</c:f>
              <c:numCache>
                <c:formatCode>General</c:formatCode>
                <c:ptCount val="9"/>
                <c:pt idx="0">
                  <c:v>0</c:v>
                </c:pt>
                <c:pt idx="1">
                  <c:v>17</c:v>
                </c:pt>
                <c:pt idx="2">
                  <c:v>95</c:v>
                </c:pt>
                <c:pt idx="3">
                  <c:v>334</c:v>
                </c:pt>
                <c:pt idx="4">
                  <c:v>499</c:v>
                </c:pt>
                <c:pt idx="5">
                  <c:v>257</c:v>
                </c:pt>
                <c:pt idx="6">
                  <c:v>61</c:v>
                </c:pt>
                <c:pt idx="7">
                  <c:v>3</c:v>
                </c:pt>
                <c:pt idx="8">
                  <c:v>0</c:v>
                </c:pt>
              </c:numCache>
            </c:numRef>
          </c:val>
          <c:extLst>
            <c:ext xmlns:c16="http://schemas.microsoft.com/office/drawing/2014/chart" uri="{C3380CC4-5D6E-409C-BE32-E72D297353CC}">
              <c16:uniqueId val="{00000000-B53F-4A76-9487-52A088DEA7BC}"/>
            </c:ext>
          </c:extLst>
        </c:ser>
        <c:dLbls>
          <c:showLegendKey val="0"/>
          <c:showVal val="0"/>
          <c:showCatName val="0"/>
          <c:showSerName val="0"/>
          <c:showPercent val="0"/>
          <c:showBubbleSize val="0"/>
        </c:dLbls>
        <c:gapWidth val="0"/>
        <c:axId val="756011408"/>
        <c:axId val="756010752"/>
      </c:barChart>
      <c:lineChart>
        <c:grouping val="standard"/>
        <c:varyColors val="0"/>
        <c:ser>
          <c:idx val="1"/>
          <c:order val="1"/>
          <c:tx>
            <c:strRef>
              <c:f>'Public External Debt to Revenue'!$L$1</c:f>
              <c:strCache>
                <c:ptCount val="1"/>
                <c:pt idx="0">
                  <c:v>Normal</c:v>
                </c:pt>
              </c:strCache>
            </c:strRef>
          </c:tx>
          <c:spPr>
            <a:ln w="19050" cap="rnd">
              <a:solidFill>
                <a:schemeClr val="accent2"/>
              </a:solidFill>
              <a:round/>
            </a:ln>
            <a:effectLst/>
          </c:spPr>
          <c:marker>
            <c:symbol val="none"/>
          </c:marker>
          <c:cat>
            <c:numRef>
              <c:f>'Public External Debt to Revenue'!$I$2:$I$10</c:f>
              <c:numCache>
                <c:formatCode>General</c:formatCode>
                <c:ptCount val="9"/>
                <c:pt idx="0">
                  <c:v>0</c:v>
                </c:pt>
                <c:pt idx="1">
                  <c:v>0.5</c:v>
                </c:pt>
                <c:pt idx="2">
                  <c:v>1</c:v>
                </c:pt>
                <c:pt idx="3">
                  <c:v>1.5</c:v>
                </c:pt>
                <c:pt idx="4">
                  <c:v>2</c:v>
                </c:pt>
                <c:pt idx="5">
                  <c:v>2.5</c:v>
                </c:pt>
                <c:pt idx="6">
                  <c:v>3</c:v>
                </c:pt>
                <c:pt idx="7">
                  <c:v>3.5</c:v>
                </c:pt>
                <c:pt idx="8">
                  <c:v>4</c:v>
                </c:pt>
              </c:numCache>
            </c:numRef>
          </c:cat>
          <c:val>
            <c:numRef>
              <c:f>'Public External Debt to Revenue'!$L$2:$L$10</c:f>
              <c:numCache>
                <c:formatCode>General</c:formatCode>
                <c:ptCount val="9"/>
                <c:pt idx="0">
                  <c:v>3.3965119885868701E-4</c:v>
                </c:pt>
                <c:pt idx="1">
                  <c:v>1.0592687730622E-2</c:v>
                </c:pt>
                <c:pt idx="2">
                  <c:v>0.12153033790913</c:v>
                </c:pt>
                <c:pt idx="3">
                  <c:v>0.512942588851241</c:v>
                </c:pt>
                <c:pt idx="4">
                  <c:v>0.79644966039121401</c:v>
                </c:pt>
                <c:pt idx="5">
                  <c:v>0.45493926491477199</c:v>
                </c:pt>
                <c:pt idx="6">
                  <c:v>9.5599149764153901E-2</c:v>
                </c:pt>
                <c:pt idx="7">
                  <c:v>7.3902674591180603E-3</c:v>
                </c:pt>
                <c:pt idx="8">
                  <c:v>2.101705208608E-4</c:v>
                </c:pt>
              </c:numCache>
            </c:numRef>
          </c:val>
          <c:smooth val="1"/>
          <c:extLst>
            <c:ext xmlns:c16="http://schemas.microsoft.com/office/drawing/2014/chart" uri="{C3380CC4-5D6E-409C-BE32-E72D297353CC}">
              <c16:uniqueId val="{00000001-B53F-4A76-9487-52A088DEA7BC}"/>
            </c:ext>
          </c:extLst>
        </c:ser>
        <c:dLbls>
          <c:showLegendKey val="0"/>
          <c:showVal val="0"/>
          <c:showCatName val="0"/>
          <c:showSerName val="0"/>
          <c:showPercent val="0"/>
          <c:showBubbleSize val="0"/>
        </c:dLbls>
        <c:marker val="1"/>
        <c:smooth val="0"/>
        <c:axId val="805690368"/>
        <c:axId val="805683152"/>
      </c:lineChart>
      <c:catAx>
        <c:axId val="756011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Public External Debt to Revenue</a:t>
                </a:r>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756010752"/>
        <c:crosses val="autoZero"/>
        <c:auto val="1"/>
        <c:lblAlgn val="ctr"/>
        <c:lblOffset val="100"/>
        <c:noMultiLvlLbl val="0"/>
      </c:catAx>
      <c:valAx>
        <c:axId val="756010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756011408"/>
        <c:crosses val="autoZero"/>
        <c:crossBetween val="between"/>
      </c:valAx>
      <c:catAx>
        <c:axId val="805690368"/>
        <c:scaling>
          <c:orientation val="minMax"/>
        </c:scaling>
        <c:delete val="1"/>
        <c:axPos val="b"/>
        <c:numFmt formatCode="General" sourceLinked="1"/>
        <c:majorTickMark val="out"/>
        <c:minorTickMark val="none"/>
        <c:tickLblPos val="nextTo"/>
        <c:crossAx val="805683152"/>
        <c:crosses val="autoZero"/>
        <c:auto val="1"/>
        <c:lblAlgn val="ctr"/>
        <c:lblOffset val="100"/>
        <c:noMultiLvlLbl val="0"/>
      </c:catAx>
      <c:valAx>
        <c:axId val="805683152"/>
        <c:scaling>
          <c:orientation val="minMax"/>
        </c:scaling>
        <c:delete val="0"/>
        <c:axPos val="r"/>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Probability</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805690368"/>
        <c:crosses val="max"/>
        <c:crossBetween val="between"/>
      </c:valAx>
      <c:spPr>
        <a:noFill/>
        <a:ln>
          <a:noFill/>
        </a:ln>
        <a:effectLst/>
      </c:spPr>
    </c:plotArea>
    <c:legend>
      <c:legendPos val="r"/>
      <c:layout>
        <c:manualLayout>
          <c:xMode val="edge"/>
          <c:yMode val="edge"/>
          <c:x val="0.77237445319335096"/>
          <c:y val="0.76446704578594404"/>
          <c:w val="0.173534260121292"/>
          <c:h val="0.156251093613298"/>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Inflation!$J$1</c:f>
              <c:strCache>
                <c:ptCount val="1"/>
                <c:pt idx="0">
                  <c:v>Real Data</c:v>
                </c:pt>
              </c:strCache>
            </c:strRef>
          </c:tx>
          <c:spPr>
            <a:solidFill>
              <a:schemeClr val="tx2"/>
            </a:solidFill>
            <a:ln>
              <a:solidFill>
                <a:schemeClr val="tx2">
                  <a:alpha val="0"/>
                </a:schemeClr>
              </a:solidFill>
            </a:ln>
            <a:effectLst/>
          </c:spPr>
          <c:invertIfNegative val="0"/>
          <c:errBars>
            <c:errBarType val="both"/>
            <c:errValType val="stdErr"/>
            <c:noEndCap val="0"/>
            <c:spPr>
              <a:noFill/>
              <a:ln w="9525" cap="flat" cmpd="sng" algn="ctr">
                <a:solidFill>
                  <a:schemeClr val="tx2">
                    <a:alpha val="0"/>
                  </a:schemeClr>
                </a:solidFill>
                <a:round/>
              </a:ln>
              <a:effectLst/>
            </c:spPr>
          </c:errBars>
          <c:cat>
            <c:numRef>
              <c:f>Inflation!$I$2:$I$15</c:f>
              <c:numCache>
                <c:formatCode>General</c:formatCode>
                <c:ptCount val="14"/>
                <c:pt idx="0">
                  <c:v>0</c:v>
                </c:pt>
                <c:pt idx="1">
                  <c:v>1.5</c:v>
                </c:pt>
                <c:pt idx="2">
                  <c:v>3</c:v>
                </c:pt>
                <c:pt idx="3">
                  <c:v>4.5</c:v>
                </c:pt>
                <c:pt idx="4">
                  <c:v>6</c:v>
                </c:pt>
                <c:pt idx="5">
                  <c:v>7.5</c:v>
                </c:pt>
                <c:pt idx="6">
                  <c:v>9</c:v>
                </c:pt>
                <c:pt idx="7">
                  <c:v>10.5</c:v>
                </c:pt>
                <c:pt idx="8">
                  <c:v>12</c:v>
                </c:pt>
                <c:pt idx="9">
                  <c:v>13.5</c:v>
                </c:pt>
                <c:pt idx="10">
                  <c:v>15</c:v>
                </c:pt>
                <c:pt idx="11">
                  <c:v>16.5</c:v>
                </c:pt>
                <c:pt idx="12">
                  <c:v>18</c:v>
                </c:pt>
                <c:pt idx="13">
                  <c:v>19.5</c:v>
                </c:pt>
              </c:numCache>
            </c:numRef>
          </c:cat>
          <c:val>
            <c:numRef>
              <c:f>Inflation!$J$2:$J$15</c:f>
              <c:numCache>
                <c:formatCode>General</c:formatCode>
                <c:ptCount val="14"/>
                <c:pt idx="0">
                  <c:v>0</c:v>
                </c:pt>
                <c:pt idx="1">
                  <c:v>0</c:v>
                </c:pt>
                <c:pt idx="2">
                  <c:v>0</c:v>
                </c:pt>
                <c:pt idx="3">
                  <c:v>4</c:v>
                </c:pt>
                <c:pt idx="4">
                  <c:v>27</c:v>
                </c:pt>
                <c:pt idx="5">
                  <c:v>83</c:v>
                </c:pt>
                <c:pt idx="6">
                  <c:v>215</c:v>
                </c:pt>
                <c:pt idx="7">
                  <c:v>318</c:v>
                </c:pt>
                <c:pt idx="8">
                  <c:v>298</c:v>
                </c:pt>
                <c:pt idx="9">
                  <c:v>199</c:v>
                </c:pt>
                <c:pt idx="10">
                  <c:v>93</c:v>
                </c:pt>
                <c:pt idx="11">
                  <c:v>23</c:v>
                </c:pt>
                <c:pt idx="12">
                  <c:v>6</c:v>
                </c:pt>
                <c:pt idx="13">
                  <c:v>0</c:v>
                </c:pt>
              </c:numCache>
            </c:numRef>
          </c:val>
          <c:extLst>
            <c:ext xmlns:c16="http://schemas.microsoft.com/office/drawing/2014/chart" uri="{C3380CC4-5D6E-409C-BE32-E72D297353CC}">
              <c16:uniqueId val="{00000000-A865-4AF0-8D80-B0B9E8677E0B}"/>
            </c:ext>
          </c:extLst>
        </c:ser>
        <c:dLbls>
          <c:showLegendKey val="0"/>
          <c:showVal val="0"/>
          <c:showCatName val="0"/>
          <c:showSerName val="0"/>
          <c:showPercent val="0"/>
          <c:showBubbleSize val="0"/>
        </c:dLbls>
        <c:gapWidth val="0"/>
        <c:axId val="534111632"/>
        <c:axId val="534113928"/>
      </c:barChart>
      <c:lineChart>
        <c:grouping val="standard"/>
        <c:varyColors val="0"/>
        <c:ser>
          <c:idx val="1"/>
          <c:order val="1"/>
          <c:tx>
            <c:strRef>
              <c:f>Inflation!$L$1</c:f>
              <c:strCache>
                <c:ptCount val="1"/>
                <c:pt idx="0">
                  <c:v>Normal</c:v>
                </c:pt>
              </c:strCache>
            </c:strRef>
          </c:tx>
          <c:spPr>
            <a:ln w="19050" cap="rnd">
              <a:solidFill>
                <a:schemeClr val="accent2"/>
              </a:solidFill>
              <a:round/>
            </a:ln>
            <a:effectLst/>
          </c:spPr>
          <c:marker>
            <c:symbol val="none"/>
          </c:marker>
          <c:cat>
            <c:numRef>
              <c:f>Inflation!$I$2:$I$15</c:f>
              <c:numCache>
                <c:formatCode>General</c:formatCode>
                <c:ptCount val="14"/>
                <c:pt idx="0">
                  <c:v>0</c:v>
                </c:pt>
                <c:pt idx="1">
                  <c:v>1.5</c:v>
                </c:pt>
                <c:pt idx="2">
                  <c:v>3</c:v>
                </c:pt>
                <c:pt idx="3">
                  <c:v>4.5</c:v>
                </c:pt>
                <c:pt idx="4">
                  <c:v>6</c:v>
                </c:pt>
                <c:pt idx="5">
                  <c:v>7.5</c:v>
                </c:pt>
                <c:pt idx="6">
                  <c:v>9</c:v>
                </c:pt>
                <c:pt idx="7">
                  <c:v>10.5</c:v>
                </c:pt>
                <c:pt idx="8">
                  <c:v>12</c:v>
                </c:pt>
                <c:pt idx="9">
                  <c:v>13.5</c:v>
                </c:pt>
                <c:pt idx="10">
                  <c:v>15</c:v>
                </c:pt>
                <c:pt idx="11">
                  <c:v>16.5</c:v>
                </c:pt>
                <c:pt idx="12">
                  <c:v>18</c:v>
                </c:pt>
                <c:pt idx="13">
                  <c:v>19.5</c:v>
                </c:pt>
              </c:numCache>
            </c:numRef>
          </c:cat>
          <c:val>
            <c:numRef>
              <c:f>Inflation!$L$2:$L$15</c:f>
              <c:numCache>
                <c:formatCode>General</c:formatCode>
                <c:ptCount val="14"/>
                <c:pt idx="0">
                  <c:v>2.12023206979258E-6</c:v>
                </c:pt>
                <c:pt idx="1">
                  <c:v>3.9702502798889899E-5</c:v>
                </c:pt>
                <c:pt idx="2">
                  <c:v>4.7992698554833699E-4</c:v>
                </c:pt>
                <c:pt idx="3">
                  <c:v>3.74502960358848E-3</c:v>
                </c:pt>
                <c:pt idx="4">
                  <c:v>1.88650577586723E-2</c:v>
                </c:pt>
                <c:pt idx="5">
                  <c:v>6.1345657109607703E-2</c:v>
                </c:pt>
                <c:pt idx="6">
                  <c:v>0.128775221583909</c:v>
                </c:pt>
                <c:pt idx="7">
                  <c:v>0.17450327753273701</c:v>
                </c:pt>
                <c:pt idx="8">
                  <c:v>0.15265030284393999</c:v>
                </c:pt>
                <c:pt idx="9">
                  <c:v>8.6201446110984903E-2</c:v>
                </c:pt>
                <c:pt idx="10">
                  <c:v>3.1423476597531197E-2</c:v>
                </c:pt>
                <c:pt idx="11">
                  <c:v>7.3946344988707101E-3</c:v>
                </c:pt>
                <c:pt idx="12">
                  <c:v>1.1233161227390399E-3</c:v>
                </c:pt>
                <c:pt idx="13">
                  <c:v>1.1015648547603E-4</c:v>
                </c:pt>
              </c:numCache>
            </c:numRef>
          </c:val>
          <c:smooth val="1"/>
          <c:extLst>
            <c:ext xmlns:c16="http://schemas.microsoft.com/office/drawing/2014/chart" uri="{C3380CC4-5D6E-409C-BE32-E72D297353CC}">
              <c16:uniqueId val="{00000001-A865-4AF0-8D80-B0B9E8677E0B}"/>
            </c:ext>
          </c:extLst>
        </c:ser>
        <c:dLbls>
          <c:showLegendKey val="0"/>
          <c:showVal val="0"/>
          <c:showCatName val="0"/>
          <c:showSerName val="0"/>
          <c:showPercent val="0"/>
          <c:showBubbleSize val="0"/>
        </c:dLbls>
        <c:marker val="1"/>
        <c:smooth val="0"/>
        <c:axId val="533397176"/>
        <c:axId val="533398816"/>
      </c:lineChart>
      <c:catAx>
        <c:axId val="534111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Inflation </a:t>
                </a:r>
                <a:r>
                  <a:rPr lang="en-US" sz="1000" b="0" i="0" u="none" strike="noStrike" baseline="0">
                    <a:effectLst/>
                  </a:rPr>
                  <a:t>(percent)</a:t>
                </a:r>
                <a:endParaRPr lang="en-US"/>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534113928"/>
        <c:crosses val="autoZero"/>
        <c:auto val="1"/>
        <c:lblAlgn val="ctr"/>
        <c:lblOffset val="100"/>
        <c:noMultiLvlLbl val="0"/>
      </c:catAx>
      <c:valAx>
        <c:axId val="534113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534111632"/>
        <c:crosses val="autoZero"/>
        <c:crossBetween val="between"/>
      </c:valAx>
      <c:catAx>
        <c:axId val="533397176"/>
        <c:scaling>
          <c:orientation val="minMax"/>
        </c:scaling>
        <c:delete val="1"/>
        <c:axPos val="b"/>
        <c:numFmt formatCode="General" sourceLinked="1"/>
        <c:majorTickMark val="out"/>
        <c:minorTickMark val="none"/>
        <c:tickLblPos val="nextTo"/>
        <c:crossAx val="533398816"/>
        <c:crosses val="autoZero"/>
        <c:auto val="1"/>
        <c:lblAlgn val="ctr"/>
        <c:lblOffset val="100"/>
        <c:noMultiLvlLbl val="0"/>
      </c:catAx>
      <c:valAx>
        <c:axId val="533398816"/>
        <c:scaling>
          <c:orientation val="minMax"/>
        </c:scaling>
        <c:delete val="0"/>
        <c:axPos val="r"/>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Probability</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533397176"/>
        <c:crosses val="max"/>
        <c:crossBetween val="between"/>
      </c:valAx>
      <c:spPr>
        <a:noFill/>
        <a:ln>
          <a:noFill/>
        </a:ln>
        <a:effectLst/>
      </c:spPr>
    </c:plotArea>
    <c:legend>
      <c:legendPos val="r"/>
      <c:layout>
        <c:manualLayout>
          <c:xMode val="edge"/>
          <c:yMode val="edge"/>
          <c:x val="0.79181889763779501"/>
          <c:y val="0.79687445319335104"/>
          <c:w val="0.18040332458442701"/>
          <c:h val="0.156251093613298"/>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'External Financing Requirement'!$J$1</c:f>
              <c:strCache>
                <c:ptCount val="1"/>
                <c:pt idx="0">
                  <c:v>Real Data</c:v>
                </c:pt>
              </c:strCache>
            </c:strRef>
          </c:tx>
          <c:spPr>
            <a:solidFill>
              <a:schemeClr val="tx2"/>
            </a:solidFill>
            <a:ln>
              <a:solidFill>
                <a:schemeClr val="tx2">
                  <a:alpha val="0"/>
                </a:schemeClr>
              </a:solidFill>
            </a:ln>
            <a:effectLst/>
          </c:spPr>
          <c:invertIfNegative val="0"/>
          <c:errBars>
            <c:errBarType val="both"/>
            <c:errValType val="stdErr"/>
            <c:noEndCap val="0"/>
            <c:spPr>
              <a:noFill/>
              <a:ln w="9525" cap="flat" cmpd="sng" algn="ctr">
                <a:solidFill>
                  <a:schemeClr val="tx2">
                    <a:alpha val="0"/>
                  </a:schemeClr>
                </a:solidFill>
                <a:round/>
              </a:ln>
              <a:effectLst/>
            </c:spPr>
          </c:errBars>
          <c:cat>
            <c:numRef>
              <c:f>'External Financing Requirement'!$I$2:$I$12</c:f>
              <c:numCache>
                <c:formatCode>General</c:formatCode>
                <c:ptCount val="11"/>
                <c:pt idx="0">
                  <c:v>0</c:v>
                </c:pt>
                <c:pt idx="1">
                  <c:v>0.5</c:v>
                </c:pt>
                <c:pt idx="2">
                  <c:v>1</c:v>
                </c:pt>
                <c:pt idx="3">
                  <c:v>1.5</c:v>
                </c:pt>
                <c:pt idx="4">
                  <c:v>2</c:v>
                </c:pt>
                <c:pt idx="5">
                  <c:v>2.5</c:v>
                </c:pt>
                <c:pt idx="6">
                  <c:v>3</c:v>
                </c:pt>
                <c:pt idx="7">
                  <c:v>3.5</c:v>
                </c:pt>
                <c:pt idx="8">
                  <c:v>4</c:v>
                </c:pt>
                <c:pt idx="9">
                  <c:v>4.5</c:v>
                </c:pt>
                <c:pt idx="10">
                  <c:v>5</c:v>
                </c:pt>
              </c:numCache>
            </c:numRef>
          </c:cat>
          <c:val>
            <c:numRef>
              <c:f>'External Financing Requirement'!$J$2:$J$12</c:f>
              <c:numCache>
                <c:formatCode>General</c:formatCode>
                <c:ptCount val="11"/>
                <c:pt idx="0">
                  <c:v>0</c:v>
                </c:pt>
                <c:pt idx="1">
                  <c:v>6</c:v>
                </c:pt>
                <c:pt idx="2">
                  <c:v>55</c:v>
                </c:pt>
                <c:pt idx="3">
                  <c:v>154</c:v>
                </c:pt>
                <c:pt idx="4">
                  <c:v>297</c:v>
                </c:pt>
                <c:pt idx="5">
                  <c:v>340</c:v>
                </c:pt>
                <c:pt idx="6">
                  <c:v>232</c:v>
                </c:pt>
                <c:pt idx="7">
                  <c:v>131</c:v>
                </c:pt>
                <c:pt idx="8">
                  <c:v>41</c:v>
                </c:pt>
                <c:pt idx="9">
                  <c:v>10</c:v>
                </c:pt>
                <c:pt idx="10">
                  <c:v>0</c:v>
                </c:pt>
              </c:numCache>
            </c:numRef>
          </c:val>
          <c:extLst>
            <c:ext xmlns:c16="http://schemas.microsoft.com/office/drawing/2014/chart" uri="{C3380CC4-5D6E-409C-BE32-E72D297353CC}">
              <c16:uniqueId val="{00000000-C7F8-48AA-AF9D-D5215EBC5092}"/>
            </c:ext>
          </c:extLst>
        </c:ser>
        <c:dLbls>
          <c:showLegendKey val="0"/>
          <c:showVal val="0"/>
          <c:showCatName val="0"/>
          <c:showSerName val="0"/>
          <c:showPercent val="0"/>
          <c:showBubbleSize val="0"/>
        </c:dLbls>
        <c:gapWidth val="0"/>
        <c:axId val="838963352"/>
        <c:axId val="838961384"/>
      </c:barChart>
      <c:lineChart>
        <c:grouping val="standard"/>
        <c:varyColors val="0"/>
        <c:ser>
          <c:idx val="1"/>
          <c:order val="1"/>
          <c:tx>
            <c:strRef>
              <c:f>'External Financing Requirement'!$L$1</c:f>
              <c:strCache>
                <c:ptCount val="1"/>
                <c:pt idx="0">
                  <c:v>Normal</c:v>
                </c:pt>
              </c:strCache>
            </c:strRef>
          </c:tx>
          <c:spPr>
            <a:ln w="19050" cap="rnd">
              <a:solidFill>
                <a:schemeClr val="accent2"/>
              </a:solidFill>
              <a:round/>
            </a:ln>
            <a:effectLst/>
          </c:spPr>
          <c:marker>
            <c:symbol val="none"/>
          </c:marker>
          <c:cat>
            <c:numRef>
              <c:f>'External Financing Requirement'!$I$2:$I$12</c:f>
              <c:numCache>
                <c:formatCode>General</c:formatCode>
                <c:ptCount val="11"/>
                <c:pt idx="0">
                  <c:v>0</c:v>
                </c:pt>
                <c:pt idx="1">
                  <c:v>0.5</c:v>
                </c:pt>
                <c:pt idx="2">
                  <c:v>1</c:v>
                </c:pt>
                <c:pt idx="3">
                  <c:v>1.5</c:v>
                </c:pt>
                <c:pt idx="4">
                  <c:v>2</c:v>
                </c:pt>
                <c:pt idx="5">
                  <c:v>2.5</c:v>
                </c:pt>
                <c:pt idx="6">
                  <c:v>3</c:v>
                </c:pt>
                <c:pt idx="7">
                  <c:v>3.5</c:v>
                </c:pt>
                <c:pt idx="8">
                  <c:v>4</c:v>
                </c:pt>
                <c:pt idx="9">
                  <c:v>4.5</c:v>
                </c:pt>
                <c:pt idx="10">
                  <c:v>5</c:v>
                </c:pt>
              </c:numCache>
            </c:numRef>
          </c:cat>
          <c:val>
            <c:numRef>
              <c:f>'External Financing Requirement'!$L$2:$L$12</c:f>
              <c:numCache>
                <c:formatCode>General</c:formatCode>
                <c:ptCount val="11"/>
                <c:pt idx="0">
                  <c:v>1.5090316880362099E-3</c:v>
                </c:pt>
                <c:pt idx="1">
                  <c:v>1.2695487227496201E-2</c:v>
                </c:pt>
                <c:pt idx="2">
                  <c:v>6.6417669601312193E-2</c:v>
                </c:pt>
                <c:pt idx="3">
                  <c:v>0.21607331812062799</c:v>
                </c:pt>
                <c:pt idx="4">
                  <c:v>0.43712122649455598</c:v>
                </c:pt>
                <c:pt idx="5">
                  <c:v>0.54990275879961403</c:v>
                </c:pt>
                <c:pt idx="6">
                  <c:v>0.43018290499265699</c:v>
                </c:pt>
                <c:pt idx="7">
                  <c:v>0.20926839561420299</c:v>
                </c:pt>
                <c:pt idx="8">
                  <c:v>6.3304908984869901E-2</c:v>
                </c:pt>
                <c:pt idx="9">
                  <c:v>1.1908426485060001E-2</c:v>
                </c:pt>
                <c:pt idx="10">
                  <c:v>1.39301123270741E-3</c:v>
                </c:pt>
              </c:numCache>
            </c:numRef>
          </c:val>
          <c:smooth val="1"/>
          <c:extLst>
            <c:ext xmlns:c16="http://schemas.microsoft.com/office/drawing/2014/chart" uri="{C3380CC4-5D6E-409C-BE32-E72D297353CC}">
              <c16:uniqueId val="{00000001-C7F8-48AA-AF9D-D5215EBC5092}"/>
            </c:ext>
          </c:extLst>
        </c:ser>
        <c:dLbls>
          <c:showLegendKey val="0"/>
          <c:showVal val="0"/>
          <c:showCatName val="0"/>
          <c:showSerName val="0"/>
          <c:showPercent val="0"/>
          <c:showBubbleSize val="0"/>
        </c:dLbls>
        <c:marker val="1"/>
        <c:smooth val="0"/>
        <c:axId val="841009232"/>
        <c:axId val="841007264"/>
      </c:lineChart>
      <c:catAx>
        <c:axId val="838963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External Financing Requirement</a:t>
                </a:r>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838961384"/>
        <c:crosses val="autoZero"/>
        <c:auto val="1"/>
        <c:lblAlgn val="ctr"/>
        <c:lblOffset val="100"/>
        <c:noMultiLvlLbl val="0"/>
      </c:catAx>
      <c:valAx>
        <c:axId val="838961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838963352"/>
        <c:crosses val="autoZero"/>
        <c:crossBetween val="between"/>
      </c:valAx>
      <c:catAx>
        <c:axId val="841009232"/>
        <c:scaling>
          <c:orientation val="minMax"/>
        </c:scaling>
        <c:delete val="1"/>
        <c:axPos val="b"/>
        <c:numFmt formatCode="General" sourceLinked="1"/>
        <c:majorTickMark val="out"/>
        <c:minorTickMark val="none"/>
        <c:tickLblPos val="nextTo"/>
        <c:crossAx val="841007264"/>
        <c:crosses val="autoZero"/>
        <c:auto val="1"/>
        <c:lblAlgn val="ctr"/>
        <c:lblOffset val="100"/>
        <c:noMultiLvlLbl val="0"/>
      </c:catAx>
      <c:valAx>
        <c:axId val="841007264"/>
        <c:scaling>
          <c:orientation val="minMax"/>
        </c:scaling>
        <c:delete val="0"/>
        <c:axPos val="r"/>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Probability</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841009232"/>
        <c:crosses val="max"/>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'Real GDP growth'!$J$1</c:f>
              <c:strCache>
                <c:ptCount val="1"/>
                <c:pt idx="0">
                  <c:v>Real Data</c:v>
                </c:pt>
              </c:strCache>
            </c:strRef>
          </c:tx>
          <c:spPr>
            <a:solidFill>
              <a:schemeClr val="tx2"/>
            </a:solidFill>
            <a:ln>
              <a:solidFill>
                <a:schemeClr val="tx2">
                  <a:alpha val="0"/>
                </a:schemeClr>
              </a:solidFill>
            </a:ln>
            <a:effectLst/>
          </c:spPr>
          <c:invertIfNegative val="0"/>
          <c:errBars>
            <c:errBarType val="both"/>
            <c:errValType val="stdErr"/>
            <c:noEndCap val="0"/>
            <c:spPr>
              <a:noFill/>
              <a:ln w="9525" cap="flat" cmpd="sng" algn="ctr">
                <a:solidFill>
                  <a:schemeClr val="tx2">
                    <a:alpha val="0"/>
                  </a:schemeClr>
                </a:solidFill>
                <a:round/>
              </a:ln>
              <a:effectLst/>
            </c:spPr>
          </c:errBars>
          <c:cat>
            <c:numRef>
              <c:f>'Real GDP growth'!$I$2:$I$19</c:f>
              <c:numCache>
                <c:formatCode>General</c:formatCode>
                <c:ptCount val="18"/>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numCache>
            </c:numRef>
          </c:cat>
          <c:val>
            <c:numRef>
              <c:f>'Real GDP growth'!$J$2:$J$19</c:f>
              <c:numCache>
                <c:formatCode>General</c:formatCode>
                <c:ptCount val="18"/>
                <c:pt idx="0">
                  <c:v>0</c:v>
                </c:pt>
                <c:pt idx="1">
                  <c:v>0</c:v>
                </c:pt>
                <c:pt idx="2">
                  <c:v>0</c:v>
                </c:pt>
                <c:pt idx="3">
                  <c:v>0</c:v>
                </c:pt>
                <c:pt idx="4">
                  <c:v>0</c:v>
                </c:pt>
                <c:pt idx="5">
                  <c:v>0</c:v>
                </c:pt>
                <c:pt idx="6">
                  <c:v>1</c:v>
                </c:pt>
                <c:pt idx="7">
                  <c:v>9</c:v>
                </c:pt>
                <c:pt idx="8">
                  <c:v>35</c:v>
                </c:pt>
                <c:pt idx="9">
                  <c:v>127</c:v>
                </c:pt>
                <c:pt idx="10">
                  <c:v>229</c:v>
                </c:pt>
                <c:pt idx="11">
                  <c:v>311</c:v>
                </c:pt>
                <c:pt idx="12">
                  <c:v>285</c:v>
                </c:pt>
                <c:pt idx="13">
                  <c:v>180</c:v>
                </c:pt>
                <c:pt idx="14">
                  <c:v>62</c:v>
                </c:pt>
                <c:pt idx="15">
                  <c:v>25</c:v>
                </c:pt>
                <c:pt idx="16">
                  <c:v>2</c:v>
                </c:pt>
                <c:pt idx="17">
                  <c:v>0</c:v>
                </c:pt>
              </c:numCache>
            </c:numRef>
          </c:val>
          <c:extLst>
            <c:ext xmlns:c16="http://schemas.microsoft.com/office/drawing/2014/chart" uri="{C3380CC4-5D6E-409C-BE32-E72D297353CC}">
              <c16:uniqueId val="{00000000-8CD7-4FE9-A926-CF03C7D1F4A3}"/>
            </c:ext>
          </c:extLst>
        </c:ser>
        <c:dLbls>
          <c:showLegendKey val="0"/>
          <c:showVal val="0"/>
          <c:showCatName val="0"/>
          <c:showSerName val="0"/>
          <c:showPercent val="0"/>
          <c:showBubbleSize val="0"/>
        </c:dLbls>
        <c:gapWidth val="0"/>
        <c:axId val="840420800"/>
        <c:axId val="840417848"/>
      </c:barChart>
      <c:lineChart>
        <c:grouping val="standard"/>
        <c:varyColors val="0"/>
        <c:ser>
          <c:idx val="1"/>
          <c:order val="1"/>
          <c:tx>
            <c:strRef>
              <c:f>'Real GDP growth'!$L$1</c:f>
              <c:strCache>
                <c:ptCount val="1"/>
                <c:pt idx="0">
                  <c:v>Normal</c:v>
                </c:pt>
              </c:strCache>
            </c:strRef>
          </c:tx>
          <c:spPr>
            <a:ln w="19050" cap="rnd">
              <a:solidFill>
                <a:schemeClr val="accent2"/>
              </a:solidFill>
              <a:round/>
            </a:ln>
            <a:effectLst/>
          </c:spPr>
          <c:marker>
            <c:symbol val="none"/>
          </c:marker>
          <c:cat>
            <c:numRef>
              <c:f>'Real GDP growth'!$I$2:$I$19</c:f>
              <c:numCache>
                <c:formatCode>General</c:formatCode>
                <c:ptCount val="18"/>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numCache>
            </c:numRef>
          </c:cat>
          <c:val>
            <c:numRef>
              <c:f>'Real GDP growth'!$L$2:$L$19</c:f>
              <c:numCache>
                <c:formatCode>General</c:formatCode>
                <c:ptCount val="18"/>
                <c:pt idx="0">
                  <c:v>1.3259465374441801E-12</c:v>
                </c:pt>
                <c:pt idx="1">
                  <c:v>1.1949549100594101E-10</c:v>
                </c:pt>
                <c:pt idx="2">
                  <c:v>7.1077651276673099E-9</c:v>
                </c:pt>
                <c:pt idx="3">
                  <c:v>2.79042699209965E-7</c:v>
                </c:pt>
                <c:pt idx="4">
                  <c:v>7.2304329950810202E-6</c:v>
                </c:pt>
                <c:pt idx="5">
                  <c:v>1.23655658091559E-4</c:v>
                </c:pt>
                <c:pt idx="6">
                  <c:v>1.3957888541861799E-3</c:v>
                </c:pt>
                <c:pt idx="7">
                  <c:v>1.0398758795267599E-2</c:v>
                </c:pt>
                <c:pt idx="8">
                  <c:v>5.1132771017911298E-2</c:v>
                </c:pt>
                <c:pt idx="9">
                  <c:v>0.16594844943529299</c:v>
                </c:pt>
                <c:pt idx="10">
                  <c:v>0.35547013120482102</c:v>
                </c:pt>
                <c:pt idx="11">
                  <c:v>0.50256133856984497</c:v>
                </c:pt>
                <c:pt idx="12">
                  <c:v>0.468954905089145</c:v>
                </c:pt>
                <c:pt idx="13">
                  <c:v>0.28882124479245402</c:v>
                </c:pt>
                <c:pt idx="14">
                  <c:v>0.117404091913775</c:v>
                </c:pt>
                <c:pt idx="15">
                  <c:v>3.1498754221642299E-2</c:v>
                </c:pt>
                <c:pt idx="16">
                  <c:v>5.5777567111026903E-3</c:v>
                </c:pt>
                <c:pt idx="17">
                  <c:v>6.5190123345475204E-4</c:v>
                </c:pt>
              </c:numCache>
            </c:numRef>
          </c:val>
          <c:smooth val="1"/>
          <c:extLst>
            <c:ext xmlns:c16="http://schemas.microsoft.com/office/drawing/2014/chart" uri="{C3380CC4-5D6E-409C-BE32-E72D297353CC}">
              <c16:uniqueId val="{00000001-8CD7-4FE9-A926-CF03C7D1F4A3}"/>
            </c:ext>
          </c:extLst>
        </c:ser>
        <c:dLbls>
          <c:showLegendKey val="0"/>
          <c:showVal val="0"/>
          <c:showCatName val="0"/>
          <c:showSerName val="0"/>
          <c:showPercent val="0"/>
          <c:showBubbleSize val="0"/>
        </c:dLbls>
        <c:marker val="1"/>
        <c:smooth val="0"/>
        <c:axId val="840417520"/>
        <c:axId val="840413256"/>
      </c:lineChart>
      <c:catAx>
        <c:axId val="840420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Real</a:t>
                </a:r>
                <a:r>
                  <a:rPr lang="en-US" baseline="0"/>
                  <a:t> GDP growth (percent)</a:t>
                </a:r>
                <a:endParaRPr lang="en-US"/>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840417848"/>
        <c:crosses val="autoZero"/>
        <c:auto val="1"/>
        <c:lblAlgn val="ctr"/>
        <c:lblOffset val="100"/>
        <c:noMultiLvlLbl val="0"/>
      </c:catAx>
      <c:valAx>
        <c:axId val="840417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840420800"/>
        <c:crosses val="autoZero"/>
        <c:crossBetween val="between"/>
      </c:valAx>
      <c:catAx>
        <c:axId val="840417520"/>
        <c:scaling>
          <c:orientation val="minMax"/>
        </c:scaling>
        <c:delete val="1"/>
        <c:axPos val="b"/>
        <c:numFmt formatCode="General" sourceLinked="1"/>
        <c:majorTickMark val="out"/>
        <c:minorTickMark val="none"/>
        <c:tickLblPos val="nextTo"/>
        <c:crossAx val="840413256"/>
        <c:crosses val="autoZero"/>
        <c:auto val="1"/>
        <c:lblAlgn val="ctr"/>
        <c:lblOffset val="100"/>
        <c:noMultiLvlLbl val="0"/>
      </c:catAx>
      <c:valAx>
        <c:axId val="840413256"/>
        <c:scaling>
          <c:orientation val="minMax"/>
        </c:scaling>
        <c:delete val="0"/>
        <c:axPos val="r"/>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Probability</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840417520"/>
        <c:crosses val="max"/>
        <c:crossBetween val="between"/>
      </c:valAx>
      <c:spPr>
        <a:noFill/>
        <a:ln>
          <a:noFill/>
        </a:ln>
        <a:effectLst/>
      </c:spPr>
    </c:plotArea>
    <c:legend>
      <c:legendPos val="r"/>
      <c:layout>
        <c:manualLayout>
          <c:xMode val="edge"/>
          <c:yMode val="edge"/>
          <c:x val="0.77793000874890605"/>
          <c:y val="0.745948527267425"/>
          <c:w val="0.18040332458442701"/>
          <c:h val="0.156251093613298"/>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'Years to Next Presidential Elec'!$J$1</c:f>
              <c:strCache>
                <c:ptCount val="1"/>
                <c:pt idx="0">
                  <c:v>Real Data</c:v>
                </c:pt>
              </c:strCache>
            </c:strRef>
          </c:tx>
          <c:spPr>
            <a:solidFill>
              <a:schemeClr val="tx2"/>
            </a:solidFill>
            <a:ln>
              <a:solidFill>
                <a:schemeClr val="tx2">
                  <a:alpha val="0"/>
                </a:schemeClr>
              </a:solidFill>
            </a:ln>
            <a:effectLst/>
          </c:spPr>
          <c:invertIfNegative val="0"/>
          <c:errBars>
            <c:errBarType val="both"/>
            <c:errValType val="stdErr"/>
            <c:noEndCap val="0"/>
            <c:spPr>
              <a:noFill/>
              <a:ln w="9525" cap="flat" cmpd="sng" algn="ctr">
                <a:solidFill>
                  <a:schemeClr val="tx2">
                    <a:alpha val="0"/>
                  </a:schemeClr>
                </a:solidFill>
                <a:round/>
              </a:ln>
              <a:effectLst/>
            </c:spPr>
          </c:errBars>
          <c:cat>
            <c:numRef>
              <c:f>'Years to Next Presidential Elec'!$I$2:$I$16</c:f>
              <c:numCache>
                <c:formatCode>General</c:formatCode>
                <c:ptCount val="15"/>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numCache>
            </c:numRef>
          </c:cat>
          <c:val>
            <c:numRef>
              <c:f>'Years to Next Presidential Elec'!$J$2:$J$16</c:f>
              <c:numCache>
                <c:formatCode>General</c:formatCode>
                <c:ptCount val="15"/>
                <c:pt idx="0">
                  <c:v>0</c:v>
                </c:pt>
                <c:pt idx="1">
                  <c:v>0</c:v>
                </c:pt>
                <c:pt idx="2">
                  <c:v>0</c:v>
                </c:pt>
                <c:pt idx="3">
                  <c:v>0</c:v>
                </c:pt>
                <c:pt idx="4">
                  <c:v>0</c:v>
                </c:pt>
                <c:pt idx="5">
                  <c:v>0</c:v>
                </c:pt>
                <c:pt idx="6">
                  <c:v>0</c:v>
                </c:pt>
                <c:pt idx="7">
                  <c:v>5</c:v>
                </c:pt>
                <c:pt idx="8">
                  <c:v>54</c:v>
                </c:pt>
                <c:pt idx="9">
                  <c:v>288</c:v>
                </c:pt>
                <c:pt idx="10">
                  <c:v>474</c:v>
                </c:pt>
                <c:pt idx="11">
                  <c:v>343</c:v>
                </c:pt>
                <c:pt idx="12">
                  <c:v>93</c:v>
                </c:pt>
                <c:pt idx="13">
                  <c:v>9</c:v>
                </c:pt>
                <c:pt idx="14">
                  <c:v>0</c:v>
                </c:pt>
              </c:numCache>
            </c:numRef>
          </c:val>
          <c:extLst>
            <c:ext xmlns:c16="http://schemas.microsoft.com/office/drawing/2014/chart" uri="{C3380CC4-5D6E-409C-BE32-E72D297353CC}">
              <c16:uniqueId val="{00000000-BC8E-4469-B812-9C38D1F6932C}"/>
            </c:ext>
          </c:extLst>
        </c:ser>
        <c:dLbls>
          <c:showLegendKey val="0"/>
          <c:showVal val="0"/>
          <c:showCatName val="0"/>
          <c:showSerName val="0"/>
          <c:showPercent val="0"/>
          <c:showBubbleSize val="0"/>
        </c:dLbls>
        <c:gapWidth val="0"/>
        <c:axId val="838966960"/>
        <c:axId val="838964336"/>
      </c:barChart>
      <c:lineChart>
        <c:grouping val="standard"/>
        <c:varyColors val="0"/>
        <c:ser>
          <c:idx val="1"/>
          <c:order val="1"/>
          <c:tx>
            <c:strRef>
              <c:f>'Years to Next Presidential Elec'!$L$1</c:f>
              <c:strCache>
                <c:ptCount val="1"/>
                <c:pt idx="0">
                  <c:v>Normal</c:v>
                </c:pt>
              </c:strCache>
            </c:strRef>
          </c:tx>
          <c:spPr>
            <a:ln w="19050" cap="rnd">
              <a:solidFill>
                <a:schemeClr val="accent2"/>
              </a:solidFill>
              <a:round/>
            </a:ln>
            <a:effectLst/>
          </c:spPr>
          <c:marker>
            <c:symbol val="none"/>
          </c:marker>
          <c:cat>
            <c:numRef>
              <c:f>'Years to Next Presidential Elec'!$I$2:$I$16</c:f>
              <c:numCache>
                <c:formatCode>General</c:formatCode>
                <c:ptCount val="15"/>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numCache>
            </c:numRef>
          </c:cat>
          <c:val>
            <c:numRef>
              <c:f>'Years to Next Presidential Elec'!$L$2:$L$16</c:f>
              <c:numCache>
                <c:formatCode>General</c:formatCode>
                <c:ptCount val="15"/>
                <c:pt idx="0">
                  <c:v>4.4988342166350101E-24</c:v>
                </c:pt>
                <c:pt idx="1">
                  <c:v>9.6125156670844398E-20</c:v>
                </c:pt>
                <c:pt idx="2">
                  <c:v>7.3611309618463003E-16</c:v>
                </c:pt>
                <c:pt idx="3">
                  <c:v>2.0203305948632E-12</c:v>
                </c:pt>
                <c:pt idx="4">
                  <c:v>1.9873334822812398E-9</c:v>
                </c:pt>
                <c:pt idx="5">
                  <c:v>7.0063119668029503E-7</c:v>
                </c:pt>
                <c:pt idx="6">
                  <c:v>8.8527582590478899E-5</c:v>
                </c:pt>
                <c:pt idx="7">
                  <c:v>4.0090193451533303E-3</c:v>
                </c:pt>
                <c:pt idx="8">
                  <c:v>6.5068097873695496E-2</c:v>
                </c:pt>
                <c:pt idx="9">
                  <c:v>0.37850226543578003</c:v>
                </c:pt>
                <c:pt idx="10">
                  <c:v>0.78911312662478805</c:v>
                </c:pt>
                <c:pt idx="11">
                  <c:v>0.58963121229770898</c:v>
                </c:pt>
                <c:pt idx="12">
                  <c:v>0.157903615734549</c:v>
                </c:pt>
                <c:pt idx="13">
                  <c:v>1.5155633595063601E-2</c:v>
                </c:pt>
                <c:pt idx="14">
                  <c:v>5.2134658388006204E-4</c:v>
                </c:pt>
              </c:numCache>
            </c:numRef>
          </c:val>
          <c:smooth val="1"/>
          <c:extLst>
            <c:ext xmlns:c16="http://schemas.microsoft.com/office/drawing/2014/chart" uri="{C3380CC4-5D6E-409C-BE32-E72D297353CC}">
              <c16:uniqueId val="{00000001-BC8E-4469-B812-9C38D1F6932C}"/>
            </c:ext>
          </c:extLst>
        </c:ser>
        <c:dLbls>
          <c:showLegendKey val="0"/>
          <c:showVal val="0"/>
          <c:showCatName val="0"/>
          <c:showSerName val="0"/>
          <c:showPercent val="0"/>
          <c:showBubbleSize val="0"/>
        </c:dLbls>
        <c:marker val="1"/>
        <c:smooth val="0"/>
        <c:axId val="813688424"/>
        <c:axId val="813714992"/>
      </c:lineChart>
      <c:catAx>
        <c:axId val="838966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Years to Next Presidential Election </a:t>
                </a:r>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838964336"/>
        <c:crosses val="autoZero"/>
        <c:auto val="1"/>
        <c:lblAlgn val="ctr"/>
        <c:lblOffset val="100"/>
        <c:noMultiLvlLbl val="0"/>
      </c:catAx>
      <c:valAx>
        <c:axId val="838964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838966960"/>
        <c:crosses val="autoZero"/>
        <c:crossBetween val="between"/>
      </c:valAx>
      <c:catAx>
        <c:axId val="813688424"/>
        <c:scaling>
          <c:orientation val="minMax"/>
        </c:scaling>
        <c:delete val="1"/>
        <c:axPos val="b"/>
        <c:numFmt formatCode="General" sourceLinked="1"/>
        <c:majorTickMark val="out"/>
        <c:minorTickMark val="none"/>
        <c:tickLblPos val="nextTo"/>
        <c:crossAx val="813714992"/>
        <c:crosses val="autoZero"/>
        <c:auto val="1"/>
        <c:lblAlgn val="ctr"/>
        <c:lblOffset val="100"/>
        <c:noMultiLvlLbl val="0"/>
      </c:catAx>
      <c:valAx>
        <c:axId val="813714992"/>
        <c:scaling>
          <c:orientation val="minMax"/>
        </c:scaling>
        <c:delete val="0"/>
        <c:axPos val="r"/>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Probability</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813688424"/>
        <c:crosses val="max"/>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'US T-bill Rate'!$J$1</c:f>
              <c:strCache>
                <c:ptCount val="1"/>
                <c:pt idx="0">
                  <c:v>Real Data</c:v>
                </c:pt>
              </c:strCache>
            </c:strRef>
          </c:tx>
          <c:spPr>
            <a:solidFill>
              <a:schemeClr val="tx2"/>
            </a:solidFill>
            <a:ln>
              <a:noFill/>
            </a:ln>
            <a:effectLst/>
          </c:spPr>
          <c:invertIfNegative val="0"/>
          <c:errBars>
            <c:errBarType val="both"/>
            <c:errValType val="stdErr"/>
            <c:noEndCap val="0"/>
            <c:spPr>
              <a:noFill/>
              <a:ln w="9525" cap="flat" cmpd="sng" algn="ctr">
                <a:solidFill>
                  <a:schemeClr val="tx2">
                    <a:alpha val="0"/>
                  </a:schemeClr>
                </a:solidFill>
                <a:round/>
              </a:ln>
              <a:effectLst/>
            </c:spPr>
          </c:errBars>
          <c:cat>
            <c:numRef>
              <c:f>'US T-bill Rate'!$I$2:$I$13</c:f>
              <c:numCache>
                <c:formatCode>General</c:formatCode>
                <c:ptCount val="12"/>
                <c:pt idx="0">
                  <c:v>0</c:v>
                </c:pt>
                <c:pt idx="1">
                  <c:v>5</c:v>
                </c:pt>
                <c:pt idx="2">
                  <c:v>5.5</c:v>
                </c:pt>
                <c:pt idx="3">
                  <c:v>6</c:v>
                </c:pt>
                <c:pt idx="4">
                  <c:v>6.5</c:v>
                </c:pt>
                <c:pt idx="5">
                  <c:v>7</c:v>
                </c:pt>
                <c:pt idx="6">
                  <c:v>7.5</c:v>
                </c:pt>
                <c:pt idx="7">
                  <c:v>8</c:v>
                </c:pt>
                <c:pt idx="8">
                  <c:v>8.5</c:v>
                </c:pt>
                <c:pt idx="9">
                  <c:v>9</c:v>
                </c:pt>
                <c:pt idx="10">
                  <c:v>9.5</c:v>
                </c:pt>
                <c:pt idx="11">
                  <c:v>10</c:v>
                </c:pt>
              </c:numCache>
            </c:numRef>
          </c:cat>
          <c:val>
            <c:numRef>
              <c:f>'US T-bill Rate'!$J$2:$J$13</c:f>
              <c:numCache>
                <c:formatCode>General</c:formatCode>
                <c:ptCount val="12"/>
                <c:pt idx="0">
                  <c:v>0</c:v>
                </c:pt>
                <c:pt idx="1">
                  <c:v>0</c:v>
                </c:pt>
                <c:pt idx="2">
                  <c:v>7</c:v>
                </c:pt>
                <c:pt idx="3">
                  <c:v>53</c:v>
                </c:pt>
                <c:pt idx="4">
                  <c:v>263</c:v>
                </c:pt>
                <c:pt idx="5">
                  <c:v>464</c:v>
                </c:pt>
                <c:pt idx="6">
                  <c:v>361</c:v>
                </c:pt>
                <c:pt idx="7">
                  <c:v>105</c:v>
                </c:pt>
                <c:pt idx="8">
                  <c:v>12</c:v>
                </c:pt>
                <c:pt idx="9">
                  <c:v>1</c:v>
                </c:pt>
                <c:pt idx="10">
                  <c:v>0</c:v>
                </c:pt>
                <c:pt idx="11">
                  <c:v>0</c:v>
                </c:pt>
              </c:numCache>
            </c:numRef>
          </c:val>
          <c:extLst>
            <c:ext xmlns:c16="http://schemas.microsoft.com/office/drawing/2014/chart" uri="{C3380CC4-5D6E-409C-BE32-E72D297353CC}">
              <c16:uniqueId val="{00000000-6098-45E1-A64D-084C4967247E}"/>
            </c:ext>
          </c:extLst>
        </c:ser>
        <c:dLbls>
          <c:showLegendKey val="0"/>
          <c:showVal val="0"/>
          <c:showCatName val="0"/>
          <c:showSerName val="0"/>
          <c:showPercent val="0"/>
          <c:showBubbleSize val="0"/>
        </c:dLbls>
        <c:gapWidth val="0"/>
        <c:axId val="745584512"/>
        <c:axId val="745585496"/>
      </c:barChart>
      <c:lineChart>
        <c:grouping val="standard"/>
        <c:varyColors val="0"/>
        <c:ser>
          <c:idx val="1"/>
          <c:order val="1"/>
          <c:tx>
            <c:strRef>
              <c:f>'US T-bill Rate'!$L$1</c:f>
              <c:strCache>
                <c:ptCount val="1"/>
                <c:pt idx="0">
                  <c:v>Normal</c:v>
                </c:pt>
              </c:strCache>
            </c:strRef>
          </c:tx>
          <c:spPr>
            <a:ln w="19050" cap="rnd">
              <a:solidFill>
                <a:schemeClr val="accent2"/>
              </a:solidFill>
              <a:round/>
            </a:ln>
            <a:effectLst/>
          </c:spPr>
          <c:marker>
            <c:symbol val="none"/>
          </c:marker>
          <c:cat>
            <c:numRef>
              <c:f>'US T-bill Rate'!$I$2:$I$13</c:f>
              <c:numCache>
                <c:formatCode>General</c:formatCode>
                <c:ptCount val="12"/>
                <c:pt idx="0">
                  <c:v>0</c:v>
                </c:pt>
                <c:pt idx="1">
                  <c:v>5</c:v>
                </c:pt>
                <c:pt idx="2">
                  <c:v>5.5</c:v>
                </c:pt>
                <c:pt idx="3">
                  <c:v>6</c:v>
                </c:pt>
                <c:pt idx="4">
                  <c:v>6.5</c:v>
                </c:pt>
                <c:pt idx="5">
                  <c:v>7</c:v>
                </c:pt>
                <c:pt idx="6">
                  <c:v>7.5</c:v>
                </c:pt>
                <c:pt idx="7">
                  <c:v>8</c:v>
                </c:pt>
                <c:pt idx="8">
                  <c:v>8.5</c:v>
                </c:pt>
                <c:pt idx="9">
                  <c:v>9</c:v>
                </c:pt>
                <c:pt idx="10">
                  <c:v>9.5</c:v>
                </c:pt>
                <c:pt idx="11">
                  <c:v>10</c:v>
                </c:pt>
              </c:numCache>
            </c:numRef>
          </c:cat>
          <c:val>
            <c:numRef>
              <c:f>'US T-bill Rate'!$L$2:$L$13</c:f>
              <c:numCache>
                <c:formatCode>General</c:formatCode>
                <c:ptCount val="12"/>
                <c:pt idx="0">
                  <c:v>1.28963935711119E-45</c:v>
                </c:pt>
                <c:pt idx="1">
                  <c:v>1.27225018220474E-4</c:v>
                </c:pt>
                <c:pt idx="2">
                  <c:v>4.7056932242216104E-3</c:v>
                </c:pt>
                <c:pt idx="3">
                  <c:v>6.6717215178116795E-2</c:v>
                </c:pt>
                <c:pt idx="4">
                  <c:v>0.36258966359691502</c:v>
                </c:pt>
                <c:pt idx="5">
                  <c:v>0.75536374895222902</c:v>
                </c:pt>
                <c:pt idx="6">
                  <c:v>0.60319824264952804</c:v>
                </c:pt>
                <c:pt idx="7">
                  <c:v>0.18464060163509699</c:v>
                </c:pt>
                <c:pt idx="8">
                  <c:v>2.1664943237924401E-2</c:v>
                </c:pt>
                <c:pt idx="9">
                  <c:v>9.74431050454941E-4</c:v>
                </c:pt>
                <c:pt idx="10">
                  <c:v>1.67999459007597E-5</c:v>
                </c:pt>
                <c:pt idx="11">
                  <c:v>1.11026810009064E-7</c:v>
                </c:pt>
              </c:numCache>
            </c:numRef>
          </c:val>
          <c:smooth val="1"/>
          <c:extLst>
            <c:ext xmlns:c16="http://schemas.microsoft.com/office/drawing/2014/chart" uri="{C3380CC4-5D6E-409C-BE32-E72D297353CC}">
              <c16:uniqueId val="{00000001-6098-45E1-A64D-084C4967247E}"/>
            </c:ext>
          </c:extLst>
        </c:ser>
        <c:dLbls>
          <c:showLegendKey val="0"/>
          <c:showVal val="0"/>
          <c:showCatName val="0"/>
          <c:showSerName val="0"/>
          <c:showPercent val="0"/>
          <c:showBubbleSize val="0"/>
        </c:dLbls>
        <c:marker val="1"/>
        <c:smooth val="0"/>
        <c:axId val="800785688"/>
        <c:axId val="805017288"/>
      </c:lineChart>
      <c:catAx>
        <c:axId val="745584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US T-bill Rate (percent)</a:t>
                </a:r>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745585496"/>
        <c:crosses val="autoZero"/>
        <c:auto val="1"/>
        <c:lblAlgn val="ctr"/>
        <c:lblOffset val="100"/>
        <c:noMultiLvlLbl val="0"/>
      </c:catAx>
      <c:valAx>
        <c:axId val="745585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745584512"/>
        <c:crosses val="autoZero"/>
        <c:crossBetween val="between"/>
      </c:valAx>
      <c:catAx>
        <c:axId val="800785688"/>
        <c:scaling>
          <c:orientation val="minMax"/>
        </c:scaling>
        <c:delete val="1"/>
        <c:axPos val="b"/>
        <c:numFmt formatCode="General" sourceLinked="1"/>
        <c:majorTickMark val="out"/>
        <c:minorTickMark val="none"/>
        <c:tickLblPos val="nextTo"/>
        <c:crossAx val="805017288"/>
        <c:crosses val="autoZero"/>
        <c:auto val="1"/>
        <c:lblAlgn val="ctr"/>
        <c:lblOffset val="100"/>
        <c:noMultiLvlLbl val="0"/>
      </c:catAx>
      <c:valAx>
        <c:axId val="805017288"/>
        <c:scaling>
          <c:orientation val="minMax"/>
        </c:scaling>
        <c:delete val="0"/>
        <c:axPos val="r"/>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Probability</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800785688"/>
        <c:crosses val="max"/>
        <c:crossBetween val="between"/>
      </c:valAx>
      <c:spPr>
        <a:noFill/>
        <a:ln>
          <a:noFill/>
        </a:ln>
        <a:effectLst/>
      </c:spPr>
    </c:plotArea>
    <c:legend>
      <c:legendPos val="r"/>
      <c:layout>
        <c:manualLayout>
          <c:xMode val="edge"/>
          <c:yMode val="edge"/>
          <c:x val="0.80316869482223796"/>
          <c:y val="0.79809037996610199"/>
          <c:w val="0.164003022349479"/>
          <c:h val="0.13215949492841"/>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Pages>
  <Words>2137</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wdk</dc:creator>
  <cp:lastModifiedBy>wdk</cp:lastModifiedBy>
  <cp:revision>38</cp:revision>
  <dcterms:created xsi:type="dcterms:W3CDTF">2022-04-18T16:55:00Z</dcterms:created>
  <dcterms:modified xsi:type="dcterms:W3CDTF">2022-04-24T04:35:00Z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D226681F46B645F0BA1653135D4ABBA5</vt:lpwstr>
  </property>
</Properties>
</file>