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74" w:rsidRDefault="00974F78">
      <w:pPr>
        <w:rPr>
          <w:sz w:val="24"/>
        </w:rPr>
      </w:pPr>
      <w:r w:rsidRPr="00AC40A6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38AA2" wp14:editId="784A3846">
                <wp:simplePos x="0" y="0"/>
                <wp:positionH relativeFrom="column">
                  <wp:posOffset>3724275</wp:posOffset>
                </wp:positionH>
                <wp:positionV relativeFrom="paragraph">
                  <wp:posOffset>180975</wp:posOffset>
                </wp:positionV>
                <wp:extent cx="2895600" cy="1404620"/>
                <wp:effectExtent l="0" t="0" r="19050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6" w:rsidRPr="001234EA" w:rsidRDefault="00AC40A6" w:rsidP="00AC40A6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234EA">
                              <w:rPr>
                                <w:b/>
                                <w:sz w:val="20"/>
                                <w:u w:val="single"/>
                              </w:rPr>
                              <w:t>1.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  <w:u w:val="single"/>
                              </w:rPr>
                              <w:t>用均值（数学期望）度量预期收益率</w:t>
                            </w:r>
                          </w:p>
                          <w:p w:rsidR="00AC40A6" w:rsidRDefault="00AC40A6" w:rsidP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C40A6">
                              <w:rPr>
                                <w:b/>
                                <w:sz w:val="20"/>
                              </w:rPr>
                              <w:t>（2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）投资组合或多个证券的预期收益率  </w:t>
                            </w:r>
                          </w:p>
                          <w:p w:rsidR="00AC40A6" w:rsidRPr="00AC40A6" w:rsidRDefault="00AC40A6" w:rsidP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C40A6">
                              <w:rPr>
                                <w:b/>
                                <w:sz w:val="20"/>
                              </w:rPr>
                              <w:object w:dxaOrig="3495" w:dyaOrig="157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79" type="#_x0000_t75" style="width:130.55pt;height:59pt" o:ole="">
                                  <v:imagedata r:id="rId6" o:title=""/>
                                </v:shape>
                                <o:OLEObject Type="Embed" ProgID="Unknown" ShapeID="_x0000_i1079" DrawAspect="Content" ObjectID="_1607091180" r:id="rId7"/>
                              </w:object>
                            </w:r>
                          </w:p>
                          <w:p w:rsidR="00AC40A6" w:rsidRDefault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其中，</w:t>
                            </w:r>
                            <w:proofErr w:type="spellStart"/>
                            <w:r w:rsidRPr="00AC40A6">
                              <w:rPr>
                                <w:b/>
                                <w:sz w:val="20"/>
                              </w:rPr>
                              <w:t>ERp</w:t>
                            </w:r>
                            <w:proofErr w:type="spellEnd"/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证券组合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p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的预期收益率；</w:t>
                            </w:r>
                            <w:proofErr w:type="spellStart"/>
                            <w:r w:rsidRPr="00AC40A6">
                              <w:rPr>
                                <w:b/>
                                <w:sz w:val="20"/>
                              </w:rPr>
                              <w:t>xj</w:t>
                            </w:r>
                            <w:proofErr w:type="spellEnd"/>
                            <w:r w:rsidRPr="00AC40A6">
                              <w:rPr>
                                <w:b/>
                                <w:sz w:val="20"/>
                              </w:rPr>
                              <w:t xml:space="preserve"> 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j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只证券在组合中的占比；</w:t>
                            </w:r>
                            <w:proofErr w:type="spellStart"/>
                            <w:r w:rsidRPr="00AC40A6">
                              <w:rPr>
                                <w:b/>
                                <w:sz w:val="20"/>
                              </w:rPr>
                              <w:t>ERj</w:t>
                            </w:r>
                            <w:proofErr w:type="spellEnd"/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j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只证券的预期收益率。</w:t>
                            </w:r>
                          </w:p>
                          <w:p w:rsidR="00AC40A6" w:rsidRPr="001234EA" w:rsidRDefault="00AC40A6" w:rsidP="00AC40A6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234EA">
                              <w:rPr>
                                <w:b/>
                                <w:sz w:val="20"/>
                                <w:u w:val="single"/>
                              </w:rPr>
                              <w:t>2.</w:t>
                            </w:r>
                            <w:r w:rsidR="001234EA" w:rsidRPr="001234EA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  <w:u w:val="single"/>
                              </w:rPr>
                              <w:t>用方差度量风险（或波动率）</w:t>
                            </w:r>
                          </w:p>
                          <w:p w:rsidR="00AC40A6" w:rsidRDefault="00AC40A6" w:rsidP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(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)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单个证券的风险度量</w:t>
                            </w:r>
                          </w:p>
                          <w:p w:rsidR="00AC40A6" w:rsidRPr="00AC40A6" w:rsidRDefault="00AC40A6" w:rsidP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C40A6">
                              <w:rPr>
                                <w:b/>
                                <w:sz w:val="20"/>
                              </w:rPr>
                              <w:object w:dxaOrig="4365" w:dyaOrig="1740">
                                <v:shape id="_x0000_i1084" type="#_x0000_t75" style="width:147.75pt;height:58.8pt" o:ole="">
                                  <v:imagedata r:id="rId8" o:title=""/>
                                </v:shape>
                                <o:OLEObject Type="Embed" ProgID="Unknown" ShapeID="_x0000_i1084" DrawAspect="Content" ObjectID="_1607091181" r:id="rId9"/>
                              </w:object>
                            </w:r>
                          </w:p>
                          <w:p w:rsidR="001234EA" w:rsidRDefault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其中，</w:t>
                            </w:r>
                            <w:r w:rsidRPr="00AC40A6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ER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预期收益率;</w:t>
                            </w:r>
                            <w:r w:rsidRPr="00AC40A6">
                              <w:t xml:space="preserve"> </w:t>
                            </w:r>
                            <w:r w:rsidR="001234EA">
                              <w:t>pi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proofErr w:type="spellStart"/>
                            <w:r w:rsidRPr="00AC40A6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i</w:t>
                            </w:r>
                            <w:proofErr w:type="spellEnd"/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种收益率的可能性或概率；</w:t>
                            </w:r>
                            <w:proofErr w:type="spellStart"/>
                            <w:r w:rsidRPr="00AC40A6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Ri</w:t>
                            </w:r>
                            <w:proofErr w:type="spellEnd"/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proofErr w:type="spellStart"/>
                            <w:r w:rsidRPr="00AC40A6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种可能的收益率;</w:t>
                            </w:r>
                            <w:r w:rsidR="001234EA" w:rsidRPr="001234EA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234EA" w:rsidRPr="00AC40A6">
                              <w:rPr>
                                <w:b/>
                                <w:sz w:val="20"/>
                              </w:rPr>
                              <w:object w:dxaOrig="705" w:dyaOrig="705">
                                <v:shape id="_x0000_i1097" type="#_x0000_t75" style="width:18pt;height:18pt" o:ole="">
                                  <v:imagedata r:id="rId10" o:title=""/>
                                </v:shape>
                                <o:OLEObject Type="Embed" ProgID="Unknown" ShapeID="_x0000_i1097" DrawAspect="Content" ObjectID="_1607091182" r:id="rId11"/>
                              </w:objec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方差或风险</w:t>
                            </w:r>
                          </w:p>
                          <w:p w:rsidR="001234EA" w:rsidRPr="001234EA" w:rsidRDefault="001234EA" w:rsidP="001234E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234EA">
                              <w:rPr>
                                <w:b/>
                                <w:sz w:val="20"/>
                              </w:rPr>
                              <w:t>2.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用方差度量风险（或波动率）</w:t>
                            </w:r>
                          </w:p>
                          <w:p w:rsidR="001234EA" w:rsidRDefault="001234EA" w:rsidP="001234E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234EA">
                              <w:rPr>
                                <w:b/>
                                <w:sz w:val="20"/>
                              </w:rPr>
                              <w:t>（2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）投资组合或多个证券的风险 </w:t>
                            </w:r>
                          </w:p>
                          <w:p w:rsidR="001234EA" w:rsidRPr="001234EA" w:rsidRDefault="001234EA" w:rsidP="001234E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234EA">
                              <w:rPr>
                                <w:b/>
                                <w:sz w:val="20"/>
                              </w:rPr>
                              <w:object w:dxaOrig="5775" w:dyaOrig="1815">
                                <v:shape id="_x0000_i1098" type="#_x0000_t75" style="width:184.5pt;height:54.7pt">
                                  <v:imagedata r:id="rId12" o:title=""/>
                                </v:shape>
                                <o:OLEObject Type="Embed" ProgID="Unknown" ShapeID="_x0000_i1098" DrawAspect="Content" ObjectID="_1607091183" r:id="rId13"/>
                              </w:objec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AC40A6" w:rsidRDefault="001234EA" w:rsidP="001234E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object w:dxaOrig="795" w:dyaOrig="990">
                                <v:shape id="_x0000_i1116" type="#_x0000_t75" style="width:18.75pt;height:23.35pt">
                                  <v:imagedata r:id="rId14" o:title=""/>
                                </v:shape>
                                <o:OLEObject Type="Embed" ProgID="Unknown" ShapeID="_x0000_i1116" DrawAspect="Content" ObjectID="_1607091184" r:id="rId15"/>
                              </w:objec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 xml:space="preserve">  </w:t>
                            </w:r>
                            <w:r w:rsidRPr="001234EA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证券组合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p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的风险；</w:t>
                            </w:r>
                            <w:proofErr w:type="spellStart"/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xh</w:t>
                            </w:r>
                            <w:proofErr w:type="spellEnd"/>
                            <w:r w:rsidRPr="001234EA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、</w:t>
                            </w:r>
                            <w:proofErr w:type="spellStart"/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xj</w:t>
                            </w:r>
                            <w:proofErr w:type="spellEnd"/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 w:rsidRPr="001234EA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h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、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j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只证券在组合中的占比；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object w:dxaOrig="1185" w:dyaOrig="1185">
                                <v:shape id="_x0000_i1107" type="#_x0000_t75" style="width:21.75pt;height:21.75pt">
                                  <v:imagedata r:id="rId16" o:title=""/>
                                </v:shape>
                                <o:OLEObject Type="Embed" ProgID="Unknown" ShapeID="_x0000_i1107" DrawAspect="Content" ObjectID="_1607091185" r:id="rId17"/>
                              </w:objec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—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h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、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j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只证券之间的相关系数； </w:t>
                            </w:r>
                            <w:r w:rsidRPr="001234EA">
                              <w:rPr>
                                <w:b/>
                                <w:sz w:val="20"/>
                              </w:rPr>
                              <w:object w:dxaOrig="780" w:dyaOrig="945">
                                <v:shape id="_x0000_i1109" type="#_x0000_t75" style="width:18.75pt;height:22.7pt">
                                  <v:imagedata r:id="rId18" o:title=""/>
                                </v:shape>
                                <o:OLEObject Type="Embed" ProgID="Unknown" ShapeID="_x0000_i1109" DrawAspect="Content" ObjectID="_1607091186" r:id="rId19"/>
                              </w:objec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 、</w:t>
                            </w:r>
                            <w:r w:rsidRPr="001234EA">
                              <w:rPr>
                                <w:b/>
                                <w:sz w:val="20"/>
                              </w:rPr>
                              <w:object w:dxaOrig="645" w:dyaOrig="825">
                                <v:shape id="_x0000_i1111" type="#_x0000_t75" style="width:18.75pt;height:24pt">
                                  <v:imagedata r:id="rId20" o:title=""/>
                                </v:shape>
                                <o:OLEObject Type="Embed" ProgID="Unknown" ShapeID="_x0000_i1111" DrawAspect="Content" ObjectID="_1607091187" r:id="rId21"/>
                              </w:objec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 </w:t>
                            </w:r>
                            <w:r w:rsidRPr="001234EA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h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、</w:t>
                            </w:r>
                            <w:r w:rsidRPr="001234EA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j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</w:rPr>
                              <w:t>只证券的标准差或根方差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.</w:t>
                            </w:r>
                          </w:p>
                          <w:p w:rsidR="001234EA" w:rsidRDefault="001234EA" w:rsidP="001234E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1234EA" w:rsidRPr="001234EA" w:rsidRDefault="001234EA" w:rsidP="001234EA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1234EA">
                              <w:rPr>
                                <w:b/>
                                <w:sz w:val="24"/>
                                <w:u w:val="single"/>
                              </w:rPr>
                              <w:t>3.</w:t>
                            </w:r>
                            <w:r w:rsidRPr="001234EA">
                              <w:rPr>
                                <w:rFonts w:hint="eastAsia"/>
                                <w:b/>
                                <w:bCs/>
                                <w:sz w:val="24"/>
                                <w:u w:val="single"/>
                              </w:rPr>
                              <w:t>资本资产定价模型（</w:t>
                            </w:r>
                            <w:r w:rsidRPr="001234EA"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>CAPM</w:t>
                            </w:r>
                            <w:r w:rsidRPr="001234EA">
                              <w:rPr>
                                <w:rFonts w:hint="eastAsia"/>
                                <w:b/>
                                <w:bCs/>
                                <w:sz w:val="24"/>
                                <w:u w:val="single"/>
                              </w:rPr>
                              <w:t>）</w:t>
                            </w:r>
                          </w:p>
                          <w:p w:rsidR="001234EA" w:rsidRPr="001234EA" w:rsidRDefault="001234EA" w:rsidP="001234E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234EA">
                              <w:rPr>
                                <w:b/>
                                <w:sz w:val="20"/>
                              </w:rPr>
                              <w:object w:dxaOrig="10545" w:dyaOrig="1980">
                                <v:shape id="_x0000_i1123" type="#_x0000_t75" style="width:188.25pt;height:42.75pt">
                                  <v:imagedata r:id="rId22" o:title=""/>
                                </v:shape>
                                <o:OLEObject Type="Embed" ProgID="Unknown" ShapeID="_x0000_i1123" DrawAspect="Content" ObjectID="_1607091188" r:id="rId23"/>
                              </w:object>
                            </w:r>
                          </w:p>
                          <w:p w:rsidR="001234EA" w:rsidRPr="001234EA" w:rsidRDefault="001F396F" w:rsidP="001234EA">
                            <w:pPr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1BB4BD" wp14:editId="39F1A016">
                                  <wp:extent cx="2686050" cy="869057"/>
                                  <wp:effectExtent l="0" t="0" r="0" b="762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8016" cy="872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E38A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25pt;margin-top:14.25pt;width:22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">
                <v:textbox style="mso-fit-shape-to-text:t">
                  <w:txbxContent>
                    <w:p w:rsidR="00AC40A6" w:rsidRPr="001234EA" w:rsidRDefault="00AC40A6" w:rsidP="00AC40A6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1234EA">
                        <w:rPr>
                          <w:b/>
                          <w:sz w:val="20"/>
                          <w:u w:val="single"/>
                        </w:rPr>
                        <w:t>1.</w:t>
                      </w:r>
                      <w:r w:rsidRPr="001234EA">
                        <w:rPr>
                          <w:rFonts w:hint="eastAsia"/>
                          <w:b/>
                          <w:sz w:val="20"/>
                          <w:u w:val="single"/>
                        </w:rPr>
                        <w:t>用均值（数学期望）度量预期收益率</w:t>
                      </w:r>
                    </w:p>
                    <w:p w:rsidR="00AC40A6" w:rsidRDefault="00AC40A6" w:rsidP="00AC40A6">
                      <w:pPr>
                        <w:rPr>
                          <w:b/>
                          <w:sz w:val="20"/>
                        </w:rPr>
                      </w:pPr>
                      <w:r w:rsidRPr="00AC40A6">
                        <w:rPr>
                          <w:b/>
                          <w:sz w:val="20"/>
                        </w:rPr>
                        <w:t>（2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 xml:space="preserve">）投资组合或多个证券的预期收益率  </w:t>
                      </w:r>
                    </w:p>
                    <w:p w:rsidR="00AC40A6" w:rsidRPr="00AC40A6" w:rsidRDefault="00AC40A6" w:rsidP="00AC40A6">
                      <w:pPr>
                        <w:rPr>
                          <w:b/>
                          <w:sz w:val="20"/>
                        </w:rPr>
                      </w:pPr>
                      <w:r w:rsidRPr="00AC40A6">
                        <w:rPr>
                          <w:b/>
                          <w:sz w:val="20"/>
                        </w:rPr>
                        <w:object w:dxaOrig="3495" w:dyaOrig="1575">
                          <v:shape id="_x0000_i1079" type="#_x0000_t75" style="width:130.55pt;height:59pt" o:ole="">
                            <v:imagedata r:id="rId6" o:title=""/>
                          </v:shape>
                          <o:OLEObject Type="Embed" ProgID="Unknown" ShapeID="_x0000_i1079" DrawAspect="Content" ObjectID="_1607091180" r:id="rId25"/>
                        </w:object>
                      </w:r>
                    </w:p>
                    <w:p w:rsidR="00AC40A6" w:rsidRDefault="00AC40A6">
                      <w:pPr>
                        <w:rPr>
                          <w:b/>
                          <w:sz w:val="20"/>
                        </w:rPr>
                      </w:pP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其中，</w:t>
                      </w:r>
                      <w:proofErr w:type="spellStart"/>
                      <w:r w:rsidRPr="00AC40A6">
                        <w:rPr>
                          <w:b/>
                          <w:sz w:val="20"/>
                        </w:rPr>
                        <w:t>ERp</w:t>
                      </w:r>
                      <w:proofErr w:type="spellEnd"/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证券组合</w:t>
                      </w:r>
                      <w:r w:rsidRPr="00AC40A6">
                        <w:rPr>
                          <w:b/>
                          <w:sz w:val="20"/>
                        </w:rPr>
                        <w:t>p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的预期收益率；</w:t>
                      </w:r>
                      <w:proofErr w:type="spellStart"/>
                      <w:r w:rsidRPr="00AC40A6">
                        <w:rPr>
                          <w:b/>
                          <w:sz w:val="20"/>
                        </w:rPr>
                        <w:t>xj</w:t>
                      </w:r>
                      <w:proofErr w:type="spellEnd"/>
                      <w:r w:rsidRPr="00AC40A6">
                        <w:rPr>
                          <w:b/>
                          <w:sz w:val="20"/>
                        </w:rPr>
                        <w:t xml:space="preserve"> 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r w:rsidRPr="00AC40A6">
                        <w:rPr>
                          <w:b/>
                          <w:sz w:val="20"/>
                        </w:rPr>
                        <w:t>j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只证券在组合中的占比；</w:t>
                      </w:r>
                      <w:proofErr w:type="spellStart"/>
                      <w:r w:rsidRPr="00AC40A6">
                        <w:rPr>
                          <w:b/>
                          <w:sz w:val="20"/>
                        </w:rPr>
                        <w:t>ERj</w:t>
                      </w:r>
                      <w:proofErr w:type="spellEnd"/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r w:rsidRPr="00AC40A6">
                        <w:rPr>
                          <w:b/>
                          <w:sz w:val="20"/>
                        </w:rPr>
                        <w:t>j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只证券的预期收益率。</w:t>
                      </w:r>
                    </w:p>
                    <w:p w:rsidR="00AC40A6" w:rsidRPr="001234EA" w:rsidRDefault="00AC40A6" w:rsidP="00AC40A6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1234EA">
                        <w:rPr>
                          <w:b/>
                          <w:sz w:val="20"/>
                          <w:u w:val="single"/>
                        </w:rPr>
                        <w:t>2.</w:t>
                      </w:r>
                      <w:r w:rsidR="001234EA" w:rsidRPr="001234EA"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 w:rsidRPr="001234EA">
                        <w:rPr>
                          <w:rFonts w:hint="eastAsia"/>
                          <w:b/>
                          <w:sz w:val="20"/>
                          <w:u w:val="single"/>
                        </w:rPr>
                        <w:t>用方差度量风险（或波动率）</w:t>
                      </w:r>
                    </w:p>
                    <w:p w:rsidR="00AC40A6" w:rsidRDefault="00AC40A6" w:rsidP="00AC40A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(</w:t>
                      </w:r>
                      <w:r w:rsidRPr="00AC40A6">
                        <w:rPr>
                          <w:b/>
                          <w:sz w:val="2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)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单个证券的风险度量</w:t>
                      </w:r>
                    </w:p>
                    <w:p w:rsidR="00AC40A6" w:rsidRPr="00AC40A6" w:rsidRDefault="00AC40A6" w:rsidP="00AC40A6">
                      <w:pPr>
                        <w:rPr>
                          <w:b/>
                          <w:sz w:val="20"/>
                        </w:rPr>
                      </w:pPr>
                      <w:r w:rsidRPr="00AC40A6">
                        <w:rPr>
                          <w:b/>
                          <w:sz w:val="20"/>
                        </w:rPr>
                        <w:object w:dxaOrig="4365" w:dyaOrig="1740">
                          <v:shape id="_x0000_i1084" type="#_x0000_t75" style="width:147.75pt;height:58.8pt" o:ole="">
                            <v:imagedata r:id="rId8" o:title=""/>
                          </v:shape>
                          <o:OLEObject Type="Embed" ProgID="Unknown" ShapeID="_x0000_i1084" DrawAspect="Content" ObjectID="_1607091181" r:id="rId26"/>
                        </w:object>
                      </w:r>
                    </w:p>
                    <w:p w:rsidR="001234EA" w:rsidRDefault="00AC40A6">
                      <w:pPr>
                        <w:rPr>
                          <w:b/>
                          <w:sz w:val="20"/>
                        </w:rPr>
                      </w:pP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其中，</w:t>
                      </w:r>
                      <w:r w:rsidRPr="00AC40A6">
                        <w:rPr>
                          <w:b/>
                          <w:i/>
                          <w:iCs/>
                          <w:sz w:val="20"/>
                        </w:rPr>
                        <w:t>ER</w:t>
                      </w:r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预期收益率;</w:t>
                      </w:r>
                      <w:r w:rsidRPr="00AC40A6">
                        <w:t xml:space="preserve"> </w:t>
                      </w:r>
                      <w:r w:rsidR="001234EA">
                        <w:t>pi</w:t>
                      </w:r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proofErr w:type="spellStart"/>
                      <w:r w:rsidRPr="00AC40A6">
                        <w:rPr>
                          <w:b/>
                          <w:i/>
                          <w:iCs/>
                          <w:sz w:val="20"/>
                        </w:rPr>
                        <w:t>i</w:t>
                      </w:r>
                      <w:proofErr w:type="spellEnd"/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种收益率的可能性或概率；</w:t>
                      </w:r>
                      <w:proofErr w:type="spellStart"/>
                      <w:r w:rsidRPr="00AC40A6">
                        <w:rPr>
                          <w:b/>
                          <w:i/>
                          <w:iCs/>
                          <w:sz w:val="20"/>
                        </w:rPr>
                        <w:t>Ri</w:t>
                      </w:r>
                      <w:proofErr w:type="spellEnd"/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proofErr w:type="spellStart"/>
                      <w:r w:rsidRPr="00AC40A6">
                        <w:rPr>
                          <w:b/>
                          <w:i/>
                          <w:iCs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b/>
                          <w:sz w:val="20"/>
                        </w:rPr>
                        <w:t>种可能的收益率;</w:t>
                      </w:r>
                      <w:r w:rsidR="001234EA" w:rsidRPr="001234EA">
                        <w:rPr>
                          <w:b/>
                          <w:sz w:val="20"/>
                        </w:rPr>
                        <w:t xml:space="preserve"> </w:t>
                      </w:r>
                      <w:r w:rsidR="001234EA" w:rsidRPr="00AC40A6">
                        <w:rPr>
                          <w:b/>
                          <w:sz w:val="20"/>
                        </w:rPr>
                        <w:object w:dxaOrig="705" w:dyaOrig="705">
                          <v:shape id="_x0000_i1097" type="#_x0000_t75" style="width:18pt;height:18pt" o:ole="">
                            <v:imagedata r:id="rId10" o:title=""/>
                          </v:shape>
                          <o:OLEObject Type="Embed" ProgID="Unknown" ShapeID="_x0000_i1097" DrawAspect="Content" ObjectID="_1607091182" r:id="rId27"/>
                        </w:object>
                      </w:r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方差或风险</w:t>
                      </w:r>
                    </w:p>
                    <w:p w:rsidR="001234EA" w:rsidRPr="001234EA" w:rsidRDefault="001234EA" w:rsidP="001234EA">
                      <w:pPr>
                        <w:rPr>
                          <w:b/>
                          <w:sz w:val="20"/>
                        </w:rPr>
                      </w:pPr>
                      <w:r w:rsidRPr="001234EA">
                        <w:rPr>
                          <w:b/>
                          <w:sz w:val="20"/>
                        </w:rPr>
                        <w:t>2.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用方差度量风险（或波动率）</w:t>
                      </w:r>
                    </w:p>
                    <w:p w:rsidR="001234EA" w:rsidRDefault="001234EA" w:rsidP="001234EA">
                      <w:pPr>
                        <w:rPr>
                          <w:b/>
                          <w:sz w:val="20"/>
                        </w:rPr>
                      </w:pPr>
                      <w:r w:rsidRPr="001234EA">
                        <w:rPr>
                          <w:b/>
                          <w:sz w:val="20"/>
                        </w:rPr>
                        <w:t>（2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 xml:space="preserve">）投资组合或多个证券的风险 </w:t>
                      </w:r>
                    </w:p>
                    <w:p w:rsidR="001234EA" w:rsidRPr="001234EA" w:rsidRDefault="001234EA" w:rsidP="001234EA">
                      <w:pPr>
                        <w:rPr>
                          <w:b/>
                          <w:sz w:val="20"/>
                        </w:rPr>
                      </w:pPr>
                      <w:r w:rsidRPr="001234EA">
                        <w:rPr>
                          <w:b/>
                          <w:sz w:val="20"/>
                        </w:rPr>
                        <w:object w:dxaOrig="5775" w:dyaOrig="1815">
                          <v:shape id="_x0000_i1098" type="#_x0000_t75" style="width:184.5pt;height:54.7pt">
                            <v:imagedata r:id="rId12" o:title=""/>
                          </v:shape>
                          <o:OLEObject Type="Embed" ProgID="Unknown" ShapeID="_x0000_i1098" DrawAspect="Content" ObjectID="_1607091183" r:id="rId28"/>
                        </w:objec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 xml:space="preserve"> </w:t>
                      </w:r>
                    </w:p>
                    <w:p w:rsidR="00AC40A6" w:rsidRDefault="001234EA" w:rsidP="001234EA">
                      <w:pPr>
                        <w:rPr>
                          <w:b/>
                          <w:sz w:val="20"/>
                        </w:rPr>
                      </w:pP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 xml:space="preserve"> 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object w:dxaOrig="795" w:dyaOrig="990">
                          <v:shape id="_x0000_i1116" type="#_x0000_t75" style="width:18.75pt;height:23.35pt">
                            <v:imagedata r:id="rId14" o:title=""/>
                          </v:shape>
                          <o:OLEObject Type="Embed" ProgID="Unknown" ShapeID="_x0000_i1116" DrawAspect="Content" ObjectID="_1607091184" r:id="rId29"/>
                        </w:objec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 xml:space="preserve">  </w:t>
                      </w:r>
                      <w:r w:rsidRPr="001234EA">
                        <w:rPr>
                          <w:b/>
                          <w:sz w:val="20"/>
                        </w:rPr>
                        <w:t>—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证券组合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p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的风险；</w:t>
                      </w:r>
                      <w:proofErr w:type="spellStart"/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xh</w:t>
                      </w:r>
                      <w:proofErr w:type="spellEnd"/>
                      <w:r w:rsidRPr="001234EA">
                        <w:rPr>
                          <w:b/>
                          <w:sz w:val="20"/>
                        </w:rPr>
                        <w:t xml:space="preserve"> 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、</w:t>
                      </w:r>
                      <w:proofErr w:type="spellStart"/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xj</w:t>
                      </w:r>
                      <w:proofErr w:type="spellEnd"/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 xml:space="preserve"> </w:t>
                      </w:r>
                      <w:r w:rsidRPr="001234EA">
                        <w:rPr>
                          <w:b/>
                          <w:sz w:val="20"/>
                        </w:rPr>
                        <w:t>—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h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、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j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只证券在组合中的占比；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 xml:space="preserve"> 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object w:dxaOrig="1185" w:dyaOrig="1185">
                          <v:shape id="_x0000_i1107" type="#_x0000_t75" style="width:21.75pt;height:21.75pt">
                            <v:imagedata r:id="rId16" o:title=""/>
                          </v:shape>
                          <o:OLEObject Type="Embed" ProgID="Unknown" ShapeID="_x0000_i1107" DrawAspect="Content" ObjectID="_1607091185" r:id="rId30"/>
                        </w:objec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—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h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、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j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 xml:space="preserve">只证券之间的相关系数； </w:t>
                      </w:r>
                      <w:r w:rsidRPr="001234EA">
                        <w:rPr>
                          <w:b/>
                          <w:sz w:val="20"/>
                        </w:rPr>
                        <w:object w:dxaOrig="780" w:dyaOrig="945">
                          <v:shape id="_x0000_i1109" type="#_x0000_t75" style="width:18.75pt;height:22.7pt">
                            <v:imagedata r:id="rId18" o:title=""/>
                          </v:shape>
                          <o:OLEObject Type="Embed" ProgID="Unknown" ShapeID="_x0000_i1109" DrawAspect="Content" ObjectID="_1607091186" r:id="rId31"/>
                        </w:objec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 xml:space="preserve">  、</w:t>
                      </w:r>
                      <w:r w:rsidRPr="001234EA">
                        <w:rPr>
                          <w:b/>
                          <w:sz w:val="20"/>
                        </w:rPr>
                        <w:object w:dxaOrig="645" w:dyaOrig="825">
                          <v:shape id="_x0000_i1111" type="#_x0000_t75" style="width:18.75pt;height:24pt">
                            <v:imagedata r:id="rId20" o:title=""/>
                          </v:shape>
                          <o:OLEObject Type="Embed" ProgID="Unknown" ShapeID="_x0000_i1111" DrawAspect="Content" ObjectID="_1607091187" r:id="rId32"/>
                        </w:objec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 xml:space="preserve">  </w:t>
                      </w:r>
                      <w:r w:rsidRPr="001234EA">
                        <w:rPr>
                          <w:b/>
                          <w:sz w:val="20"/>
                        </w:rPr>
                        <w:t>—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h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、</w:t>
                      </w:r>
                      <w:r w:rsidRPr="001234EA">
                        <w:rPr>
                          <w:b/>
                          <w:i/>
                          <w:iCs/>
                          <w:sz w:val="20"/>
                        </w:rPr>
                        <w:t>j</w:t>
                      </w:r>
                      <w:r w:rsidRPr="001234EA">
                        <w:rPr>
                          <w:rFonts w:hint="eastAsia"/>
                          <w:b/>
                          <w:sz w:val="20"/>
                        </w:rPr>
                        <w:t>只证券的标准差或根方差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.</w:t>
                      </w:r>
                    </w:p>
                    <w:p w:rsidR="001234EA" w:rsidRDefault="001234EA" w:rsidP="001234EA">
                      <w:pPr>
                        <w:rPr>
                          <w:b/>
                          <w:sz w:val="20"/>
                        </w:rPr>
                      </w:pPr>
                    </w:p>
                    <w:p w:rsidR="001234EA" w:rsidRPr="001234EA" w:rsidRDefault="001234EA" w:rsidP="001234EA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1234EA">
                        <w:rPr>
                          <w:b/>
                          <w:sz w:val="24"/>
                          <w:u w:val="single"/>
                        </w:rPr>
                        <w:t>3.</w:t>
                      </w:r>
                      <w:r w:rsidRPr="001234EA">
                        <w:rPr>
                          <w:rFonts w:hint="eastAsia"/>
                          <w:b/>
                          <w:bCs/>
                          <w:sz w:val="24"/>
                          <w:u w:val="single"/>
                        </w:rPr>
                        <w:t>资本资产定价模型（</w:t>
                      </w:r>
                      <w:r w:rsidRPr="001234EA">
                        <w:rPr>
                          <w:b/>
                          <w:bCs/>
                          <w:sz w:val="24"/>
                          <w:u w:val="single"/>
                        </w:rPr>
                        <w:t>CAPM</w:t>
                      </w:r>
                      <w:r w:rsidRPr="001234EA">
                        <w:rPr>
                          <w:rFonts w:hint="eastAsia"/>
                          <w:b/>
                          <w:bCs/>
                          <w:sz w:val="24"/>
                          <w:u w:val="single"/>
                        </w:rPr>
                        <w:t>）</w:t>
                      </w:r>
                    </w:p>
                    <w:p w:rsidR="001234EA" w:rsidRPr="001234EA" w:rsidRDefault="001234EA" w:rsidP="001234EA">
                      <w:pPr>
                        <w:rPr>
                          <w:b/>
                          <w:sz w:val="20"/>
                        </w:rPr>
                      </w:pPr>
                      <w:r w:rsidRPr="001234EA">
                        <w:rPr>
                          <w:b/>
                          <w:sz w:val="20"/>
                        </w:rPr>
                        <w:object w:dxaOrig="10545" w:dyaOrig="1980">
                          <v:shape id="_x0000_i1123" type="#_x0000_t75" style="width:188.25pt;height:42.75pt">
                            <v:imagedata r:id="rId22" o:title=""/>
                          </v:shape>
                          <o:OLEObject Type="Embed" ProgID="Unknown" ShapeID="_x0000_i1123" DrawAspect="Content" ObjectID="_1607091188" r:id="rId33"/>
                        </w:object>
                      </w:r>
                    </w:p>
                    <w:p w:rsidR="001234EA" w:rsidRPr="001234EA" w:rsidRDefault="001F396F" w:rsidP="001234EA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1BB4BD" wp14:editId="39F1A016">
                            <wp:extent cx="2686050" cy="869057"/>
                            <wp:effectExtent l="0" t="0" r="0" b="762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8016" cy="872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7F5">
        <w:rPr>
          <w:rFonts w:hint="eastAsia"/>
          <w:sz w:val="24"/>
        </w:rPr>
        <w:t>金融工程</w:t>
      </w:r>
      <w:r w:rsidR="006E37F5" w:rsidRPr="006E37F5">
        <w:rPr>
          <w:rFonts w:hint="eastAsia"/>
          <w:sz w:val="24"/>
        </w:rPr>
        <w:t>概论</w:t>
      </w:r>
    </w:p>
    <w:p w:rsidR="006E37F5" w:rsidRDefault="006E37F5" w:rsidP="006E37F5">
      <w:pPr>
        <w:rPr>
          <w:sz w:val="20"/>
        </w:rPr>
      </w:pPr>
      <w:r w:rsidRPr="006E37F5">
        <w:rPr>
          <w:rFonts w:hint="eastAsia"/>
          <w:sz w:val="20"/>
        </w:rPr>
        <w:t>金融工程的常用定义是：研究设计、开发和实施新的金融工具和金融技术。从风险的角度来说，金融工程是研究如何把金融风险打散，再重新组合。</w:t>
      </w:r>
    </w:p>
    <w:p w:rsidR="006E37F5" w:rsidRDefault="006E37F5" w:rsidP="006E37F5">
      <w:pPr>
        <w:rPr>
          <w:sz w:val="20"/>
        </w:rPr>
      </w:pPr>
      <w:r>
        <w:rPr>
          <w:rFonts w:hint="eastAsia"/>
          <w:sz w:val="20"/>
        </w:rPr>
        <w:t>上海:</w:t>
      </w:r>
      <w:r w:rsidRPr="006E37F5">
        <w:rPr>
          <w:rFonts w:hint="eastAsia"/>
        </w:rPr>
        <w:t xml:space="preserve"> </w:t>
      </w:r>
      <w:r w:rsidRPr="006E37F5">
        <w:rPr>
          <w:rFonts w:hint="eastAsia"/>
          <w:sz w:val="20"/>
        </w:rPr>
        <w:t>铜、铝、锌、天然橡胶、</w:t>
      </w:r>
      <w:r w:rsidRPr="006E37F5">
        <w:rPr>
          <w:sz w:val="20"/>
        </w:rPr>
        <w:t>燃料油、铅等6个品种。</w:t>
      </w:r>
    </w:p>
    <w:p w:rsidR="006E37F5" w:rsidRDefault="006E37F5" w:rsidP="006E37F5">
      <w:pPr>
        <w:rPr>
          <w:sz w:val="20"/>
        </w:rPr>
      </w:pPr>
      <w:r>
        <w:rPr>
          <w:rFonts w:hint="eastAsia"/>
          <w:sz w:val="20"/>
        </w:rPr>
        <w:t>郑州:</w:t>
      </w:r>
      <w:r>
        <w:rPr>
          <w:sz w:val="20"/>
        </w:rPr>
        <w:t xml:space="preserve"> </w:t>
      </w:r>
      <w:r w:rsidRPr="006E37F5">
        <w:rPr>
          <w:rFonts w:hint="eastAsia"/>
          <w:sz w:val="20"/>
        </w:rPr>
        <w:t>小麦</w:t>
      </w:r>
      <w:r w:rsidRPr="006E37F5">
        <w:rPr>
          <w:sz w:val="20"/>
        </w:rPr>
        <w:t>、棉花、白糖、精对苯二甲酸、</w:t>
      </w:r>
      <w:proofErr w:type="gramStart"/>
      <w:r w:rsidRPr="006E37F5">
        <w:rPr>
          <w:sz w:val="20"/>
        </w:rPr>
        <w:t>菜籽</w:t>
      </w:r>
      <w:r>
        <w:rPr>
          <w:sz w:val="20"/>
        </w:rPr>
        <w:t>油</w:t>
      </w:r>
      <w:proofErr w:type="gramEnd"/>
      <w:r>
        <w:rPr>
          <w:sz w:val="20"/>
        </w:rPr>
        <w:t>、早籼稻</w:t>
      </w:r>
    </w:p>
    <w:p w:rsidR="006E37F5" w:rsidRDefault="006E37F5" w:rsidP="006E37F5">
      <w:pPr>
        <w:rPr>
          <w:sz w:val="20"/>
        </w:rPr>
      </w:pPr>
      <w:r>
        <w:rPr>
          <w:rFonts w:hint="eastAsia"/>
          <w:sz w:val="20"/>
        </w:rPr>
        <w:t>大连:</w:t>
      </w:r>
      <w:r>
        <w:rPr>
          <w:sz w:val="20"/>
        </w:rPr>
        <w:t xml:space="preserve"> </w:t>
      </w:r>
      <w:r w:rsidRPr="006E37F5">
        <w:rPr>
          <w:rFonts w:hint="eastAsia"/>
          <w:sz w:val="20"/>
        </w:rPr>
        <w:t>玉米、黄大豆</w:t>
      </w:r>
      <w:r w:rsidRPr="006E37F5">
        <w:rPr>
          <w:sz w:val="20"/>
        </w:rPr>
        <w:t>1</w:t>
      </w:r>
      <w:r>
        <w:rPr>
          <w:rFonts w:hint="eastAsia"/>
          <w:sz w:val="20"/>
        </w:rPr>
        <w:t>,</w:t>
      </w:r>
      <w:r>
        <w:rPr>
          <w:sz w:val="20"/>
        </w:rPr>
        <w:t>2</w:t>
      </w:r>
      <w:r w:rsidRPr="006E37F5">
        <w:rPr>
          <w:sz w:val="20"/>
        </w:rPr>
        <w:t>、豆</w:t>
      </w:r>
      <w:proofErr w:type="gramStart"/>
      <w:r w:rsidRPr="006E37F5">
        <w:rPr>
          <w:sz w:val="20"/>
        </w:rPr>
        <w:t>粕</w:t>
      </w:r>
      <w:proofErr w:type="gramEnd"/>
      <w:r w:rsidRPr="006E37F5">
        <w:rPr>
          <w:sz w:val="20"/>
        </w:rPr>
        <w:t>、豆油、啤酒大麦等</w:t>
      </w:r>
    </w:p>
    <w:p w:rsidR="006E37F5" w:rsidRDefault="006E37F5" w:rsidP="006E37F5">
      <w:pPr>
        <w:rPr>
          <w:sz w:val="20"/>
        </w:rPr>
      </w:pPr>
      <w:r>
        <w:rPr>
          <w:rFonts w:hint="eastAsia"/>
          <w:sz w:val="20"/>
        </w:rPr>
        <w:t>中金:</w:t>
      </w:r>
      <w:r w:rsidRPr="006E37F5">
        <w:rPr>
          <w:rFonts w:hint="eastAsia"/>
        </w:rPr>
        <w:t xml:space="preserve"> </w:t>
      </w:r>
      <w:r w:rsidRPr="006E37F5">
        <w:rPr>
          <w:rFonts w:hint="eastAsia"/>
          <w:sz w:val="20"/>
        </w:rPr>
        <w:t>沪深</w:t>
      </w:r>
      <w:r w:rsidRPr="006E37F5">
        <w:rPr>
          <w:sz w:val="20"/>
        </w:rPr>
        <w:t>300、上证50、中证500股指期货合约；</w:t>
      </w:r>
    </w:p>
    <w:p w:rsidR="006E37F5" w:rsidRDefault="006E37F5" w:rsidP="006E37F5">
      <w:pPr>
        <w:ind w:left="420" w:firstLineChars="100" w:firstLine="200"/>
        <w:rPr>
          <w:sz w:val="20"/>
        </w:rPr>
      </w:pPr>
      <w:r w:rsidRPr="006E37F5">
        <w:rPr>
          <w:sz w:val="20"/>
        </w:rPr>
        <w:t xml:space="preserve">5、10年期国债期货合约 </w:t>
      </w:r>
    </w:p>
    <w:p w:rsidR="006E37F5" w:rsidRDefault="006E37F5" w:rsidP="006E37F5">
      <w:pPr>
        <w:rPr>
          <w:sz w:val="20"/>
        </w:rPr>
      </w:pPr>
      <w:r w:rsidRPr="006E37F5">
        <w:rPr>
          <w:sz w:val="20"/>
        </w:rPr>
        <w:object w:dxaOrig="7590" w:dyaOrig="2880">
          <v:shape id="_x0000_i1025" type="#_x0000_t75" style="width:137.25pt;height:52.5pt" o:ole="">
            <v:imagedata r:id="rId34" o:title=""/>
          </v:shape>
          <o:OLEObject Type="Embed" ProgID="Unknown" ShapeID="_x0000_i1025" DrawAspect="Content" ObjectID="_1607091177" r:id="rId35"/>
        </w:object>
      </w:r>
    </w:p>
    <w:p w:rsidR="006E37F5" w:rsidRPr="006E37F5" w:rsidRDefault="006E37F5" w:rsidP="006E37F5">
      <w:pPr>
        <w:rPr>
          <w:sz w:val="20"/>
        </w:rPr>
      </w:pPr>
      <w:r w:rsidRPr="006E37F5">
        <w:rPr>
          <w:i/>
          <w:iCs/>
          <w:sz w:val="20"/>
        </w:rPr>
        <w:t>P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>金融资产的价格或价值；</w:t>
      </w:r>
      <w:r w:rsidRPr="006E37F5">
        <w:rPr>
          <w:i/>
          <w:iCs/>
          <w:sz w:val="20"/>
        </w:rPr>
        <w:t>C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>每期现金流；</w:t>
      </w:r>
      <w:r w:rsidRPr="006E37F5">
        <w:rPr>
          <w:i/>
          <w:iCs/>
          <w:sz w:val="20"/>
        </w:rPr>
        <w:t>r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 xml:space="preserve">市场利率          </w:t>
      </w:r>
      <w:r w:rsidRPr="006E37F5">
        <w:rPr>
          <w:i/>
          <w:iCs/>
          <w:sz w:val="20"/>
        </w:rPr>
        <w:t>A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>本金；</w:t>
      </w:r>
      <w:r w:rsidRPr="006E37F5">
        <w:rPr>
          <w:i/>
          <w:iCs/>
          <w:sz w:val="20"/>
        </w:rPr>
        <w:t>t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>期限</w:t>
      </w:r>
    </w:p>
    <w:p w:rsidR="006E37F5" w:rsidRDefault="006E37F5" w:rsidP="006E37F5">
      <w:pPr>
        <w:rPr>
          <w:sz w:val="20"/>
        </w:rPr>
      </w:pPr>
      <w:r w:rsidRPr="006E37F5">
        <w:rPr>
          <w:sz w:val="20"/>
        </w:rPr>
        <w:object w:dxaOrig="11970" w:dyaOrig="1605">
          <v:shape id="_x0000_i1033" type="#_x0000_t75" style="width:250.5pt;height:33.75pt" o:ole="">
            <v:imagedata r:id="rId36" o:title=""/>
          </v:shape>
          <o:OLEObject Type="Embed" ProgID="Unknown" ShapeID="_x0000_i1033" DrawAspect="Content" ObjectID="_1607091178" r:id="rId37"/>
        </w:object>
      </w:r>
    </w:p>
    <w:p w:rsidR="006E37F5" w:rsidRPr="006E37F5" w:rsidRDefault="006E37F5" w:rsidP="006E37F5">
      <w:pPr>
        <w:rPr>
          <w:sz w:val="20"/>
        </w:rPr>
      </w:pPr>
      <w:r w:rsidRPr="006E37F5">
        <w:rPr>
          <w:i/>
          <w:iCs/>
          <w:sz w:val="20"/>
        </w:rPr>
        <w:t>V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>债券</w:t>
      </w:r>
      <w:r w:rsidRPr="006E37F5">
        <w:rPr>
          <w:rFonts w:hint="eastAsia"/>
          <w:b/>
          <w:sz w:val="20"/>
          <w:u w:val="single"/>
        </w:rPr>
        <w:t>价值</w:t>
      </w:r>
      <w:r w:rsidRPr="006E37F5">
        <w:rPr>
          <w:rFonts w:hint="eastAsia"/>
          <w:sz w:val="20"/>
        </w:rPr>
        <w:t>；</w:t>
      </w:r>
      <w:r w:rsidRPr="006E37F5">
        <w:rPr>
          <w:i/>
          <w:iCs/>
          <w:sz w:val="20"/>
        </w:rPr>
        <w:t>c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>每期利息；</w:t>
      </w:r>
      <w:r w:rsidRPr="00996FC3">
        <w:rPr>
          <w:b/>
          <w:i/>
          <w:iCs/>
          <w:sz w:val="22"/>
          <w:u w:val="single"/>
        </w:rPr>
        <w:t>r</w:t>
      </w:r>
      <w:r w:rsidRPr="00996FC3">
        <w:rPr>
          <w:b/>
          <w:sz w:val="22"/>
          <w:u w:val="single"/>
        </w:rPr>
        <w:t>—</w:t>
      </w:r>
      <w:r w:rsidRPr="00996FC3">
        <w:rPr>
          <w:rFonts w:hint="eastAsia"/>
          <w:b/>
          <w:sz w:val="22"/>
          <w:u w:val="single"/>
        </w:rPr>
        <w:t>市场利率</w:t>
      </w:r>
    </w:p>
    <w:p w:rsidR="006E37F5" w:rsidRPr="006E37F5" w:rsidRDefault="006E37F5" w:rsidP="006E37F5">
      <w:pPr>
        <w:rPr>
          <w:sz w:val="20"/>
        </w:rPr>
      </w:pPr>
      <w:r w:rsidRPr="006E37F5">
        <w:rPr>
          <w:sz w:val="20"/>
        </w:rPr>
        <w:t xml:space="preserve"> </w:t>
      </w:r>
      <w:r w:rsidRPr="006E37F5">
        <w:rPr>
          <w:i/>
          <w:iCs/>
          <w:sz w:val="20"/>
        </w:rPr>
        <w:t>A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>本金；</w:t>
      </w:r>
      <w:r w:rsidRPr="006E37F5">
        <w:rPr>
          <w:i/>
          <w:iCs/>
          <w:sz w:val="20"/>
        </w:rPr>
        <w:t>t</w:t>
      </w:r>
      <w:r w:rsidRPr="006E37F5">
        <w:rPr>
          <w:sz w:val="20"/>
        </w:rPr>
        <w:t>—</w:t>
      </w:r>
      <w:r w:rsidRPr="006E37F5">
        <w:rPr>
          <w:rFonts w:hint="eastAsia"/>
          <w:sz w:val="20"/>
        </w:rPr>
        <w:t xml:space="preserve">期限 </w:t>
      </w:r>
    </w:p>
    <w:p w:rsidR="006E37F5" w:rsidRDefault="006E37F5" w:rsidP="006E37F5">
      <w:pPr>
        <w:rPr>
          <w:sz w:val="20"/>
        </w:rPr>
      </w:pPr>
      <w:r w:rsidRPr="006E37F5">
        <w:rPr>
          <w:sz w:val="20"/>
        </w:rPr>
        <w:object w:dxaOrig="12345" w:dyaOrig="1590">
          <v:shape id="_x0000_i1038" type="#_x0000_t75" style="width:250.5pt;height:32.25pt" o:ole="">
            <v:imagedata r:id="rId38" o:title=""/>
          </v:shape>
          <o:OLEObject Type="Embed" ProgID="Unknown" ShapeID="_x0000_i1038" DrawAspect="Content" ObjectID="_1607091179" r:id="rId39"/>
        </w:object>
      </w:r>
    </w:p>
    <w:p w:rsidR="006E37F5" w:rsidRPr="00996FC3" w:rsidRDefault="006E37F5" w:rsidP="006E37F5">
      <w:pPr>
        <w:rPr>
          <w:b/>
          <w:sz w:val="22"/>
          <w:u w:val="single"/>
        </w:rPr>
      </w:pPr>
      <w:r w:rsidRPr="006E37F5">
        <w:rPr>
          <w:sz w:val="20"/>
        </w:rPr>
        <w:t>P—</w:t>
      </w:r>
      <w:r w:rsidRPr="006E37F5">
        <w:rPr>
          <w:rFonts w:hint="eastAsia"/>
          <w:sz w:val="20"/>
        </w:rPr>
        <w:t>债券</w:t>
      </w:r>
      <w:r w:rsidRPr="006E37F5">
        <w:rPr>
          <w:rFonts w:hint="eastAsia"/>
          <w:b/>
          <w:sz w:val="20"/>
          <w:u w:val="single"/>
        </w:rPr>
        <w:t>价格</w:t>
      </w:r>
      <w:r w:rsidRPr="006E37F5">
        <w:rPr>
          <w:rFonts w:hint="eastAsia"/>
          <w:sz w:val="20"/>
        </w:rPr>
        <w:t>；</w:t>
      </w:r>
      <w:r w:rsidRPr="006E37F5">
        <w:rPr>
          <w:sz w:val="20"/>
        </w:rPr>
        <w:t>c—</w:t>
      </w:r>
      <w:r w:rsidRPr="006E37F5">
        <w:rPr>
          <w:rFonts w:hint="eastAsia"/>
          <w:sz w:val="20"/>
        </w:rPr>
        <w:t>每期利息；</w:t>
      </w:r>
      <w:r w:rsidRPr="00996FC3">
        <w:rPr>
          <w:b/>
          <w:sz w:val="22"/>
          <w:u w:val="single"/>
        </w:rPr>
        <w:t>y—</w:t>
      </w:r>
      <w:r w:rsidRPr="00996FC3">
        <w:rPr>
          <w:rFonts w:hint="eastAsia"/>
          <w:b/>
          <w:sz w:val="22"/>
          <w:u w:val="single"/>
        </w:rPr>
        <w:t>内部收益率</w:t>
      </w:r>
    </w:p>
    <w:p w:rsidR="006E37F5" w:rsidRPr="006E37F5" w:rsidRDefault="00996FC3" w:rsidP="006E37F5">
      <w:pPr>
        <w:rPr>
          <w:sz w:val="20"/>
        </w:rPr>
      </w:pPr>
      <w:r w:rsidRPr="00996FC3">
        <w:rPr>
          <w:b/>
          <w:bCs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80E839" wp14:editId="7C59A5A6">
                <wp:simplePos x="0" y="0"/>
                <wp:positionH relativeFrom="column">
                  <wp:align>right</wp:align>
                </wp:positionH>
                <wp:positionV relativeFrom="paragraph">
                  <wp:posOffset>247650</wp:posOffset>
                </wp:positionV>
                <wp:extent cx="31527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C3" w:rsidRPr="00996FC3" w:rsidRDefault="00996FC3" w:rsidP="00996FC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要点：</w:t>
                            </w:r>
                          </w:p>
                          <w:p w:rsidR="00996FC3" w:rsidRPr="00996FC3" w:rsidRDefault="00996FC3" w:rsidP="00996FC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（1）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r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是市场利率而非票面利率；</w:t>
                            </w:r>
                          </w:p>
                          <w:p w:rsidR="00996FC3" w:rsidRPr="00996FC3" w:rsidRDefault="00996FC3" w:rsidP="00996FC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（2）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V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是债券价值而非债券价格；</w:t>
                            </w:r>
                          </w:p>
                          <w:p w:rsidR="00996FC3" w:rsidRPr="00996FC3" w:rsidRDefault="00996FC3" w:rsidP="00996FC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（3）当债券价值（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V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）＞债券价格（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P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），也即内部收益率（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y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）＞市场利率（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r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）时，债券价格被低估，应当买入债券，反之，应当卖出债券。</w:t>
                            </w:r>
                          </w:p>
                          <w:p w:rsidR="00996FC3" w:rsidRPr="00996FC3" w:rsidRDefault="00996FC3">
                            <w:pPr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 w:rsidRPr="00996FC3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(4)净现值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NPV=V</w:t>
                            </w:r>
                            <w:r w:rsidRPr="00996FC3">
                              <w:rPr>
                                <w:rFonts w:hint="eastAsia"/>
                                <w:b/>
                                <w:i/>
                                <w:iCs/>
                                <w:sz w:val="20"/>
                              </w:rPr>
                              <w:t>-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P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，</w:t>
                            </w:r>
                            <w:r w:rsidRPr="00996FC3">
                              <w:rPr>
                                <w:b/>
                                <w:i/>
                                <w:iCs/>
                                <w:sz w:val="20"/>
                              </w:rPr>
                              <w:t>NPV</w:t>
                            </w:r>
                            <w:r w:rsidRPr="00996FC3">
                              <w:rPr>
                                <w:rFonts w:hint="eastAsia"/>
                                <w:b/>
                                <w:sz w:val="20"/>
                              </w:rPr>
                              <w:t>＞０，买入，否则卖出。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0E839" id="_x0000_s1027" type="#_x0000_t202" style="position:absolute;left:0;text-align:left;margin-left:197.05pt;margin-top:19.5pt;width:248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">
                <v:textbox style="mso-fit-shape-to-text:t">
                  <w:txbxContent>
                    <w:p w:rsidR="00996FC3" w:rsidRPr="00996FC3" w:rsidRDefault="00996FC3" w:rsidP="00996FC3">
                      <w:pPr>
                        <w:rPr>
                          <w:b/>
                          <w:sz w:val="20"/>
                        </w:rPr>
                      </w:pP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要点：</w:t>
                      </w:r>
                    </w:p>
                    <w:p w:rsidR="00996FC3" w:rsidRPr="00996FC3" w:rsidRDefault="00996FC3" w:rsidP="00996FC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 xml:space="preserve"> 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（1）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r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是市场利率而非票面利率；</w:t>
                      </w:r>
                    </w:p>
                    <w:p w:rsidR="00996FC3" w:rsidRPr="00996FC3" w:rsidRDefault="00996FC3" w:rsidP="00996FC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 xml:space="preserve"> 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（2）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V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是债券价值而非债券价格；</w:t>
                      </w:r>
                    </w:p>
                    <w:p w:rsidR="00996FC3" w:rsidRPr="00996FC3" w:rsidRDefault="00996FC3" w:rsidP="00996FC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 xml:space="preserve"> 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（3）当债券价值（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V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）＞债券价格（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P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），也即内部收益率（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y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）＞市场利率（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r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）时，债券价格被低估，应当买入债券，反之，应当卖出债券。</w:t>
                      </w:r>
                    </w:p>
                    <w:p w:rsidR="00996FC3" w:rsidRPr="00996FC3" w:rsidRDefault="00996FC3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 w:rsidRPr="00996FC3">
                        <w:rPr>
                          <w:b/>
                          <w:sz w:val="20"/>
                        </w:rPr>
                        <w:t xml:space="preserve"> 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(4)净现值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NPV=V</w:t>
                      </w:r>
                      <w:r w:rsidRPr="00996FC3">
                        <w:rPr>
                          <w:rFonts w:hint="eastAsia"/>
                          <w:b/>
                          <w:i/>
                          <w:iCs/>
                          <w:sz w:val="20"/>
                        </w:rPr>
                        <w:t>-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P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，</w:t>
                      </w:r>
                      <w:r w:rsidRPr="00996FC3">
                        <w:rPr>
                          <w:b/>
                          <w:i/>
                          <w:iCs/>
                          <w:sz w:val="20"/>
                        </w:rPr>
                        <w:t>NPV</w:t>
                      </w:r>
                      <w:r w:rsidRPr="00996FC3">
                        <w:rPr>
                          <w:rFonts w:hint="eastAsia"/>
                          <w:b/>
                          <w:sz w:val="20"/>
                        </w:rPr>
                        <w:t>＞０，买入，否则卖出。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7F5" w:rsidRPr="006E37F5">
        <w:rPr>
          <w:sz w:val="20"/>
        </w:rPr>
        <w:t>A—</w:t>
      </w:r>
      <w:r w:rsidR="006E37F5" w:rsidRPr="006E37F5">
        <w:rPr>
          <w:rFonts w:hint="eastAsia"/>
          <w:sz w:val="20"/>
        </w:rPr>
        <w:t>本金；</w:t>
      </w:r>
      <w:r w:rsidR="006E37F5" w:rsidRPr="006E37F5">
        <w:rPr>
          <w:sz w:val="20"/>
        </w:rPr>
        <w:t>t—</w:t>
      </w:r>
      <w:r w:rsidR="006E37F5" w:rsidRPr="006E37F5">
        <w:rPr>
          <w:rFonts w:hint="eastAsia"/>
          <w:sz w:val="20"/>
        </w:rPr>
        <w:t xml:space="preserve">期限 </w:t>
      </w:r>
    </w:p>
    <w:p w:rsidR="00996FC3" w:rsidRPr="00996FC3" w:rsidRDefault="00974F78" w:rsidP="00996FC3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4D46F" wp14:editId="03C65502">
                <wp:simplePos x="0" y="0"/>
                <wp:positionH relativeFrom="column">
                  <wp:posOffset>4029075</wp:posOffset>
                </wp:positionH>
                <wp:positionV relativeFrom="paragraph">
                  <wp:posOffset>2468879</wp:posOffset>
                </wp:positionV>
                <wp:extent cx="38100" cy="13620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A1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317.25pt;margin-top:194.4pt;width:3pt;height:10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7E76B" wp14:editId="2C35EED4">
                <wp:simplePos x="0" y="0"/>
                <wp:positionH relativeFrom="column">
                  <wp:posOffset>3981450</wp:posOffset>
                </wp:positionH>
                <wp:positionV relativeFrom="paragraph">
                  <wp:posOffset>2449831</wp:posOffset>
                </wp:positionV>
                <wp:extent cx="1619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F33E" id="直接连接符 7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92.9pt" to="326.2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817A1" wp14:editId="334F4272">
                <wp:simplePos x="0" y="0"/>
                <wp:positionH relativeFrom="column">
                  <wp:posOffset>4599940</wp:posOffset>
                </wp:positionH>
                <wp:positionV relativeFrom="paragraph">
                  <wp:posOffset>2487931</wp:posOffset>
                </wp:positionV>
                <wp:extent cx="45719" cy="1371600"/>
                <wp:effectExtent l="76200" t="0" r="5016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C947" id="直接箭头连接符 6" o:spid="_x0000_s1026" type="#_x0000_t32" style="position:absolute;left:0;text-align:left;margin-left:362.2pt;margin-top:195.9pt;width:3.6pt;height:10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4E9C8" wp14:editId="71795361">
                <wp:simplePos x="0" y="0"/>
                <wp:positionH relativeFrom="column">
                  <wp:posOffset>4343400</wp:posOffset>
                </wp:positionH>
                <wp:positionV relativeFrom="paragraph">
                  <wp:posOffset>2430780</wp:posOffset>
                </wp:positionV>
                <wp:extent cx="70485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604DC" id="直接连接符 5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91.4pt" to="397.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C40A6" w:rsidRPr="00AC40A6"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09325" wp14:editId="1D99DA5F">
                <wp:simplePos x="0" y="0"/>
                <wp:positionH relativeFrom="margin">
                  <wp:align>left</wp:align>
                </wp:positionH>
                <wp:positionV relativeFrom="paragraph">
                  <wp:posOffset>2421255</wp:posOffset>
                </wp:positionV>
                <wp:extent cx="3171825" cy="2928620"/>
                <wp:effectExtent l="0" t="0" r="28575" b="21590"/>
                <wp:wrapTopAndBottom/>
                <wp:docPr id="614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2928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6" w:rsidRPr="001234EA" w:rsidRDefault="00AC40A6" w:rsidP="00AC40A6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234EA">
                              <w:rPr>
                                <w:b/>
                                <w:sz w:val="20"/>
                                <w:u w:val="single"/>
                              </w:rPr>
                              <w:t>1.</w:t>
                            </w:r>
                            <w:r w:rsidRPr="001234EA">
                              <w:rPr>
                                <w:rFonts w:hint="eastAsia"/>
                                <w:b/>
                                <w:sz w:val="20"/>
                                <w:u w:val="single"/>
                              </w:rPr>
                              <w:t>用均值（数学期望）度量预期收益率</w:t>
                            </w:r>
                          </w:p>
                          <w:p w:rsidR="00AC40A6" w:rsidRDefault="00AC40A6" w:rsidP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（1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）单个证券的预期收益率</w:t>
                            </w:r>
                          </w:p>
                          <w:p w:rsidR="00AC40A6" w:rsidRPr="00AC40A6" w:rsidRDefault="00AC40A6" w:rsidP="00AC40A6">
                            <w:pPr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 w:rsidRPr="00AC40A6">
                              <w:rPr>
                                <w:b/>
                                <w:sz w:val="20"/>
                              </w:rPr>
                              <w:object w:dxaOrig="2865" w:dyaOrig="1815">
                                <v:shape id="_x0000_i1050" type="#_x0000_t75" style="width:96.75pt;height:63pt">
                                  <v:imagedata r:id="rId40" o:title=""/>
                                </v:shape>
                                <o:OLEObject Type="Embed" ProgID="Unknown" ShapeID="_x0000_i1050" DrawAspect="Content" ObjectID="_1607091189" r:id="rId41"/>
                              </w:object>
                            </w:r>
                          </w:p>
                          <w:p w:rsidR="00AC40A6" w:rsidRPr="00AC40A6" w:rsidRDefault="00AC40A6" w:rsidP="00AC40A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C40A6">
                              <w:rPr>
                                <w:b/>
                                <w:sz w:val="20"/>
                              </w:rPr>
                              <w:t>其中ER—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预期收益率;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pi</w:t>
                            </w:r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proofErr w:type="spellStart"/>
                            <w:r w:rsidRPr="00AC40A6">
                              <w:rPr>
                                <w:b/>
                                <w:sz w:val="20"/>
                              </w:rPr>
                              <w:t>i</w:t>
                            </w:r>
                            <w:proofErr w:type="spellEnd"/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种收益率的可能性或概率；</w:t>
                            </w:r>
                            <w:proofErr w:type="spellStart"/>
                            <w:r w:rsidRPr="00AC40A6">
                              <w:rPr>
                                <w:b/>
                                <w:sz w:val="20"/>
                              </w:rPr>
                              <w:t>Ri</w:t>
                            </w:r>
                            <w:proofErr w:type="spellEnd"/>
                            <w:r w:rsidRPr="00AC40A6">
                              <w:rPr>
                                <w:b/>
                                <w:sz w:val="20"/>
                              </w:rPr>
                              <w:t>—</w:t>
                            </w:r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第</w:t>
                            </w:r>
                            <w:proofErr w:type="spellStart"/>
                            <w:r w:rsidRPr="00AC40A6">
                              <w:rPr>
                                <w:b/>
                                <w:sz w:val="20"/>
                              </w:rPr>
                              <w:t>i</w:t>
                            </w:r>
                            <w:proofErr w:type="spellEnd"/>
                            <w:r w:rsidRPr="00AC40A6">
                              <w:rPr>
                                <w:rFonts w:hint="eastAsia"/>
                                <w:b/>
                                <w:sz w:val="20"/>
                              </w:rPr>
                              <w:t>种可能的收益率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09325" id="Rectangle 6" o:spid="_x0000_s1028" style="position:absolute;left:0;text-align:left;margin-left:0;margin-top:190.65pt;width:249.75pt;height:230.6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" filled="f" strokecolor="black [3213]">
                <v:textbox style="mso-fit-shape-to-text:t">
                  <w:txbxContent>
                    <w:p w:rsidR="00AC40A6" w:rsidRPr="001234EA" w:rsidRDefault="00AC40A6" w:rsidP="00AC40A6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1234EA">
                        <w:rPr>
                          <w:b/>
                          <w:sz w:val="20"/>
                          <w:u w:val="single"/>
                        </w:rPr>
                        <w:t>1.</w:t>
                      </w:r>
                      <w:r w:rsidRPr="001234EA">
                        <w:rPr>
                          <w:rFonts w:hint="eastAsia"/>
                          <w:b/>
                          <w:sz w:val="20"/>
                          <w:u w:val="single"/>
                        </w:rPr>
                        <w:t>用均值（数学期望）度量预期收益率</w:t>
                      </w:r>
                    </w:p>
                    <w:p w:rsidR="00AC40A6" w:rsidRDefault="00AC40A6" w:rsidP="00AC40A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</w:t>
                      </w:r>
                      <w:r w:rsidRPr="00AC40A6">
                        <w:rPr>
                          <w:b/>
                          <w:sz w:val="20"/>
                        </w:rPr>
                        <w:t>（1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）单个证券的预期收益率</w:t>
                      </w:r>
                    </w:p>
                    <w:p w:rsidR="00AC40A6" w:rsidRPr="00AC40A6" w:rsidRDefault="00AC40A6" w:rsidP="00AC40A6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 w:rsidRPr="00AC40A6">
                        <w:rPr>
                          <w:b/>
                          <w:sz w:val="20"/>
                        </w:rPr>
                        <w:object w:dxaOrig="2865" w:dyaOrig="1815">
                          <v:shape id="_x0000_i1050" type="#_x0000_t75" style="width:96.75pt;height:63pt">
                            <v:imagedata r:id="rId40" o:title=""/>
                          </v:shape>
                          <o:OLEObject Type="Embed" ProgID="Unknown" ShapeID="_x0000_i1050" DrawAspect="Content" ObjectID="_1607091189" r:id="rId42"/>
                        </w:object>
                      </w:r>
                    </w:p>
                    <w:p w:rsidR="00AC40A6" w:rsidRPr="00AC40A6" w:rsidRDefault="00AC40A6" w:rsidP="00AC40A6">
                      <w:pPr>
                        <w:rPr>
                          <w:b/>
                          <w:sz w:val="20"/>
                        </w:rPr>
                      </w:pPr>
                      <w:r w:rsidRPr="00AC40A6">
                        <w:rPr>
                          <w:b/>
                          <w:sz w:val="20"/>
                        </w:rPr>
                        <w:t>其中ER—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预期收益率;</w:t>
                      </w:r>
                      <w:r>
                        <w:rPr>
                          <w:b/>
                          <w:sz w:val="20"/>
                        </w:rPr>
                        <w:t xml:space="preserve"> pi</w:t>
                      </w:r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proofErr w:type="spellStart"/>
                      <w:r w:rsidRPr="00AC40A6">
                        <w:rPr>
                          <w:b/>
                          <w:sz w:val="20"/>
                        </w:rPr>
                        <w:t>i</w:t>
                      </w:r>
                      <w:proofErr w:type="spellEnd"/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种收益率的可能性或概率；</w:t>
                      </w:r>
                      <w:proofErr w:type="spellStart"/>
                      <w:r w:rsidRPr="00AC40A6">
                        <w:rPr>
                          <w:b/>
                          <w:sz w:val="20"/>
                        </w:rPr>
                        <w:t>Ri</w:t>
                      </w:r>
                      <w:proofErr w:type="spellEnd"/>
                      <w:r w:rsidRPr="00AC40A6">
                        <w:rPr>
                          <w:b/>
                          <w:sz w:val="20"/>
                        </w:rPr>
                        <w:t>—</w:t>
                      </w:r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第</w:t>
                      </w:r>
                      <w:proofErr w:type="spellStart"/>
                      <w:r w:rsidRPr="00AC40A6">
                        <w:rPr>
                          <w:b/>
                          <w:sz w:val="20"/>
                        </w:rPr>
                        <w:t>i</w:t>
                      </w:r>
                      <w:proofErr w:type="spellEnd"/>
                      <w:r w:rsidRPr="00AC40A6">
                        <w:rPr>
                          <w:rFonts w:hint="eastAsia"/>
                          <w:b/>
                          <w:sz w:val="20"/>
                        </w:rPr>
                        <w:t>种可能的收益率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C40A6" w:rsidRPr="00AC40A6"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B1F84" wp14:editId="6CD4DCD9">
                <wp:simplePos x="0" y="0"/>
                <wp:positionH relativeFrom="margin">
                  <wp:align>left</wp:align>
                </wp:positionH>
                <wp:positionV relativeFrom="paragraph">
                  <wp:posOffset>1830705</wp:posOffset>
                </wp:positionV>
                <wp:extent cx="3162300" cy="561975"/>
                <wp:effectExtent l="0" t="0" r="19050" b="28575"/>
                <wp:wrapTopAndBottom/>
                <wp:docPr id="1669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6" w:rsidRPr="00AC40A6" w:rsidRDefault="00AC40A6" w:rsidP="00AC40A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AC40A6">
                              <w:rPr>
                                <w:rFonts w:hint="eastAsia"/>
                                <w:b/>
                                <w:bCs/>
                                <w:sz w:val="20"/>
                              </w:rPr>
                              <w:t>风险与收益对等(风险溢价):</w:t>
                            </w:r>
                          </w:p>
                          <w:p w:rsidR="00AC40A6" w:rsidRPr="00AC40A6" w:rsidRDefault="00AC40A6" w:rsidP="00AC40A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AC40A6">
                              <w:rPr>
                                <w:rFonts w:hint="eastAsia"/>
                                <w:b/>
                                <w:bCs/>
                                <w:sz w:val="20"/>
                              </w:rPr>
                              <w:t>高风险必须由高收益来补偿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1F84" id="Text Box 7" o:spid="_x0000_s1029" type="#_x0000_t202" style="position:absolute;left:0;text-align:left;margin-left:0;margin-top:144.15pt;width:249pt;height:4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" fillcolor="#e7e6e6 [3214]" strokecolor="black [3213]">
                <v:textbox>
                  <w:txbxContent>
                    <w:p w:rsidR="00AC40A6" w:rsidRPr="00AC40A6" w:rsidRDefault="00AC40A6" w:rsidP="00AC40A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AC40A6">
                        <w:rPr>
                          <w:rFonts w:hint="eastAsia"/>
                          <w:b/>
                          <w:bCs/>
                          <w:sz w:val="20"/>
                        </w:rPr>
                        <w:t>风险与收益对等(风险溢价):</w:t>
                      </w:r>
                    </w:p>
                    <w:p w:rsidR="00AC40A6" w:rsidRPr="00AC40A6" w:rsidRDefault="00AC40A6" w:rsidP="00AC40A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AC40A6">
                        <w:rPr>
                          <w:rFonts w:hint="eastAsia"/>
                          <w:b/>
                          <w:bCs/>
                          <w:sz w:val="20"/>
                        </w:rPr>
                        <w:t>高风险必须由高收益来补偿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0A6">
        <w:rPr>
          <w:rFonts w:hint="eastAsia"/>
          <w:b/>
          <w:bCs/>
          <w:sz w:val="20"/>
        </w:rPr>
        <w:t>风险收益定价</w:t>
      </w:r>
    </w:p>
    <w:p w:rsidR="006E37F5" w:rsidRPr="00AC40A6" w:rsidRDefault="006E37F5" w:rsidP="006E37F5">
      <w:pPr>
        <w:rPr>
          <w:b/>
          <w:sz w:val="20"/>
        </w:rPr>
      </w:pPr>
    </w:p>
    <w:p w:rsidR="00AC40A6" w:rsidRDefault="00AC40A6" w:rsidP="006E37F5">
      <w:pPr>
        <w:rPr>
          <w:b/>
          <w:sz w:val="20"/>
        </w:rPr>
      </w:pPr>
    </w:p>
    <w:p w:rsidR="00974F78" w:rsidRDefault="00974F78" w:rsidP="00974F78">
      <w:pPr>
        <w:rPr>
          <w:b/>
          <w:bCs/>
          <w:sz w:val="20"/>
        </w:rPr>
      </w:pPr>
      <w:r w:rsidRPr="00974F78">
        <w:rPr>
          <w:b/>
          <w:bCs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153CBA" wp14:editId="03C764BF">
                <wp:simplePos x="0" y="0"/>
                <wp:positionH relativeFrom="margin">
                  <wp:posOffset>3676650</wp:posOffset>
                </wp:positionH>
                <wp:positionV relativeFrom="paragraph">
                  <wp:posOffset>11430</wp:posOffset>
                </wp:positionV>
                <wp:extent cx="800100" cy="1404620"/>
                <wp:effectExtent l="0" t="0" r="19050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F78" w:rsidRPr="00974F78" w:rsidRDefault="00974F78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</w:rPr>
                            </w:pPr>
                            <w:r w:rsidRPr="00974F78">
                              <w:rPr>
                                <w:rFonts w:hint="eastAsia"/>
                                <w:b/>
                                <w:bCs/>
                                <w:sz w:val="18"/>
                              </w:rPr>
                              <w:t>无风险收益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53CBA" id="_x0000_s1030" type="#_x0000_t202" style="position:absolute;left:0;text-align:left;margin-left:289.5pt;margin-top:.9pt;width:6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">
                <v:textbox style="mso-fit-shape-to-text:t">
                  <w:txbxContent>
                    <w:p w:rsidR="00974F78" w:rsidRPr="00974F78" w:rsidRDefault="00974F78">
                      <w:pPr>
                        <w:rPr>
                          <w:rFonts w:hint="eastAsia"/>
                          <w:b/>
                          <w:bCs/>
                          <w:sz w:val="18"/>
                        </w:rPr>
                      </w:pPr>
                      <w:r w:rsidRPr="00974F78">
                        <w:rPr>
                          <w:rFonts w:hint="eastAsia"/>
                          <w:b/>
                          <w:bCs/>
                          <w:sz w:val="18"/>
                        </w:rPr>
                        <w:t>无风险收益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4F78">
        <w:rPr>
          <w:b/>
          <w:bCs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DF7D71" wp14:editId="49DC4DC3">
                <wp:simplePos x="0" y="0"/>
                <wp:positionH relativeFrom="column">
                  <wp:posOffset>1047750</wp:posOffset>
                </wp:positionH>
                <wp:positionV relativeFrom="paragraph">
                  <wp:posOffset>10160</wp:posOffset>
                </wp:positionV>
                <wp:extent cx="1524000" cy="1404620"/>
                <wp:effectExtent l="0" t="0" r="19050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F78" w:rsidRPr="00974F78" w:rsidRDefault="00974F78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974F78">
                              <w:rPr>
                                <w:rFonts w:hint="eastAsia"/>
                                <w:b/>
                                <w:bCs/>
                                <w:sz w:val="18"/>
                              </w:rPr>
                              <w:t>系统风险补偿或风险溢价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F7D71" id="_x0000_s1031" type="#_x0000_t202" style="position:absolute;left:0;text-align:left;margin-left:82.5pt;margin-top:.8pt;width:12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">
                <v:textbox style="mso-fit-shape-to-text:t">
                  <w:txbxContent>
                    <w:p w:rsidR="00974F78" w:rsidRPr="00974F78" w:rsidRDefault="00974F78">
                      <w:pPr>
                        <w:rPr>
                          <w:rFonts w:hint="eastAsia"/>
                          <w:sz w:val="18"/>
                        </w:rPr>
                      </w:pPr>
                      <w:r w:rsidRPr="00974F78">
                        <w:rPr>
                          <w:rFonts w:hint="eastAsia"/>
                          <w:b/>
                          <w:bCs/>
                          <w:sz w:val="18"/>
                        </w:rPr>
                        <w:t>系统风险补偿或风险溢价</w:t>
                      </w:r>
                    </w:p>
                  </w:txbxContent>
                </v:textbox>
              </v:shape>
            </w:pict>
          </mc:Fallback>
        </mc:AlternateContent>
      </w:r>
    </w:p>
    <w:p w:rsidR="00974F78" w:rsidRDefault="00974F78" w:rsidP="00974F78">
      <w:pPr>
        <w:rPr>
          <w:b/>
          <w:bCs/>
          <w:sz w:val="20"/>
        </w:rPr>
      </w:pPr>
    </w:p>
    <w:p w:rsidR="00974F78" w:rsidRDefault="00974F78" w:rsidP="00974F78">
      <w:pPr>
        <w:rPr>
          <w:b/>
          <w:bCs/>
          <w:sz w:val="20"/>
        </w:rPr>
      </w:pPr>
    </w:p>
    <w:p w:rsidR="00974F78" w:rsidRPr="00974F78" w:rsidRDefault="00974F78" w:rsidP="00974F78">
      <w:pPr>
        <w:rPr>
          <w:sz w:val="20"/>
        </w:rPr>
      </w:pPr>
      <w:r w:rsidRPr="00974F78">
        <w:rPr>
          <w:rFonts w:hint="eastAsia"/>
          <w:sz w:val="20"/>
        </w:rPr>
        <w:lastRenderedPageBreak/>
        <w:t>1.基础性金融工具(或原生工具)</w:t>
      </w:r>
    </w:p>
    <w:p w:rsidR="00000000" w:rsidRPr="00974F78" w:rsidRDefault="003B2B5C" w:rsidP="00974F78">
      <w:pPr>
        <w:tabs>
          <w:tab w:val="num" w:pos="1440"/>
        </w:tabs>
        <w:rPr>
          <w:sz w:val="20"/>
        </w:rPr>
      </w:pPr>
      <w:r w:rsidRPr="00974F78">
        <w:rPr>
          <w:rFonts w:hint="eastAsia"/>
          <w:sz w:val="20"/>
        </w:rPr>
        <w:t>固定收益证券</w:t>
      </w:r>
      <w:r w:rsidRPr="00974F78">
        <w:rPr>
          <w:rFonts w:hint="eastAsia"/>
          <w:sz w:val="20"/>
        </w:rPr>
        <w:t>(</w:t>
      </w:r>
      <w:r w:rsidRPr="00974F78">
        <w:rPr>
          <w:rFonts w:hint="eastAsia"/>
          <w:sz w:val="20"/>
        </w:rPr>
        <w:t>债券、票据等</w:t>
      </w:r>
      <w:r w:rsidRPr="00974F78">
        <w:rPr>
          <w:rFonts w:hint="eastAsia"/>
          <w:sz w:val="20"/>
        </w:rPr>
        <w:t>)</w:t>
      </w:r>
      <w:r w:rsidR="00974F78">
        <w:rPr>
          <w:rFonts w:hint="eastAsia"/>
          <w:sz w:val="20"/>
        </w:rPr>
        <w:t>和</w:t>
      </w:r>
      <w:r w:rsidRPr="00974F78">
        <w:rPr>
          <w:rFonts w:hint="eastAsia"/>
          <w:sz w:val="20"/>
        </w:rPr>
        <w:t>股票</w:t>
      </w:r>
    </w:p>
    <w:p w:rsidR="00974F78" w:rsidRPr="00974F78" w:rsidRDefault="00974F78" w:rsidP="00974F78">
      <w:pPr>
        <w:rPr>
          <w:sz w:val="20"/>
        </w:rPr>
      </w:pPr>
      <w:r w:rsidRPr="00974F78">
        <w:rPr>
          <w:rFonts w:hint="eastAsia"/>
          <w:sz w:val="20"/>
        </w:rPr>
        <w:t>2.金融衍生产品</w:t>
      </w:r>
    </w:p>
    <w:p w:rsidR="00000000" w:rsidRPr="00974F78" w:rsidRDefault="003B2B5C" w:rsidP="00974F78">
      <w:pPr>
        <w:tabs>
          <w:tab w:val="num" w:pos="1440"/>
        </w:tabs>
        <w:rPr>
          <w:sz w:val="20"/>
        </w:rPr>
      </w:pPr>
      <w:r w:rsidRPr="00974F78">
        <w:rPr>
          <w:rFonts w:hint="eastAsia"/>
          <w:sz w:val="20"/>
        </w:rPr>
        <w:t>远期</w:t>
      </w:r>
      <w:r w:rsidRPr="00974F78">
        <w:rPr>
          <w:rFonts w:hint="eastAsia"/>
          <w:sz w:val="20"/>
        </w:rPr>
        <w:t>:</w:t>
      </w:r>
      <w:r w:rsidRPr="00974F78">
        <w:rPr>
          <w:rFonts w:hint="eastAsia"/>
          <w:sz w:val="20"/>
        </w:rPr>
        <w:t>合约非标准化</w:t>
      </w:r>
      <w:r w:rsidRPr="00974F78">
        <w:rPr>
          <w:rFonts w:hint="eastAsia"/>
          <w:sz w:val="20"/>
        </w:rPr>
        <w:t>,</w:t>
      </w:r>
      <w:r w:rsidRPr="00974F78">
        <w:rPr>
          <w:rFonts w:hint="eastAsia"/>
          <w:sz w:val="20"/>
        </w:rPr>
        <w:t>不能在交易所交易</w:t>
      </w:r>
    </w:p>
    <w:p w:rsidR="00000000" w:rsidRPr="00974F78" w:rsidRDefault="003B2B5C" w:rsidP="00974F78">
      <w:pPr>
        <w:tabs>
          <w:tab w:val="num" w:pos="1440"/>
        </w:tabs>
        <w:rPr>
          <w:sz w:val="20"/>
        </w:rPr>
      </w:pPr>
      <w:r w:rsidRPr="00974F78">
        <w:rPr>
          <w:rFonts w:hint="eastAsia"/>
          <w:sz w:val="20"/>
        </w:rPr>
        <w:t>期货</w:t>
      </w:r>
      <w:r w:rsidRPr="00974F78">
        <w:rPr>
          <w:rFonts w:hint="eastAsia"/>
          <w:sz w:val="20"/>
        </w:rPr>
        <w:t>:</w:t>
      </w:r>
      <w:r w:rsidRPr="00974F78">
        <w:rPr>
          <w:rFonts w:hint="eastAsia"/>
          <w:sz w:val="20"/>
        </w:rPr>
        <w:t>合约标准化</w:t>
      </w:r>
      <w:r w:rsidRPr="00974F78">
        <w:rPr>
          <w:rFonts w:hint="eastAsia"/>
          <w:sz w:val="20"/>
        </w:rPr>
        <w:t>,</w:t>
      </w:r>
      <w:r w:rsidRPr="00974F78">
        <w:rPr>
          <w:rFonts w:hint="eastAsia"/>
          <w:sz w:val="20"/>
        </w:rPr>
        <w:t>能够在交易所交易</w:t>
      </w:r>
    </w:p>
    <w:p w:rsidR="00000000" w:rsidRPr="00974F78" w:rsidRDefault="003B2B5C" w:rsidP="00974F78">
      <w:pPr>
        <w:tabs>
          <w:tab w:val="num" w:pos="1440"/>
        </w:tabs>
        <w:rPr>
          <w:sz w:val="20"/>
        </w:rPr>
      </w:pPr>
      <w:r w:rsidRPr="00974F78">
        <w:rPr>
          <w:rFonts w:hint="eastAsia"/>
          <w:sz w:val="20"/>
        </w:rPr>
        <w:t>期权</w:t>
      </w:r>
      <w:r w:rsidRPr="00974F78">
        <w:rPr>
          <w:rFonts w:hint="eastAsia"/>
          <w:sz w:val="20"/>
        </w:rPr>
        <w:t>:</w:t>
      </w:r>
      <w:r w:rsidRPr="00974F78">
        <w:rPr>
          <w:rFonts w:hint="eastAsia"/>
          <w:sz w:val="20"/>
        </w:rPr>
        <w:t>可在场外交易</w:t>
      </w:r>
      <w:r w:rsidRPr="00974F78">
        <w:rPr>
          <w:rFonts w:hint="eastAsia"/>
          <w:sz w:val="20"/>
        </w:rPr>
        <w:t>,</w:t>
      </w:r>
      <w:r w:rsidRPr="00974F78">
        <w:rPr>
          <w:rFonts w:hint="eastAsia"/>
          <w:sz w:val="20"/>
        </w:rPr>
        <w:t>也可在交易所交易</w:t>
      </w:r>
    </w:p>
    <w:p w:rsidR="00000000" w:rsidRPr="00974F78" w:rsidRDefault="003B2B5C" w:rsidP="00974F78">
      <w:pPr>
        <w:tabs>
          <w:tab w:val="num" w:pos="1440"/>
        </w:tabs>
        <w:rPr>
          <w:sz w:val="20"/>
        </w:rPr>
      </w:pPr>
      <w:r w:rsidRPr="00974F78">
        <w:rPr>
          <w:rFonts w:hint="eastAsia"/>
          <w:sz w:val="20"/>
        </w:rPr>
        <w:t>互换</w:t>
      </w:r>
      <w:r w:rsidRPr="00974F78">
        <w:rPr>
          <w:rFonts w:hint="eastAsia"/>
          <w:sz w:val="20"/>
        </w:rPr>
        <w:t>:</w:t>
      </w:r>
      <w:r w:rsidRPr="00974F78">
        <w:rPr>
          <w:rFonts w:hint="eastAsia"/>
          <w:sz w:val="20"/>
        </w:rPr>
        <w:t>一般在场外交易</w:t>
      </w:r>
    </w:p>
    <w:p w:rsidR="00000000" w:rsidRPr="00974F78" w:rsidRDefault="003B2B5C" w:rsidP="00974F78">
      <w:pPr>
        <w:tabs>
          <w:tab w:val="num" w:pos="1440"/>
        </w:tabs>
        <w:rPr>
          <w:b/>
          <w:sz w:val="24"/>
          <w:u w:val="single"/>
        </w:rPr>
      </w:pPr>
      <w:r w:rsidRPr="00974F78">
        <w:rPr>
          <w:rFonts w:hint="eastAsia"/>
          <w:b/>
          <w:sz w:val="24"/>
          <w:u w:val="single"/>
        </w:rPr>
        <w:t>套利</w:t>
      </w:r>
    </w:p>
    <w:p w:rsidR="00974F78" w:rsidRPr="00974F78" w:rsidRDefault="003B2B5C" w:rsidP="00974F78">
      <w:pPr>
        <w:tabs>
          <w:tab w:val="num" w:pos="1440"/>
        </w:tabs>
        <w:rPr>
          <w:sz w:val="20"/>
        </w:rPr>
      </w:pPr>
      <w:r w:rsidRPr="00974F78">
        <w:rPr>
          <w:rFonts w:hint="eastAsia"/>
          <w:sz w:val="20"/>
        </w:rPr>
        <w:t>指一个能产生无风险盈利的交易策略。</w:t>
      </w:r>
      <w:r w:rsidRPr="00974F78">
        <w:rPr>
          <w:rFonts w:hint="eastAsia"/>
          <w:sz w:val="20"/>
        </w:rPr>
        <w:t>这种套利是指纯粹的无风险套利。</w:t>
      </w:r>
      <w:r w:rsidRPr="00974F78">
        <w:rPr>
          <w:rFonts w:hint="eastAsia"/>
          <w:sz w:val="20"/>
        </w:rPr>
        <w:t>但在实际市场中，套利一般指的是一个预期能</w:t>
      </w:r>
      <w:r w:rsidR="00974F78" w:rsidRPr="00974F78">
        <w:rPr>
          <w:rFonts w:hint="eastAsia"/>
          <w:sz w:val="20"/>
        </w:rPr>
        <w:t>产生无风险盈利的策略，可能会承担一定的低风险。</w:t>
      </w:r>
    </w:p>
    <w:p w:rsidR="00AC40A6" w:rsidRDefault="00AC40A6" w:rsidP="006E37F5">
      <w:pPr>
        <w:rPr>
          <w:b/>
          <w:sz w:val="20"/>
        </w:rPr>
      </w:pPr>
    </w:p>
    <w:p w:rsidR="00000000" w:rsidRPr="005E2106" w:rsidRDefault="003B2B5C" w:rsidP="005E2106">
      <w:pPr>
        <w:tabs>
          <w:tab w:val="num" w:pos="1440"/>
        </w:tabs>
        <w:rPr>
          <w:b/>
          <w:sz w:val="20"/>
          <w:u w:val="single"/>
        </w:rPr>
      </w:pPr>
      <w:r w:rsidRPr="005E2106">
        <w:rPr>
          <w:rFonts w:hint="eastAsia"/>
          <w:b/>
          <w:sz w:val="20"/>
          <w:u w:val="single"/>
        </w:rPr>
        <w:t>“</w:t>
      </w:r>
      <w:r w:rsidRPr="005E2106">
        <w:rPr>
          <w:rFonts w:hint="eastAsia"/>
          <w:b/>
          <w:sz w:val="20"/>
          <w:u w:val="single"/>
        </w:rPr>
        <w:t>无套利定价</w:t>
      </w:r>
      <w:r w:rsidRPr="005E2106">
        <w:rPr>
          <w:rFonts w:hint="eastAsia"/>
          <w:b/>
          <w:sz w:val="20"/>
          <w:u w:val="single"/>
        </w:rPr>
        <w:t>”</w:t>
      </w:r>
      <w:r w:rsidRPr="005E2106">
        <w:rPr>
          <w:rFonts w:hint="eastAsia"/>
          <w:b/>
          <w:sz w:val="20"/>
          <w:u w:val="single"/>
        </w:rPr>
        <w:t>原理</w:t>
      </w:r>
      <w:r w:rsidRPr="005E2106">
        <w:rPr>
          <w:rFonts w:hint="eastAsia"/>
          <w:b/>
          <w:sz w:val="20"/>
          <w:u w:val="single"/>
        </w:rPr>
        <w:t xml:space="preserve"> </w:t>
      </w:r>
    </w:p>
    <w:p w:rsidR="00000000" w:rsidRPr="005E2106" w:rsidRDefault="003B2B5C" w:rsidP="005E2106">
      <w:pPr>
        <w:tabs>
          <w:tab w:val="num" w:pos="1440"/>
        </w:tabs>
        <w:rPr>
          <w:b/>
          <w:sz w:val="20"/>
          <w:u w:val="single"/>
        </w:rPr>
      </w:pPr>
      <w:r w:rsidRPr="005E2106">
        <w:rPr>
          <w:rFonts w:hint="eastAsia"/>
          <w:b/>
          <w:sz w:val="20"/>
          <w:u w:val="single"/>
        </w:rPr>
        <w:t>金融产品在市场的合理价格是这个价格使得市场不存在套利机会</w:t>
      </w:r>
    </w:p>
    <w:p w:rsidR="00AC40A6" w:rsidRPr="003B2B5C" w:rsidRDefault="00934E17" w:rsidP="006E37F5">
      <w:pPr>
        <w:rPr>
          <w:b/>
          <w:bCs/>
          <w:sz w:val="20"/>
          <w:u w:val="single"/>
        </w:rPr>
      </w:pPr>
      <w:r w:rsidRPr="003B2B5C">
        <w:rPr>
          <w:rFonts w:hint="eastAsia"/>
          <w:b/>
          <w:bCs/>
          <w:sz w:val="20"/>
          <w:u w:val="single"/>
        </w:rPr>
        <w:t>套利机会的三个等价条件</w:t>
      </w:r>
    </w:p>
    <w:p w:rsidR="00934E17" w:rsidRPr="00934E17" w:rsidRDefault="00934E17" w:rsidP="00934E17">
      <w:pPr>
        <w:tabs>
          <w:tab w:val="num" w:pos="1440"/>
        </w:tabs>
        <w:rPr>
          <w:sz w:val="20"/>
        </w:rPr>
      </w:pPr>
      <w:r w:rsidRPr="00934E17">
        <w:rPr>
          <w:rFonts w:hint="eastAsia"/>
          <w:sz w:val="20"/>
        </w:rPr>
        <w:t>（1）存在两个不同的资产组合，它们的未来损益（payoff）相同，但它们的成本却不同；</w:t>
      </w:r>
    </w:p>
    <w:p w:rsidR="00000000" w:rsidRPr="00934E17" w:rsidRDefault="003B2B5C" w:rsidP="00934E17">
      <w:pPr>
        <w:tabs>
          <w:tab w:val="num" w:pos="1440"/>
        </w:tabs>
        <w:ind w:firstLineChars="300" w:firstLine="600"/>
        <w:rPr>
          <w:sz w:val="20"/>
        </w:rPr>
      </w:pPr>
      <w:r w:rsidRPr="00934E17">
        <w:rPr>
          <w:rFonts w:hint="eastAsia"/>
          <w:sz w:val="20"/>
        </w:rPr>
        <w:t>损益：现金流</w:t>
      </w:r>
    </w:p>
    <w:p w:rsidR="00000000" w:rsidRPr="00934E17" w:rsidRDefault="003B2B5C" w:rsidP="00934E17">
      <w:pPr>
        <w:tabs>
          <w:tab w:val="num" w:pos="1440"/>
        </w:tabs>
        <w:ind w:firstLineChars="300" w:firstLine="600"/>
        <w:rPr>
          <w:sz w:val="20"/>
        </w:rPr>
      </w:pPr>
      <w:r w:rsidRPr="00934E17">
        <w:rPr>
          <w:rFonts w:hint="eastAsia"/>
          <w:sz w:val="20"/>
        </w:rPr>
        <w:t>不确定状态下现金流－－每一种状态对应的现金流</w:t>
      </w:r>
    </w:p>
    <w:p w:rsidR="00934E17" w:rsidRPr="00934E17" w:rsidRDefault="00934E17" w:rsidP="00934E17">
      <w:pPr>
        <w:tabs>
          <w:tab w:val="num" w:pos="1440"/>
        </w:tabs>
        <w:rPr>
          <w:sz w:val="20"/>
        </w:rPr>
      </w:pPr>
      <w:r w:rsidRPr="00934E17">
        <w:rPr>
          <w:rFonts w:hint="eastAsia"/>
          <w:sz w:val="20"/>
        </w:rPr>
        <w:t>（2）存在两个相同成本的资产组合，但是第一个组合在所有的可能状态下的损益都不低于第二个组合，而且至少存在一种状态，在此状态下第一个组合的损益要大于第二个组合的支付。</w:t>
      </w:r>
    </w:p>
    <w:p w:rsidR="00934E17" w:rsidRDefault="00934E17" w:rsidP="00934E17">
      <w:pPr>
        <w:tabs>
          <w:tab w:val="num" w:pos="1440"/>
        </w:tabs>
        <w:rPr>
          <w:sz w:val="20"/>
        </w:rPr>
      </w:pPr>
      <w:r w:rsidRPr="00934E17">
        <w:rPr>
          <w:rFonts w:hint="eastAsia"/>
          <w:sz w:val="20"/>
        </w:rPr>
        <w:t>（3）一个组合其构建的成本为零，但在所有可能状态下，这个组合的损益都不小于零，而且至少存在一种状态，在此状态下这个组合的损益要大于零。</w:t>
      </w:r>
    </w:p>
    <w:p w:rsidR="003B2B5C" w:rsidRPr="003B2B5C" w:rsidRDefault="003B2B5C" w:rsidP="00934E17">
      <w:pPr>
        <w:tabs>
          <w:tab w:val="num" w:pos="1440"/>
        </w:tabs>
        <w:rPr>
          <w:rFonts w:hint="eastAsia"/>
          <w:sz w:val="20"/>
          <w:u w:val="single"/>
        </w:rPr>
      </w:pPr>
      <w:r w:rsidRPr="003B2B5C">
        <w:rPr>
          <w:rFonts w:hint="eastAsia"/>
          <w:b/>
          <w:bCs/>
          <w:sz w:val="20"/>
          <w:u w:val="single"/>
        </w:rPr>
        <w:t>无套利定价原理的具体内容</w:t>
      </w:r>
    </w:p>
    <w:p w:rsidR="003B2B5C" w:rsidRPr="003B2B5C" w:rsidRDefault="003B2B5C" w:rsidP="003B2B5C">
      <w:pPr>
        <w:tabs>
          <w:tab w:val="num" w:pos="1440"/>
        </w:tabs>
        <w:rPr>
          <w:sz w:val="20"/>
        </w:rPr>
      </w:pPr>
      <w:r w:rsidRPr="003B2B5C">
        <w:rPr>
          <w:rFonts w:hint="eastAsia"/>
          <w:sz w:val="20"/>
        </w:rPr>
        <w:t>（1）同损益同价格</w:t>
      </w:r>
    </w:p>
    <w:p w:rsidR="00000000" w:rsidRPr="003B2B5C" w:rsidRDefault="003B2B5C" w:rsidP="003B2B5C">
      <w:pPr>
        <w:tabs>
          <w:tab w:val="num" w:pos="1440"/>
        </w:tabs>
        <w:ind w:firstLineChars="200" w:firstLine="400"/>
        <w:rPr>
          <w:sz w:val="20"/>
        </w:rPr>
      </w:pPr>
      <w:r w:rsidRPr="003B2B5C">
        <w:rPr>
          <w:rFonts w:hint="eastAsia"/>
          <w:sz w:val="20"/>
        </w:rPr>
        <w:t>如果两种证券具有相同的损益，则这两种证券</w:t>
      </w:r>
      <w:r w:rsidRPr="003B2B5C">
        <w:rPr>
          <w:rFonts w:hint="eastAsia"/>
          <w:sz w:val="20"/>
        </w:rPr>
        <w:t>应当</w:t>
      </w:r>
      <w:r w:rsidRPr="003B2B5C">
        <w:rPr>
          <w:rFonts w:hint="eastAsia"/>
          <w:sz w:val="20"/>
        </w:rPr>
        <w:t>具有相同的价格。</w:t>
      </w:r>
    </w:p>
    <w:p w:rsidR="003B2B5C" w:rsidRPr="003B2B5C" w:rsidRDefault="003B2B5C" w:rsidP="003B2B5C">
      <w:pPr>
        <w:tabs>
          <w:tab w:val="num" w:pos="1440"/>
        </w:tabs>
        <w:rPr>
          <w:sz w:val="20"/>
        </w:rPr>
      </w:pPr>
      <w:r w:rsidRPr="003B2B5C">
        <w:rPr>
          <w:rFonts w:hint="eastAsia"/>
          <w:sz w:val="20"/>
        </w:rPr>
        <w:t>（2）静态组合复制定价：</w:t>
      </w:r>
    </w:p>
    <w:p w:rsidR="00000000" w:rsidRDefault="003B2B5C" w:rsidP="003B2B5C">
      <w:pPr>
        <w:tabs>
          <w:tab w:val="num" w:pos="1440"/>
        </w:tabs>
        <w:ind w:firstLineChars="200" w:firstLine="400"/>
        <w:rPr>
          <w:sz w:val="20"/>
        </w:rPr>
      </w:pPr>
      <w:r w:rsidRPr="003B2B5C">
        <w:rPr>
          <w:rFonts w:hint="eastAsia"/>
          <w:sz w:val="20"/>
        </w:rPr>
        <w:t>如果一个资产组合的损益等同于一个证券，那么这个资产组合的价格等于证券的价格。这个资产组合称为证券的“复制组合”（</w:t>
      </w:r>
      <w:r w:rsidRPr="003B2B5C">
        <w:rPr>
          <w:rFonts w:hint="eastAsia"/>
          <w:sz w:val="20"/>
        </w:rPr>
        <w:t>replicating p</w:t>
      </w:r>
      <w:r w:rsidRPr="003B2B5C">
        <w:rPr>
          <w:rFonts w:hint="eastAsia"/>
          <w:sz w:val="20"/>
        </w:rPr>
        <w:t>ortfolio</w:t>
      </w:r>
      <w:r w:rsidRPr="003B2B5C">
        <w:rPr>
          <w:rFonts w:hint="eastAsia"/>
          <w:sz w:val="20"/>
        </w:rPr>
        <w:t>）。</w:t>
      </w:r>
      <w:r w:rsidRPr="003B2B5C">
        <w:rPr>
          <w:rFonts w:hint="eastAsia"/>
          <w:sz w:val="20"/>
        </w:rPr>
        <w:t xml:space="preserve"> </w:t>
      </w:r>
    </w:p>
    <w:p w:rsidR="003B2B5C" w:rsidRPr="003B2B5C" w:rsidRDefault="003B2B5C" w:rsidP="003B2B5C">
      <w:pPr>
        <w:tabs>
          <w:tab w:val="num" w:pos="1440"/>
        </w:tabs>
        <w:rPr>
          <w:sz w:val="20"/>
        </w:rPr>
      </w:pPr>
      <w:r w:rsidRPr="003B2B5C">
        <w:rPr>
          <w:rFonts w:hint="eastAsia"/>
          <w:sz w:val="20"/>
        </w:rPr>
        <w:t>（3）动态组合复制定价：</w:t>
      </w:r>
    </w:p>
    <w:p w:rsidR="003B2B5C" w:rsidRPr="003B2B5C" w:rsidRDefault="003B2B5C" w:rsidP="003B2B5C">
      <w:pPr>
        <w:tabs>
          <w:tab w:val="num" w:pos="1440"/>
        </w:tabs>
        <w:ind w:firstLineChars="200" w:firstLine="400"/>
        <w:rPr>
          <w:sz w:val="20"/>
        </w:rPr>
      </w:pPr>
      <w:r w:rsidRPr="003B2B5C">
        <w:rPr>
          <w:rFonts w:hint="eastAsia"/>
          <w:sz w:val="20"/>
        </w:rPr>
        <w:t>如果一个自融资</w:t>
      </w:r>
      <w:r w:rsidRPr="003B2B5C">
        <w:rPr>
          <w:rFonts w:hint="eastAsia"/>
          <w:sz w:val="20"/>
        </w:rPr>
        <w:t>（</w:t>
      </w:r>
      <w:r w:rsidRPr="003B2B5C">
        <w:rPr>
          <w:sz w:val="20"/>
        </w:rPr>
        <w:t>self-financing</w:t>
      </w:r>
      <w:r w:rsidRPr="003B2B5C">
        <w:rPr>
          <w:rFonts w:hint="eastAsia"/>
          <w:sz w:val="20"/>
        </w:rPr>
        <w:t>）交易策略最后具有和一个证券相同的损益，那么这个证券的价格等于自融资交易策略的成本。这称为动态套期保值策略</w:t>
      </w:r>
      <w:r>
        <w:rPr>
          <w:rFonts w:hint="eastAsia"/>
          <w:sz w:val="20"/>
        </w:rPr>
        <w:t>.</w:t>
      </w:r>
      <w:bookmarkStart w:id="0" w:name="_GoBack"/>
      <w:bookmarkEnd w:id="0"/>
    </w:p>
    <w:p w:rsidR="00934E17" w:rsidRPr="00934E17" w:rsidRDefault="00934E17" w:rsidP="006E37F5">
      <w:pPr>
        <w:rPr>
          <w:rFonts w:hint="eastAsia"/>
          <w:b/>
          <w:sz w:val="20"/>
        </w:rPr>
      </w:pPr>
    </w:p>
    <w:sectPr w:rsidR="00934E17" w:rsidRPr="00934E17" w:rsidSect="006E37F5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F27"/>
    <w:multiLevelType w:val="hybridMultilevel"/>
    <w:tmpl w:val="45AE6FAE"/>
    <w:lvl w:ilvl="0" w:tplc="FCC4B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A3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6F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2D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E2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AB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C5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C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A7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A04E1"/>
    <w:multiLevelType w:val="hybridMultilevel"/>
    <w:tmpl w:val="D4AAF6CC"/>
    <w:lvl w:ilvl="0" w:tplc="7E7A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21C26">
      <w:start w:val="-189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C1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6E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A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8A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A2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0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4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DD5AF7"/>
    <w:multiLevelType w:val="hybridMultilevel"/>
    <w:tmpl w:val="DE7E1788"/>
    <w:lvl w:ilvl="0" w:tplc="1D5A7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AF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E5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43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40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6B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E8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65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69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870F18"/>
    <w:multiLevelType w:val="hybridMultilevel"/>
    <w:tmpl w:val="6FF45174"/>
    <w:lvl w:ilvl="0" w:tplc="500E8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26C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0E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67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2E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0C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EF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44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3E330A"/>
    <w:multiLevelType w:val="hybridMultilevel"/>
    <w:tmpl w:val="63369888"/>
    <w:lvl w:ilvl="0" w:tplc="3E663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E09B0">
      <w:start w:val="-189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0E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88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05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5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8B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06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EF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C012A2"/>
    <w:multiLevelType w:val="hybridMultilevel"/>
    <w:tmpl w:val="FEFE241E"/>
    <w:lvl w:ilvl="0" w:tplc="0ABA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6A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82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C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0D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80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6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64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00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B647BB"/>
    <w:multiLevelType w:val="hybridMultilevel"/>
    <w:tmpl w:val="1BF6EAF2"/>
    <w:lvl w:ilvl="0" w:tplc="CF3CE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A0C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62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63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507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6E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49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E7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AB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F86E7A"/>
    <w:multiLevelType w:val="hybridMultilevel"/>
    <w:tmpl w:val="F67C7FF6"/>
    <w:lvl w:ilvl="0" w:tplc="7DC6A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0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A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E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2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84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C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02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F3"/>
    <w:rsid w:val="000E28F3"/>
    <w:rsid w:val="001234EA"/>
    <w:rsid w:val="001F396F"/>
    <w:rsid w:val="003B2B5C"/>
    <w:rsid w:val="005E2106"/>
    <w:rsid w:val="006E37F5"/>
    <w:rsid w:val="00747E74"/>
    <w:rsid w:val="00934E17"/>
    <w:rsid w:val="00974F78"/>
    <w:rsid w:val="00996FC3"/>
    <w:rsid w:val="00AC40A6"/>
    <w:rsid w:val="00D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6AD9"/>
  <w15:chartTrackingRefBased/>
  <w15:docId w15:val="{56EB6B81-5D6E-48C7-B143-4986A7A8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34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5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4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49F7-6CC0-40A4-A9B8-42E75A07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 he</dc:creator>
  <cp:keywords/>
  <dc:description/>
  <cp:lastModifiedBy>linwei he</cp:lastModifiedBy>
  <cp:revision>6</cp:revision>
  <dcterms:created xsi:type="dcterms:W3CDTF">2018-12-23T08:16:00Z</dcterms:created>
  <dcterms:modified xsi:type="dcterms:W3CDTF">2018-12-23T09:25:00Z</dcterms:modified>
</cp:coreProperties>
</file>