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49" w:rsidRDefault="00FF4F49">
      <w:pPr>
        <w:rPr>
          <w:rFonts w:hint="eastAsia"/>
          <w:noProof/>
        </w:rPr>
      </w:pPr>
      <w:r w:rsidRPr="00FF4F49">
        <w:t xml:space="preserve">N개의 점 중 임의의 </w:t>
      </w:r>
      <w:proofErr w:type="spellStart"/>
      <w:r w:rsidRPr="00FF4F49">
        <w:t>두개를</w:t>
      </w:r>
      <w:proofErr w:type="spellEnd"/>
      <w:r w:rsidRPr="00FF4F49">
        <w:t xml:space="preserve"> M개의 실로 연결할 때 실로 연결된 단추들 중 최대의 크기를 갖는 단추의 개수를</w:t>
      </w:r>
      <w:r>
        <w:rPr>
          <w:rFonts w:hint="eastAsia"/>
        </w:rPr>
        <w:t xml:space="preserve"> MAX_NUMBER_OF_BUTTON 이라고 하자.</w:t>
      </w:r>
    </w:p>
    <w:p w:rsidR="00FF4F49" w:rsidRDefault="00FF4F49">
      <w:pPr>
        <w:rPr>
          <w:rFonts w:hint="eastAsia"/>
          <w:noProof/>
        </w:rPr>
      </w:pPr>
      <w:r>
        <w:rPr>
          <w:rFonts w:hint="eastAsia"/>
          <w:noProof/>
        </w:rPr>
        <w:t>아래는 N = 300에 대해서 M을 변화시켜(5 &lt;= M &lt;= 500) MAX_NUMBER_OF_BUTTON을 100회 계산하고 이의 평균을 그래프로 그린 것이다 (X축은 M, Y축은 N).</w:t>
      </w:r>
    </w:p>
    <w:p w:rsidR="00BD71D3" w:rsidRDefault="00FF4F49">
      <w:pPr>
        <w:rPr>
          <w:rFonts w:hint="eastAsia"/>
        </w:rPr>
      </w:pPr>
      <w:r>
        <w:rPr>
          <w:noProof/>
        </w:rPr>
        <w:drawing>
          <wp:inline distT="0" distB="0" distL="0" distR="0" wp14:anchorId="7C8C0E61" wp14:editId="30F6FE9B">
            <wp:extent cx="5734050" cy="3257550"/>
            <wp:effectExtent l="0" t="0" r="19050" b="1905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FF4F49" w:rsidRDefault="00FF4F49">
      <w:pPr>
        <w:rPr>
          <w:rFonts w:hint="eastAsia"/>
        </w:rPr>
      </w:pPr>
      <w:r>
        <w:rPr>
          <w:rFonts w:hint="eastAsia"/>
        </w:rPr>
        <w:t>이는 상전이</w:t>
      </w:r>
      <w:r>
        <w:rPr>
          <w:rStyle w:val="a5"/>
        </w:rPr>
        <w:footnoteReference w:id="1"/>
      </w:r>
      <w:r>
        <w:rPr>
          <w:rFonts w:hint="eastAsia"/>
        </w:rPr>
        <w:t>(phase transition)을 시뮬레이션 한 것으로 그래프를 살펴보면 N/M이 약 2일 때부터 급격한 변화가 있음을 확인할 수 있다.</w:t>
      </w:r>
    </w:p>
    <w:p w:rsidR="00EB565A" w:rsidRDefault="00EB565A">
      <w:r>
        <w:rPr>
          <w:rFonts w:hint="eastAsia"/>
        </w:rPr>
        <w:t>이 시뮬레이션을 프로그램으로 구현하라. 단, 그래프는 프로그램 외부(예를 들어 Excel 등)에서 작성하여도 무관하다.</w:t>
      </w:r>
    </w:p>
    <w:sectPr w:rsidR="00EB5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E6D" w:rsidRDefault="00A17E6D" w:rsidP="00FF4F49">
      <w:pPr>
        <w:spacing w:after="0" w:line="240" w:lineRule="auto"/>
      </w:pPr>
      <w:r>
        <w:separator/>
      </w:r>
    </w:p>
  </w:endnote>
  <w:endnote w:type="continuationSeparator" w:id="0">
    <w:p w:rsidR="00A17E6D" w:rsidRDefault="00A17E6D" w:rsidP="00FF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E6D" w:rsidRDefault="00A17E6D" w:rsidP="00FF4F49">
      <w:pPr>
        <w:spacing w:after="0" w:line="240" w:lineRule="auto"/>
      </w:pPr>
      <w:r>
        <w:separator/>
      </w:r>
    </w:p>
  </w:footnote>
  <w:footnote w:type="continuationSeparator" w:id="0">
    <w:p w:rsidR="00A17E6D" w:rsidRDefault="00A17E6D" w:rsidP="00FF4F49">
      <w:pPr>
        <w:spacing w:after="0" w:line="240" w:lineRule="auto"/>
      </w:pPr>
      <w:r>
        <w:continuationSeparator/>
      </w:r>
    </w:p>
  </w:footnote>
  <w:footnote w:id="1">
    <w:p w:rsidR="00FF4F49" w:rsidRPr="00FF4F49" w:rsidRDefault="00FF4F49" w:rsidP="00FF4F49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FF4F49">
        <w:rPr>
          <w:rFonts w:hint="eastAsia"/>
        </w:rPr>
        <w:t>열역학</w:t>
      </w:r>
      <w:r w:rsidRPr="00FF4F49">
        <w:t xml:space="preserve"> 또는 통계물리에서 상전이(phase transition)</w:t>
      </w:r>
      <w:r>
        <w:rPr>
          <w:rFonts w:hint="eastAsia"/>
        </w:rPr>
        <w:t>는</w:t>
      </w:r>
      <w:r w:rsidRPr="00FF4F49">
        <w:t xml:space="preserve"> 열역학적인 방법으로 한 상에서 다른 상으로 바뀌는 것을 뜻한다. 열역학적인 변수(온도 등)를 바꾸어주면 상이 바뀌며, 이때 보통 어떤 물리적 성질(예를 들면 점성, 비열 등)이 급격하게 바뀐다. 상전이라는 개념은 주로 물리학에서 나온 것이지만, </w:t>
      </w:r>
      <w:proofErr w:type="spellStart"/>
      <w:r w:rsidRPr="00FF4F49">
        <w:t>복잡계를</w:t>
      </w:r>
      <w:proofErr w:type="spellEnd"/>
      <w:r w:rsidRPr="00FF4F49">
        <w:t xml:space="preserve"> 설명할 때에도 사용된다. 즉, 물리학적인 계뿐</w:t>
      </w:r>
      <w:r w:rsidRPr="00FF4F49">
        <w:rPr>
          <w:rFonts w:hint="eastAsia"/>
        </w:rPr>
        <w:t>만이</w:t>
      </w:r>
      <w:r w:rsidRPr="00FF4F49">
        <w:t xml:space="preserve"> 아니라 생물학적, 사회학적인 계에서도 상전이라는 개념을 사용한다.</w:t>
      </w:r>
      <w:r>
        <w:rPr>
          <w:rFonts w:hint="eastAsia"/>
        </w:rPr>
        <w:t xml:space="preserve"> </w:t>
      </w:r>
      <w:r>
        <w:rPr>
          <w:rFonts w:hint="eastAsia"/>
        </w:rPr>
        <w:t>상전이의</w:t>
      </w:r>
      <w:r>
        <w:t xml:space="preserve"> 예</w:t>
      </w:r>
      <w:r>
        <w:rPr>
          <w:rFonts w:hint="eastAsia"/>
        </w:rPr>
        <w:t xml:space="preserve">로는 </w:t>
      </w:r>
      <w:r>
        <w:rPr>
          <w:rFonts w:hint="eastAsia"/>
        </w:rPr>
        <w:t>물과</w:t>
      </w:r>
      <w:r>
        <w:t xml:space="preserve"> 관련된 상으로 물, 얼음, 수증기가 있다. 열을 가하거나 압력을 가해주면 이들이 서로 바뀐다.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49"/>
    <w:rsid w:val="004C4E31"/>
    <w:rsid w:val="008F25E3"/>
    <w:rsid w:val="00A17E6D"/>
    <w:rsid w:val="00A335F6"/>
    <w:rsid w:val="00BD25BC"/>
    <w:rsid w:val="00BD71D3"/>
    <w:rsid w:val="00EB565A"/>
    <w:rsid w:val="00F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4F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4F4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FF4F49"/>
    <w:pPr>
      <w:snapToGrid w:val="0"/>
      <w:jc w:val="left"/>
    </w:pPr>
  </w:style>
  <w:style w:type="character" w:customStyle="1" w:styleId="Char0">
    <w:name w:val="각주 텍스트 Char"/>
    <w:basedOn w:val="a0"/>
    <w:link w:val="a4"/>
    <w:uiPriority w:val="99"/>
    <w:semiHidden/>
    <w:rsid w:val="00FF4F49"/>
  </w:style>
  <w:style w:type="character" w:styleId="a5">
    <w:name w:val="footnote reference"/>
    <w:basedOn w:val="a0"/>
    <w:uiPriority w:val="99"/>
    <w:semiHidden/>
    <w:unhideWhenUsed/>
    <w:rsid w:val="00FF4F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4F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4F4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FF4F49"/>
    <w:pPr>
      <w:snapToGrid w:val="0"/>
      <w:jc w:val="left"/>
    </w:pPr>
  </w:style>
  <w:style w:type="character" w:customStyle="1" w:styleId="Char0">
    <w:name w:val="각주 텍스트 Char"/>
    <w:basedOn w:val="a0"/>
    <w:link w:val="a4"/>
    <w:uiPriority w:val="99"/>
    <w:semiHidden/>
    <w:rsid w:val="00FF4F49"/>
  </w:style>
  <w:style w:type="character" w:styleId="a5">
    <w:name w:val="footnote reference"/>
    <w:basedOn w:val="a0"/>
    <w:uiPriority w:val="99"/>
    <w:semiHidden/>
    <w:unhideWhenUsed/>
    <w:rsid w:val="00FF4F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c\Desktop\phase%20transi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Sheet1!$A$1:$A$100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cat>
          <c:val>
            <c:numRef>
              <c:f>Sheet1!$B$1:$B$100</c:f>
              <c:numCache>
                <c:formatCode>General</c:formatCode>
                <c:ptCount val="100"/>
                <c:pt idx="0">
                  <c:v>2.06</c:v>
                </c:pt>
                <c:pt idx="1">
                  <c:v>2.4900000000000002</c:v>
                </c:pt>
                <c:pt idx="2">
                  <c:v>3.12</c:v>
                </c:pt>
                <c:pt idx="3">
                  <c:v>3.15</c:v>
                </c:pt>
                <c:pt idx="4">
                  <c:v>3.65</c:v>
                </c:pt>
                <c:pt idx="5">
                  <c:v>3.74</c:v>
                </c:pt>
                <c:pt idx="6">
                  <c:v>4.37</c:v>
                </c:pt>
                <c:pt idx="7">
                  <c:v>4.54</c:v>
                </c:pt>
                <c:pt idx="8">
                  <c:v>5.09</c:v>
                </c:pt>
                <c:pt idx="9">
                  <c:v>5.71</c:v>
                </c:pt>
                <c:pt idx="10">
                  <c:v>5.8</c:v>
                </c:pt>
                <c:pt idx="11">
                  <c:v>6.37</c:v>
                </c:pt>
                <c:pt idx="12">
                  <c:v>7.03</c:v>
                </c:pt>
                <c:pt idx="13">
                  <c:v>8.1</c:v>
                </c:pt>
                <c:pt idx="14">
                  <c:v>8.0500000000000007</c:v>
                </c:pt>
                <c:pt idx="15">
                  <c:v>9.67</c:v>
                </c:pt>
                <c:pt idx="16">
                  <c:v>10.27</c:v>
                </c:pt>
                <c:pt idx="17">
                  <c:v>10.82</c:v>
                </c:pt>
                <c:pt idx="18">
                  <c:v>10.37</c:v>
                </c:pt>
                <c:pt idx="19">
                  <c:v>12.98</c:v>
                </c:pt>
                <c:pt idx="20">
                  <c:v>15.82</c:v>
                </c:pt>
                <c:pt idx="21">
                  <c:v>15.04</c:v>
                </c:pt>
                <c:pt idx="22">
                  <c:v>17.43</c:v>
                </c:pt>
                <c:pt idx="23">
                  <c:v>19.45</c:v>
                </c:pt>
                <c:pt idx="24">
                  <c:v>20.190000000000001</c:v>
                </c:pt>
                <c:pt idx="25">
                  <c:v>25.85</c:v>
                </c:pt>
                <c:pt idx="26">
                  <c:v>26.78</c:v>
                </c:pt>
                <c:pt idx="27">
                  <c:v>32.89</c:v>
                </c:pt>
                <c:pt idx="28">
                  <c:v>34.18</c:v>
                </c:pt>
                <c:pt idx="29">
                  <c:v>38.590000000000003</c:v>
                </c:pt>
                <c:pt idx="30">
                  <c:v>47.48</c:v>
                </c:pt>
                <c:pt idx="31">
                  <c:v>51.24</c:v>
                </c:pt>
                <c:pt idx="32">
                  <c:v>57.72</c:v>
                </c:pt>
                <c:pt idx="33">
                  <c:v>62.11</c:v>
                </c:pt>
                <c:pt idx="34">
                  <c:v>69.739999999999995</c:v>
                </c:pt>
                <c:pt idx="35">
                  <c:v>83.66</c:v>
                </c:pt>
                <c:pt idx="36">
                  <c:v>97.33</c:v>
                </c:pt>
                <c:pt idx="37">
                  <c:v>105.01</c:v>
                </c:pt>
                <c:pt idx="38">
                  <c:v>114.43</c:v>
                </c:pt>
                <c:pt idx="39">
                  <c:v>124.56</c:v>
                </c:pt>
                <c:pt idx="40">
                  <c:v>131.29</c:v>
                </c:pt>
                <c:pt idx="41">
                  <c:v>146.88999999999999</c:v>
                </c:pt>
                <c:pt idx="42">
                  <c:v>157.41</c:v>
                </c:pt>
                <c:pt idx="43">
                  <c:v>165.27</c:v>
                </c:pt>
                <c:pt idx="44">
                  <c:v>171.54</c:v>
                </c:pt>
                <c:pt idx="45">
                  <c:v>176.72</c:v>
                </c:pt>
                <c:pt idx="46">
                  <c:v>184.08</c:v>
                </c:pt>
                <c:pt idx="47">
                  <c:v>191.31</c:v>
                </c:pt>
                <c:pt idx="48">
                  <c:v>196.06</c:v>
                </c:pt>
                <c:pt idx="49">
                  <c:v>202.07</c:v>
                </c:pt>
                <c:pt idx="50">
                  <c:v>206.86</c:v>
                </c:pt>
                <c:pt idx="51">
                  <c:v>210.38</c:v>
                </c:pt>
                <c:pt idx="52">
                  <c:v>217.38</c:v>
                </c:pt>
                <c:pt idx="53">
                  <c:v>218.77</c:v>
                </c:pt>
                <c:pt idx="54">
                  <c:v>223.69</c:v>
                </c:pt>
                <c:pt idx="55">
                  <c:v>228.08</c:v>
                </c:pt>
                <c:pt idx="56">
                  <c:v>229.08</c:v>
                </c:pt>
                <c:pt idx="57">
                  <c:v>234.09</c:v>
                </c:pt>
                <c:pt idx="58">
                  <c:v>235.67</c:v>
                </c:pt>
                <c:pt idx="59">
                  <c:v>239.93</c:v>
                </c:pt>
                <c:pt idx="60">
                  <c:v>241.82</c:v>
                </c:pt>
                <c:pt idx="61">
                  <c:v>244.82</c:v>
                </c:pt>
                <c:pt idx="62">
                  <c:v>247.44</c:v>
                </c:pt>
                <c:pt idx="63">
                  <c:v>249.27</c:v>
                </c:pt>
                <c:pt idx="64">
                  <c:v>251.11</c:v>
                </c:pt>
                <c:pt idx="65">
                  <c:v>252.95</c:v>
                </c:pt>
                <c:pt idx="66">
                  <c:v>256.31</c:v>
                </c:pt>
                <c:pt idx="67">
                  <c:v>257.8</c:v>
                </c:pt>
                <c:pt idx="68">
                  <c:v>258.95999999999998</c:v>
                </c:pt>
                <c:pt idx="69">
                  <c:v>260.44</c:v>
                </c:pt>
                <c:pt idx="70">
                  <c:v>261.25</c:v>
                </c:pt>
                <c:pt idx="71">
                  <c:v>263.70999999999998</c:v>
                </c:pt>
                <c:pt idx="72">
                  <c:v>265.49</c:v>
                </c:pt>
                <c:pt idx="73">
                  <c:v>266.48</c:v>
                </c:pt>
                <c:pt idx="74">
                  <c:v>268.17</c:v>
                </c:pt>
                <c:pt idx="75">
                  <c:v>269.45999999999998</c:v>
                </c:pt>
                <c:pt idx="76">
                  <c:v>269.87</c:v>
                </c:pt>
                <c:pt idx="77">
                  <c:v>271.79000000000002</c:v>
                </c:pt>
                <c:pt idx="78">
                  <c:v>274.14999999999998</c:v>
                </c:pt>
                <c:pt idx="79">
                  <c:v>274</c:v>
                </c:pt>
                <c:pt idx="80">
                  <c:v>274.67</c:v>
                </c:pt>
                <c:pt idx="81">
                  <c:v>275.45999999999998</c:v>
                </c:pt>
                <c:pt idx="82">
                  <c:v>276.95999999999998</c:v>
                </c:pt>
                <c:pt idx="83">
                  <c:v>278.38</c:v>
                </c:pt>
                <c:pt idx="84">
                  <c:v>278.08</c:v>
                </c:pt>
                <c:pt idx="85">
                  <c:v>279.36</c:v>
                </c:pt>
                <c:pt idx="86">
                  <c:v>280.11</c:v>
                </c:pt>
                <c:pt idx="87">
                  <c:v>281.26</c:v>
                </c:pt>
                <c:pt idx="88">
                  <c:v>281.93</c:v>
                </c:pt>
                <c:pt idx="89">
                  <c:v>281.86</c:v>
                </c:pt>
                <c:pt idx="90">
                  <c:v>283.16000000000003</c:v>
                </c:pt>
                <c:pt idx="91">
                  <c:v>283.86</c:v>
                </c:pt>
                <c:pt idx="92">
                  <c:v>284.32</c:v>
                </c:pt>
                <c:pt idx="93">
                  <c:v>285.18</c:v>
                </c:pt>
                <c:pt idx="94">
                  <c:v>285.64</c:v>
                </c:pt>
                <c:pt idx="95">
                  <c:v>286.02999999999997</c:v>
                </c:pt>
                <c:pt idx="96">
                  <c:v>285.83</c:v>
                </c:pt>
                <c:pt idx="97">
                  <c:v>287.33999999999997</c:v>
                </c:pt>
                <c:pt idx="98">
                  <c:v>287.39</c:v>
                </c:pt>
                <c:pt idx="99">
                  <c:v>288.01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091648"/>
        <c:axId val="150177664"/>
      </c:lineChart>
      <c:catAx>
        <c:axId val="150091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177664"/>
        <c:crosses val="autoZero"/>
        <c:auto val="1"/>
        <c:lblAlgn val="ctr"/>
        <c:lblOffset val="100"/>
        <c:noMultiLvlLbl val="0"/>
      </c:catAx>
      <c:valAx>
        <c:axId val="150177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0916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23C0D8-40D1-44B1-A175-2C96A237E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LSIS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yung bang</dc:creator>
  <cp:lastModifiedBy>yung bang</cp:lastModifiedBy>
  <cp:revision>1</cp:revision>
  <dcterms:created xsi:type="dcterms:W3CDTF">2012-01-03T00:36:00Z</dcterms:created>
  <dcterms:modified xsi:type="dcterms:W3CDTF">2012-01-03T01:17:00Z</dcterms:modified>
</cp:coreProperties>
</file>