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103" w:rsidRPr="008E5103" w:rsidRDefault="008E5103" w:rsidP="008E5103">
      <w:p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r w:rsidRPr="008E5103">
        <w:rPr>
          <w:rFonts w:asciiTheme="majorHAnsi" w:eastAsia="Times New Roman" w:hAnsiTheme="majorHAnsi" w:cs="Times New Roman"/>
          <w:b/>
          <w:bCs/>
          <w:sz w:val="32"/>
          <w:szCs w:val="32"/>
        </w:rPr>
        <w:t>MO 17</w:t>
      </w:r>
    </w:p>
    <w:p w:rsidR="008E5103" w:rsidRPr="008E5103" w:rsidRDefault="008E5103" w:rsidP="008E5103">
      <w:pPr>
        <w:tabs>
          <w:tab w:val="left" w:pos="6379"/>
        </w:tabs>
        <w:spacing w:after="0" w:line="240" w:lineRule="auto"/>
        <w:ind w:left="360"/>
        <w:jc w:val="both"/>
        <w:rPr>
          <w:rFonts w:asciiTheme="majorHAnsi" w:hAnsiTheme="majorHAnsi"/>
          <w:b/>
          <w:u w:val="single"/>
        </w:rPr>
      </w:pPr>
    </w:p>
    <w:p w:rsidR="008E5103" w:rsidRPr="008E5103" w:rsidRDefault="007F6C27" w:rsidP="008E5103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</w:t>
      </w:r>
      <w:r w:rsidR="008E5103" w:rsidRPr="008E5103">
        <w:rPr>
          <w:rFonts w:asciiTheme="majorHAnsi" w:hAnsiTheme="majorHAnsi"/>
          <w:b/>
          <w:u w:val="single"/>
        </w:rPr>
        <w:t>harakterizujte  postupy účto</w:t>
      </w:r>
      <w:r w:rsidR="008E5103">
        <w:rPr>
          <w:rFonts w:asciiTheme="majorHAnsi" w:hAnsiTheme="majorHAnsi"/>
          <w:b/>
          <w:u w:val="single"/>
        </w:rPr>
        <w:t>vania v JU</w:t>
      </w:r>
    </w:p>
    <w:p w:rsidR="007F6C27" w:rsidRPr="00C23A2D" w:rsidRDefault="007F6C27" w:rsidP="00C10B1D">
      <w:pPr>
        <w:pStyle w:val="Odsekzoznamu"/>
        <w:spacing w:after="0"/>
        <w:ind w:left="360"/>
        <w:rPr>
          <w:rFonts w:ascii="Cambria" w:hAnsi="Cambria" w:cs="Times New Roman"/>
        </w:rPr>
      </w:pPr>
      <w:r w:rsidRPr="00C23A2D">
        <w:rPr>
          <w:rFonts w:ascii="Cambria" w:hAnsi="Cambria" w:cs="Times New Roman"/>
          <w:b/>
        </w:rPr>
        <w:t>Jednoduché účtovníctvo</w:t>
      </w:r>
      <w:r>
        <w:rPr>
          <w:rFonts w:ascii="Cambria" w:hAnsi="Cambria" w:cs="Times New Roman"/>
        </w:rPr>
        <w:t xml:space="preserve"> – </w:t>
      </w:r>
      <w:r w:rsidRPr="00C23A2D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ktorom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môžu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účtovať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len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niektoré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účtovné jednotky:</w:t>
      </w:r>
    </w:p>
    <w:p w:rsidR="007F6C27" w:rsidRDefault="007F6C27" w:rsidP="00C10B1D">
      <w:pPr>
        <w:pStyle w:val="Odsekzoznamu"/>
        <w:spacing w:after="0"/>
        <w:ind w:left="360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podnikateľ,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ktoré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mu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to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umožňuje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osobitný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 xml:space="preserve">predpis </w:t>
      </w:r>
      <w:r>
        <w:rPr>
          <w:rFonts w:ascii="Cambria" w:hAnsi="Cambria" w:cs="Times New Roman"/>
        </w:rPr>
        <w:t xml:space="preserve"> </w:t>
      </w:r>
    </w:p>
    <w:p w:rsidR="007F6C27" w:rsidRDefault="007F6C27" w:rsidP="00C10B1D">
      <w:pPr>
        <w:pStyle w:val="Odsekzoznamu"/>
        <w:spacing w:after="0"/>
        <w:ind w:left="360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FO</w:t>
      </w:r>
      <w:r w:rsidRPr="00C23A2D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– obč. </w:t>
      </w:r>
      <w:r w:rsidRPr="00C23A2D">
        <w:rPr>
          <w:rFonts w:ascii="Cambria" w:hAnsi="Cambria" w:cs="Times New Roman"/>
        </w:rPr>
        <w:t>združenie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jeho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org</w:t>
      </w:r>
      <w:proofErr w:type="spellEnd"/>
      <w:r>
        <w:rPr>
          <w:rFonts w:ascii="Cambria" w:hAnsi="Cambria" w:cs="Times New Roman"/>
        </w:rPr>
        <w:t xml:space="preserve">. </w:t>
      </w:r>
      <w:r w:rsidRPr="00C23A2D">
        <w:rPr>
          <w:rFonts w:ascii="Cambria" w:hAnsi="Cambria" w:cs="Times New Roman"/>
        </w:rPr>
        <w:t>zložky,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nepodnikajú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ich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príjmy nedosiahli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predchádzajúcom</w:t>
      </w:r>
      <w:r>
        <w:rPr>
          <w:rFonts w:ascii="Cambria" w:hAnsi="Cambria" w:cs="Times New Roman"/>
        </w:rPr>
        <w:t xml:space="preserve"> ÚO </w:t>
      </w:r>
    </w:p>
    <w:p w:rsidR="007F6C27" w:rsidRPr="00C23A2D" w:rsidRDefault="007F6C27" w:rsidP="00C10B1D">
      <w:pPr>
        <w:pStyle w:val="Odsekzoznamu"/>
        <w:spacing w:after="0"/>
        <w:ind w:left="360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cirkev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náboženská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spoločnosť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ich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orgány,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nepodnikajú</w:t>
      </w:r>
    </w:p>
    <w:p w:rsidR="008E5103" w:rsidRDefault="008E5103" w:rsidP="00C10B1D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8E5103">
        <w:rPr>
          <w:rFonts w:asciiTheme="majorHAnsi" w:hAnsiTheme="majorHAnsi"/>
          <w:b/>
          <w:sz w:val="24"/>
          <w:szCs w:val="24"/>
          <w:u w:val="single"/>
        </w:rPr>
        <w:t>vymenujte a stručne popíšte účtovné knihy, druhy účtovných dokladov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ÚJ  účtujúca v sústave JÚ podľa zákona o účtovníctve je povinná účtovať v týchto účtovných knihách:</w:t>
      </w:r>
    </w:p>
    <w:p w:rsidR="008E5103" w:rsidRPr="008E5103" w:rsidRDefault="008E5103" w:rsidP="008E5103">
      <w:pPr>
        <w:pStyle w:val="Bezriadkovania"/>
        <w:numPr>
          <w:ilvl w:val="0"/>
          <w:numId w:val="8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  <w:iCs/>
        </w:rPr>
        <w:t>v peňažnom denníku,</w:t>
      </w:r>
    </w:p>
    <w:p w:rsidR="008E5103" w:rsidRPr="008E5103" w:rsidRDefault="008E5103" w:rsidP="008E5103">
      <w:pPr>
        <w:pStyle w:val="Bezriadkovania"/>
        <w:numPr>
          <w:ilvl w:val="0"/>
          <w:numId w:val="8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  <w:iCs/>
        </w:rPr>
        <w:t>v knihe pohľadávok,</w:t>
      </w:r>
    </w:p>
    <w:p w:rsidR="008E5103" w:rsidRPr="008E5103" w:rsidRDefault="008E5103" w:rsidP="008E5103">
      <w:pPr>
        <w:pStyle w:val="Bezriadkovania"/>
        <w:numPr>
          <w:ilvl w:val="0"/>
          <w:numId w:val="8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  <w:iCs/>
        </w:rPr>
        <w:t>v knihe záväzkov</w:t>
      </w:r>
      <w:r w:rsidRPr="008E5103">
        <w:rPr>
          <w:rFonts w:asciiTheme="majorHAnsi" w:eastAsia="Times New Roman" w:hAnsiTheme="majorHAnsi"/>
        </w:rPr>
        <w:t>,</w:t>
      </w:r>
    </w:p>
    <w:p w:rsidR="008E5103" w:rsidRPr="008E5103" w:rsidRDefault="008E5103" w:rsidP="008E5103">
      <w:pPr>
        <w:pStyle w:val="Bezriadkovania"/>
        <w:numPr>
          <w:ilvl w:val="0"/>
          <w:numId w:val="8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  <w:iCs/>
        </w:rPr>
        <w:t>v pomocných knihách</w:t>
      </w:r>
      <w:r w:rsidRPr="008E5103">
        <w:rPr>
          <w:rFonts w:asciiTheme="majorHAnsi" w:eastAsia="Times New Roman" w:hAnsiTheme="majorHAnsi"/>
        </w:rPr>
        <w:t>, ak je ich vedenie potrebné na preukázanie a vykazovanie predmetu účtovníctva v účtovnej závierke.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</w:rPr>
        <w:t>Pomocné knihy sú:</w:t>
      </w:r>
    </w:p>
    <w:p w:rsidR="008E5103" w:rsidRPr="008E5103" w:rsidRDefault="008E5103" w:rsidP="008E5103">
      <w:pPr>
        <w:pStyle w:val="Bezriadkovania"/>
        <w:numPr>
          <w:ilvl w:val="0"/>
          <w:numId w:val="9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o zložkách majetku a záväzkov:</w:t>
      </w:r>
    </w:p>
    <w:p w:rsidR="008E5103" w:rsidRPr="00C10B1D" w:rsidRDefault="008E5103" w:rsidP="00C10B1D">
      <w:pPr>
        <w:pStyle w:val="Bezriadkovania"/>
        <w:numPr>
          <w:ilvl w:val="1"/>
          <w:numId w:val="9"/>
        </w:numPr>
        <w:tabs>
          <w:tab w:val="clear" w:pos="1080"/>
          <w:tab w:val="num" w:pos="709"/>
          <w:tab w:val="left" w:pos="6379"/>
        </w:tabs>
        <w:ind w:left="709" w:hanging="283"/>
        <w:jc w:val="both"/>
        <w:rPr>
          <w:rFonts w:asciiTheme="majorHAnsi" w:eastAsia="Times New Roman" w:hAnsiTheme="majorHAnsi"/>
        </w:rPr>
      </w:pPr>
      <w:r w:rsidRPr="00C10B1D">
        <w:rPr>
          <w:rFonts w:asciiTheme="majorHAnsi" w:eastAsia="Times New Roman" w:hAnsiTheme="majorHAnsi"/>
        </w:rPr>
        <w:t>kniha DNM a DHM. Súčasťou knihy DM je aj plán účtovných odpisov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kniha DFM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kniha zvierat, základného stáda, ťažných zvierat, plemenných a dostihových koní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kniha zásob (skladové karty)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pokladničná kniha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kniha cenín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kniha účet v</w:t>
      </w:r>
      <w:r w:rsidR="00C10B1D" w:rsidRPr="00C10B1D">
        <w:rPr>
          <w:rFonts w:asciiTheme="majorHAnsi" w:eastAsia="Times New Roman" w:hAnsiTheme="majorHAnsi"/>
        </w:rPr>
        <w:t> </w:t>
      </w:r>
      <w:r w:rsidRPr="00C10B1D">
        <w:rPr>
          <w:rFonts w:asciiTheme="majorHAnsi" w:eastAsia="Times New Roman" w:hAnsiTheme="majorHAnsi"/>
        </w:rPr>
        <w:t>banke</w:t>
      </w:r>
      <w:r w:rsidR="00C10B1D" w:rsidRPr="00C10B1D">
        <w:rPr>
          <w:rFonts w:asciiTheme="majorHAnsi" w:eastAsia="Times New Roman" w:hAnsiTheme="majorHAnsi"/>
        </w:rPr>
        <w:t xml:space="preserve">, </w:t>
      </w:r>
      <w:r w:rsidRPr="00C10B1D">
        <w:rPr>
          <w:rFonts w:asciiTheme="majorHAnsi" w:eastAsia="Times New Roman" w:hAnsiTheme="majorHAnsi"/>
        </w:rPr>
        <w:t>kni</w:t>
      </w:r>
      <w:r w:rsidR="00C10B1D" w:rsidRPr="00C10B1D">
        <w:rPr>
          <w:rFonts w:asciiTheme="majorHAnsi" w:eastAsia="Times New Roman" w:hAnsiTheme="majorHAnsi"/>
        </w:rPr>
        <w:t xml:space="preserve">ha na evidenciu nepriamych daní, </w:t>
      </w:r>
      <w:r w:rsidRPr="00C10B1D">
        <w:rPr>
          <w:rFonts w:asciiTheme="majorHAnsi" w:eastAsia="Times New Roman" w:hAnsiTheme="majorHAnsi"/>
        </w:rPr>
        <w:t>kniha rezerv</w:t>
      </w:r>
    </w:p>
    <w:p w:rsidR="008E5103" w:rsidRPr="008E5103" w:rsidRDefault="008E5103" w:rsidP="008E5103">
      <w:pPr>
        <w:pStyle w:val="Bezriadkovania"/>
        <w:numPr>
          <w:ilvl w:val="0"/>
          <w:numId w:val="9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i/>
        </w:rPr>
        <w:t>o záväzkoch z pracovnoprávnych vzťahov</w:t>
      </w:r>
    </w:p>
    <w:p w:rsidR="008E5103" w:rsidRPr="008E5103" w:rsidRDefault="008E5103" w:rsidP="008E5103">
      <w:pPr>
        <w:pStyle w:val="Bezriadkovania"/>
        <w:numPr>
          <w:ilvl w:val="0"/>
          <w:numId w:val="10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mzdové listy</w:t>
      </w:r>
    </w:p>
    <w:p w:rsidR="008E5103" w:rsidRPr="008E5103" w:rsidRDefault="008E5103" w:rsidP="008E5103">
      <w:pPr>
        <w:pStyle w:val="Bezriadkovania"/>
        <w:numPr>
          <w:ilvl w:val="0"/>
          <w:numId w:val="10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kniha sociálneho fondu</w:t>
      </w:r>
    </w:p>
    <w:p w:rsidR="008E5103" w:rsidRDefault="008E5103" w:rsidP="008E5103">
      <w:pPr>
        <w:tabs>
          <w:tab w:val="left" w:pos="6379"/>
        </w:tabs>
        <w:spacing w:after="0" w:line="240" w:lineRule="auto"/>
        <w:ind w:left="360"/>
        <w:jc w:val="both"/>
        <w:rPr>
          <w:rFonts w:asciiTheme="majorHAnsi" w:hAnsiTheme="majorHAnsi"/>
        </w:rPr>
      </w:pPr>
    </w:p>
    <w:p w:rsidR="007F6C27" w:rsidRPr="007F6C27" w:rsidRDefault="007F6C27" w:rsidP="007F6C2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F6C27">
        <w:rPr>
          <w:rFonts w:ascii="Arial" w:eastAsia="Times New Roman" w:hAnsi="Arial" w:cs="Arial"/>
          <w:b/>
          <w:bCs/>
          <w:color w:val="000000"/>
          <w:sz w:val="20"/>
          <w:szCs w:val="20"/>
        </w:rPr>
        <w:t>Podľa obsahu</w:t>
      </w:r>
      <w:r w:rsidRPr="007F6C27">
        <w:rPr>
          <w:rFonts w:ascii="Arial" w:eastAsia="Times New Roman" w:hAnsi="Arial" w:cs="Arial"/>
          <w:color w:val="000000"/>
          <w:sz w:val="20"/>
          <w:szCs w:val="20"/>
        </w:rPr>
        <w:t> členíme účtovné doklady :</w:t>
      </w:r>
    </w:p>
    <w:p w:rsidR="007F6C27" w:rsidRPr="007F6C27" w:rsidRDefault="007F6C27" w:rsidP="007F6C27">
      <w:pPr>
        <w:spacing w:after="0" w:line="240" w:lineRule="auto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1.    Externé</w:t>
      </w:r>
      <w:r w:rsidRPr="007F6C27">
        <w:rPr>
          <w:rFonts w:ascii="Cambria" w:eastAsia="Times New Roman" w:hAnsi="Cambria" w:cs="Arial"/>
          <w:color w:val="000000"/>
        </w:rPr>
        <w:t> (vonkajšie) doklady vznikajú v styku podniku s jeho okolím. Ich smerovania do podniku alebo z podniku von môžeme rozlíšiť prijaté a vydané doklady.</w:t>
      </w:r>
    </w:p>
    <w:p w:rsidR="007F6C27" w:rsidRPr="007F6C27" w:rsidRDefault="007F6C27" w:rsidP="007F6C27">
      <w:pPr>
        <w:spacing w:after="0" w:line="240" w:lineRule="auto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Napríklad:</w:t>
      </w:r>
    </w:p>
    <w:p w:rsidR="007F6C27" w:rsidRPr="007F6C27" w:rsidRDefault="007F6C27" w:rsidP="007F6C27">
      <w:pPr>
        <w:numPr>
          <w:ilvl w:val="0"/>
          <w:numId w:val="17"/>
        </w:numPr>
        <w:spacing w:after="0" w:line="300" w:lineRule="atLeast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color w:val="000000"/>
        </w:rPr>
        <w:t>prijaté doklady - faktúry od dodávateľov, výpisy z vkladových účtov v banke</w:t>
      </w:r>
    </w:p>
    <w:p w:rsidR="007F6C27" w:rsidRPr="007F6C27" w:rsidRDefault="007F6C27" w:rsidP="007F6C27">
      <w:pPr>
        <w:numPr>
          <w:ilvl w:val="0"/>
          <w:numId w:val="17"/>
        </w:numPr>
        <w:spacing w:after="0" w:line="300" w:lineRule="atLeast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color w:val="000000"/>
        </w:rPr>
        <w:t xml:space="preserve">vydané doklady </w:t>
      </w:r>
      <w:r w:rsidR="00C10B1D">
        <w:rPr>
          <w:rFonts w:ascii="Cambria" w:eastAsia="Times New Roman" w:hAnsi="Cambria" w:cs="Arial"/>
          <w:color w:val="000000"/>
        </w:rPr>
        <w:t>- faktúry odosielané odb.</w:t>
      </w:r>
      <w:r w:rsidRPr="007F6C27">
        <w:rPr>
          <w:rFonts w:ascii="Cambria" w:eastAsia="Times New Roman" w:hAnsi="Cambria" w:cs="Arial"/>
          <w:color w:val="000000"/>
        </w:rPr>
        <w:t xml:space="preserve"> pri predaji výrobkov, tovaru alebo pri poskytnutí služieb</w:t>
      </w:r>
    </w:p>
    <w:p w:rsidR="007F6C27" w:rsidRPr="007F6C27" w:rsidRDefault="007F6C27" w:rsidP="007F6C27">
      <w:pPr>
        <w:spacing w:after="0" w:line="240" w:lineRule="auto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2.   Interné</w:t>
      </w:r>
      <w:r w:rsidRPr="007F6C27">
        <w:rPr>
          <w:rFonts w:ascii="Cambria" w:eastAsia="Times New Roman" w:hAnsi="Cambria" w:cs="Arial"/>
          <w:color w:val="000000"/>
        </w:rPr>
        <w:t xml:space="preserve"> (vnútorné) </w:t>
      </w:r>
      <w:r w:rsidR="00C10B1D">
        <w:rPr>
          <w:rFonts w:ascii="Cambria" w:eastAsia="Times New Roman" w:hAnsi="Cambria" w:cs="Arial"/>
          <w:color w:val="000000"/>
        </w:rPr>
        <w:t xml:space="preserve">- </w:t>
      </w:r>
      <w:r w:rsidRPr="007F6C27">
        <w:rPr>
          <w:rFonts w:ascii="Cambria" w:eastAsia="Times New Roman" w:hAnsi="Cambria" w:cs="Arial"/>
          <w:color w:val="000000"/>
        </w:rPr>
        <w:t>vznikajú na základe vnútropodnikových procesov a s nimi súvisiacich operácií.</w:t>
      </w:r>
    </w:p>
    <w:p w:rsidR="007F6C27" w:rsidRPr="007F6C27" w:rsidRDefault="007F6C27" w:rsidP="007F6C27">
      <w:pPr>
        <w:spacing w:after="0" w:line="240" w:lineRule="auto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Napríklad:</w:t>
      </w:r>
    </w:p>
    <w:p w:rsidR="007F6C27" w:rsidRPr="007F6C27" w:rsidRDefault="007F6C27" w:rsidP="007F6C27">
      <w:pPr>
        <w:numPr>
          <w:ilvl w:val="0"/>
          <w:numId w:val="18"/>
        </w:numPr>
        <w:spacing w:after="0" w:line="300" w:lineRule="atLeast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color w:val="000000"/>
        </w:rPr>
        <w:t>príjemky, výdajky, pokladničné doklady, prevodky, zápisy o zaradení alebo vyradení majetku, protokoly o škodách, odpisy dlhodobého majetku a pod.</w:t>
      </w:r>
    </w:p>
    <w:p w:rsidR="007F6C27" w:rsidRPr="007F6C27" w:rsidRDefault="007F6C27" w:rsidP="007F6C27">
      <w:pPr>
        <w:spacing w:after="0" w:line="240" w:lineRule="auto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color w:val="000000"/>
        </w:rPr>
        <w:t>Podľa počtu zachytených účtovných prípadov</w:t>
      </w:r>
      <w:r w:rsidRPr="007F6C27">
        <w:rPr>
          <w:rFonts w:ascii="Cambria" w:eastAsia="Times New Roman" w:hAnsi="Cambria" w:cs="Arial"/>
          <w:color w:val="000000"/>
        </w:rPr>
        <w:t> členíme účtovné doklady:</w:t>
      </w:r>
    </w:p>
    <w:p w:rsidR="007F6C27" w:rsidRPr="007F6C27" w:rsidRDefault="007F6C27" w:rsidP="007F6C27">
      <w:pPr>
        <w:numPr>
          <w:ilvl w:val="0"/>
          <w:numId w:val="19"/>
        </w:numPr>
        <w:spacing w:after="0" w:line="300" w:lineRule="atLeast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Jednotlivé</w:t>
      </w:r>
      <w:r w:rsidRPr="007F6C27">
        <w:rPr>
          <w:rFonts w:ascii="Cambria" w:eastAsia="Times New Roman" w:hAnsi="Cambria" w:cs="Arial"/>
          <w:color w:val="000000"/>
        </w:rPr>
        <w:t> - slúžia na overenie jedného účtovného prípadu (faktúry, pokladničné doklady)</w:t>
      </w:r>
    </w:p>
    <w:p w:rsidR="007F6C27" w:rsidRPr="007F6C27" w:rsidRDefault="007F6C27" w:rsidP="007F6C27">
      <w:pPr>
        <w:numPr>
          <w:ilvl w:val="0"/>
          <w:numId w:val="19"/>
        </w:numPr>
        <w:spacing w:after="0" w:line="300" w:lineRule="atLeast"/>
        <w:jc w:val="both"/>
        <w:rPr>
          <w:rFonts w:ascii="Cambria" w:eastAsia="Times New Roman" w:hAnsi="Cambria" w:cs="Arial"/>
          <w:color w:val="000000"/>
        </w:rPr>
      </w:pPr>
      <w:r w:rsidRPr="007F6C27">
        <w:rPr>
          <w:rFonts w:ascii="Cambria" w:eastAsia="Times New Roman" w:hAnsi="Cambria" w:cs="Arial"/>
          <w:b/>
          <w:bCs/>
          <w:i/>
          <w:iCs/>
          <w:color w:val="000000"/>
        </w:rPr>
        <w:t>Zberné</w:t>
      </w:r>
      <w:r w:rsidRPr="007F6C27">
        <w:rPr>
          <w:rFonts w:ascii="Cambria" w:eastAsia="Times New Roman" w:hAnsi="Cambria" w:cs="Arial"/>
          <w:color w:val="000000"/>
        </w:rPr>
        <w:t> (súhrnné) - slúžia na zhrnutie viacerých účtovných prípadov, ktoré nastali v tom istom dni, prípadne i v dlhšom časovom úseku. Zberné účtovné doklady znižujú počet účtovných zápisov a znamenajú úsporu účtovných prác.</w:t>
      </w:r>
    </w:p>
    <w:p w:rsidR="007F6C27" w:rsidRPr="00C10B1D" w:rsidRDefault="007F6C27" w:rsidP="007F6C27">
      <w:pPr>
        <w:tabs>
          <w:tab w:val="left" w:pos="6379"/>
        </w:tabs>
        <w:spacing w:after="0" w:line="240" w:lineRule="auto"/>
        <w:ind w:left="360"/>
        <w:jc w:val="both"/>
        <w:rPr>
          <w:rFonts w:ascii="Cambria" w:hAnsi="Cambria"/>
        </w:rPr>
      </w:pPr>
    </w:p>
    <w:p w:rsidR="008E5103" w:rsidRPr="008E5103" w:rsidRDefault="008E5103" w:rsidP="007F6C27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8E5103">
        <w:rPr>
          <w:rFonts w:asciiTheme="majorHAnsi" w:hAnsiTheme="majorHAnsi"/>
          <w:b/>
          <w:sz w:val="24"/>
          <w:szCs w:val="24"/>
          <w:u w:val="single"/>
        </w:rPr>
        <w:t>popíšte činnosti z ktorý</w:t>
      </w:r>
      <w:r>
        <w:rPr>
          <w:rFonts w:asciiTheme="majorHAnsi" w:hAnsiTheme="majorHAnsi"/>
          <w:b/>
          <w:sz w:val="24"/>
          <w:szCs w:val="24"/>
          <w:u w:val="single"/>
        </w:rPr>
        <w:t>ch pozostáva účtovná uzávierka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  <w:r w:rsidRPr="008E5103">
        <w:rPr>
          <w:rFonts w:asciiTheme="majorHAnsi" w:eastAsia="Times New Roman" w:hAnsiTheme="majorHAnsi"/>
          <w:iCs/>
        </w:rPr>
        <w:t>Ú</w:t>
      </w:r>
      <w:r w:rsidR="00313898">
        <w:rPr>
          <w:rFonts w:asciiTheme="majorHAnsi" w:eastAsia="Times New Roman" w:hAnsiTheme="majorHAnsi"/>
          <w:iCs/>
        </w:rPr>
        <w:t>J</w:t>
      </w:r>
      <w:r w:rsidRPr="008E5103">
        <w:rPr>
          <w:rFonts w:asciiTheme="majorHAnsi" w:eastAsia="Times New Roman" w:hAnsiTheme="majorHAnsi"/>
          <w:iCs/>
        </w:rPr>
        <w:t>, ktoré účtujú v s</w:t>
      </w:r>
      <w:r w:rsidR="00313898">
        <w:rPr>
          <w:rFonts w:asciiTheme="majorHAnsi" w:eastAsia="Times New Roman" w:hAnsiTheme="majorHAnsi"/>
          <w:iCs/>
        </w:rPr>
        <w:t>ústave JÚ</w:t>
      </w:r>
      <w:r w:rsidRPr="008E5103">
        <w:rPr>
          <w:rFonts w:asciiTheme="majorHAnsi" w:eastAsia="Times New Roman" w:hAnsiTheme="majorHAnsi"/>
          <w:iCs/>
        </w:rPr>
        <w:t>,</w:t>
      </w:r>
      <w:r>
        <w:rPr>
          <w:rFonts w:asciiTheme="majorHAnsi" w:eastAsia="Times New Roman" w:hAnsiTheme="majorHAnsi"/>
          <w:iCs/>
        </w:rPr>
        <w:t xml:space="preserve"> </w:t>
      </w:r>
      <w:r w:rsidRPr="008E5103">
        <w:rPr>
          <w:rFonts w:asciiTheme="majorHAnsi" w:eastAsia="Times New Roman" w:hAnsiTheme="majorHAnsi"/>
          <w:b/>
          <w:iCs/>
        </w:rPr>
        <w:t>uzavierajú účtovné knihy k poslednému dňu účtovného obdobia.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b/>
          <w:iCs/>
          <w:u w:val="single"/>
        </w:rPr>
        <w:t>Účtovná uzávierka</w:t>
      </w:r>
      <w:r w:rsidR="00C10B1D">
        <w:rPr>
          <w:rFonts w:asciiTheme="majorHAnsi" w:eastAsia="Times New Roman" w:hAnsiTheme="majorHAnsi"/>
          <w:b/>
          <w:iCs/>
          <w:u w:val="single"/>
        </w:rPr>
        <w:t xml:space="preserve"> </w:t>
      </w:r>
      <w:r w:rsidR="00C10B1D">
        <w:rPr>
          <w:rFonts w:asciiTheme="majorHAnsi" w:eastAsia="Times New Roman" w:hAnsiTheme="majorHAnsi"/>
          <w:iCs/>
        </w:rPr>
        <w:t xml:space="preserve"> - </w:t>
      </w:r>
      <w:r w:rsidRPr="008E5103">
        <w:rPr>
          <w:rFonts w:asciiTheme="majorHAnsi" w:eastAsia="Times New Roman" w:hAnsiTheme="majorHAnsi"/>
          <w:iCs/>
        </w:rPr>
        <w:t xml:space="preserve">Uzavieranie účtovných kníh je činnosť, keď sa za posledný zápis v PD dopĺňajú </w:t>
      </w:r>
      <w:r w:rsidRPr="008E5103">
        <w:rPr>
          <w:rFonts w:asciiTheme="majorHAnsi" w:eastAsia="Times New Roman" w:hAnsiTheme="majorHAnsi"/>
          <w:b/>
          <w:iCs/>
        </w:rPr>
        <w:t>uzávierkové účtovné prípady</w:t>
      </w:r>
      <w:r w:rsidRPr="008E5103">
        <w:rPr>
          <w:rFonts w:asciiTheme="majorHAnsi" w:eastAsia="Times New Roman" w:hAnsiTheme="majorHAnsi"/>
          <w:iCs/>
        </w:rPr>
        <w:t xml:space="preserve">, týkajúce sa príjmov a výdavkov, ktoré zvyšujú alebo znižujú </w:t>
      </w:r>
      <w:r w:rsidR="00C10B1D">
        <w:rPr>
          <w:rFonts w:asciiTheme="majorHAnsi" w:eastAsia="Times New Roman" w:hAnsiTheme="majorHAnsi"/>
          <w:iCs/>
        </w:rPr>
        <w:t xml:space="preserve">ZD </w:t>
      </w:r>
      <w:r w:rsidRPr="008E5103">
        <w:rPr>
          <w:rFonts w:asciiTheme="majorHAnsi" w:eastAsia="Times New Roman" w:hAnsiTheme="majorHAnsi"/>
          <w:iCs/>
        </w:rPr>
        <w:t>z príjmov.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  <w:r w:rsidRPr="008E5103">
        <w:rPr>
          <w:rFonts w:asciiTheme="majorHAnsi" w:eastAsia="Times New Roman" w:hAnsiTheme="majorHAnsi"/>
          <w:iCs/>
        </w:rPr>
        <w:t>Pred uzávierkou účtovných kníh je potrebné vykonať</w:t>
      </w:r>
      <w:r w:rsidRPr="008E5103">
        <w:rPr>
          <w:rFonts w:asciiTheme="majorHAnsi" w:eastAsia="Times New Roman" w:hAnsiTheme="majorHAnsi"/>
          <w:b/>
          <w:iCs/>
        </w:rPr>
        <w:t xml:space="preserve"> prípravné práce: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  <w:r w:rsidRPr="008E5103">
        <w:rPr>
          <w:rFonts w:asciiTheme="majorHAnsi" w:eastAsia="Times New Roman" w:hAnsiTheme="majorHAnsi"/>
          <w:iCs/>
        </w:rPr>
        <w:t>urobiť</w:t>
      </w:r>
      <w:r w:rsidRPr="008E5103">
        <w:rPr>
          <w:rFonts w:asciiTheme="majorHAnsi" w:eastAsia="Times New Roman" w:hAnsiTheme="majorHAnsi"/>
          <w:b/>
          <w:iCs/>
        </w:rPr>
        <w:t xml:space="preserve"> inventarizáciu majetku a záväzkov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b/>
          <w:iCs/>
        </w:rPr>
        <w:t>zaúčtovať</w:t>
      </w:r>
      <w:r w:rsidRPr="008E5103">
        <w:rPr>
          <w:rFonts w:asciiTheme="majorHAnsi" w:eastAsia="Times New Roman" w:hAnsiTheme="majorHAnsi"/>
          <w:iCs/>
        </w:rPr>
        <w:t xml:space="preserve"> do PD (peňažný denník) prípadné</w:t>
      </w:r>
      <w:r>
        <w:rPr>
          <w:rFonts w:asciiTheme="majorHAnsi" w:eastAsia="Times New Roman" w:hAnsiTheme="majorHAnsi"/>
          <w:iCs/>
        </w:rPr>
        <w:t xml:space="preserve"> </w:t>
      </w:r>
      <w:r w:rsidRPr="008E5103">
        <w:rPr>
          <w:rFonts w:asciiTheme="majorHAnsi" w:eastAsia="Times New Roman" w:hAnsiTheme="majorHAnsi"/>
          <w:b/>
          <w:iCs/>
        </w:rPr>
        <w:t>kurzové rozdiely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b/>
          <w:iCs/>
        </w:rPr>
        <w:t xml:space="preserve">kontrou a </w:t>
      </w:r>
      <w:r w:rsidRPr="008E5103">
        <w:rPr>
          <w:rFonts w:asciiTheme="majorHAnsi" w:eastAsia="Times New Roman" w:hAnsiTheme="majorHAnsi"/>
          <w:iCs/>
        </w:rPr>
        <w:t>odsúhlasenie</w:t>
      </w:r>
      <w:r w:rsidRPr="008E5103">
        <w:rPr>
          <w:rFonts w:asciiTheme="majorHAnsi" w:eastAsia="Times New Roman" w:hAnsiTheme="majorHAnsi"/>
          <w:b/>
          <w:iCs/>
        </w:rPr>
        <w:t xml:space="preserve"> zostatkov peňažných prostriedkov </w:t>
      </w:r>
      <w:r w:rsidRPr="008E5103">
        <w:rPr>
          <w:rFonts w:asciiTheme="majorHAnsi" w:eastAsia="Times New Roman" w:hAnsiTheme="majorHAnsi"/>
          <w:iCs/>
        </w:rPr>
        <w:t>podľa výpisov z</w:t>
      </w:r>
      <w:r w:rsidR="00C10B1D">
        <w:rPr>
          <w:rFonts w:asciiTheme="majorHAnsi" w:eastAsia="Times New Roman" w:hAnsiTheme="majorHAnsi"/>
          <w:iCs/>
        </w:rPr>
        <w:t xml:space="preserve"> BU </w:t>
      </w:r>
      <w:r w:rsidRPr="008E5103">
        <w:rPr>
          <w:rFonts w:asciiTheme="majorHAnsi" w:eastAsia="Times New Roman" w:hAnsiTheme="majorHAnsi"/>
          <w:b/>
          <w:iCs/>
        </w:rPr>
        <w:t>(VBU)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iCs/>
        </w:rPr>
        <w:t>pred zaúč</w:t>
      </w:r>
      <w:r w:rsidR="00313898">
        <w:rPr>
          <w:rFonts w:asciiTheme="majorHAnsi" w:eastAsia="Times New Roman" w:hAnsiTheme="majorHAnsi"/>
          <w:iCs/>
        </w:rPr>
        <w:t>tovaním uzávierkových ÚP</w:t>
      </w:r>
      <w:r w:rsidRPr="008E5103">
        <w:rPr>
          <w:rFonts w:asciiTheme="majorHAnsi" w:eastAsia="Times New Roman" w:hAnsiTheme="majorHAnsi"/>
          <w:iCs/>
        </w:rPr>
        <w:t xml:space="preserve"> sa</w:t>
      </w:r>
      <w:r>
        <w:rPr>
          <w:rFonts w:asciiTheme="majorHAnsi" w:eastAsia="Times New Roman" w:hAnsiTheme="majorHAnsi"/>
          <w:iCs/>
        </w:rPr>
        <w:t xml:space="preserve"> </w:t>
      </w:r>
      <w:r w:rsidRPr="008E5103">
        <w:rPr>
          <w:rFonts w:asciiTheme="majorHAnsi" w:eastAsia="Times New Roman" w:hAnsiTheme="majorHAnsi"/>
          <w:iCs/>
        </w:rPr>
        <w:t xml:space="preserve">v PD </w:t>
      </w:r>
      <w:r w:rsidRPr="008E5103">
        <w:rPr>
          <w:rFonts w:asciiTheme="majorHAnsi" w:eastAsia="Times New Roman" w:hAnsiTheme="majorHAnsi"/>
          <w:b/>
          <w:iCs/>
        </w:rPr>
        <w:t xml:space="preserve">urobí </w:t>
      </w:r>
      <w:r w:rsidRPr="008E5103">
        <w:rPr>
          <w:rFonts w:asciiTheme="majorHAnsi" w:eastAsia="Times New Roman" w:hAnsiTheme="majorHAnsi"/>
          <w:b/>
          <w:iCs/>
          <w:u w:val="single"/>
        </w:rPr>
        <w:t>formálna kontrola zápisov</w:t>
      </w:r>
      <w:r w:rsidRPr="008E5103">
        <w:rPr>
          <w:rFonts w:asciiTheme="majorHAnsi" w:eastAsia="Times New Roman" w:hAnsiTheme="majorHAnsi"/>
          <w:iCs/>
        </w:rPr>
        <w:t>, pričom platí:</w:t>
      </w:r>
    </w:p>
    <w:p w:rsidR="008E5103" w:rsidRPr="008E5103" w:rsidRDefault="008E5103" w:rsidP="008E5103">
      <w:pPr>
        <w:pStyle w:val="Bezriadkovania"/>
        <w:numPr>
          <w:ilvl w:val="1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iCs/>
        </w:rPr>
        <w:t xml:space="preserve">príjmy v hotovosti + príjmy na </w:t>
      </w:r>
      <w:r w:rsidR="00C10B1D">
        <w:rPr>
          <w:rFonts w:asciiTheme="majorHAnsi" w:eastAsia="Times New Roman" w:hAnsiTheme="majorHAnsi"/>
          <w:iCs/>
        </w:rPr>
        <w:t xml:space="preserve">BU </w:t>
      </w:r>
      <w:r w:rsidRPr="008E5103">
        <w:rPr>
          <w:rFonts w:asciiTheme="majorHAnsi" w:eastAsia="Times New Roman" w:hAnsiTheme="majorHAnsi"/>
          <w:iCs/>
        </w:rPr>
        <w:t xml:space="preserve">= priebežné položky príjem + príjmy zahrňované do </w:t>
      </w:r>
      <w:r w:rsidR="00C10B1D">
        <w:rPr>
          <w:rFonts w:asciiTheme="majorHAnsi" w:eastAsia="Times New Roman" w:hAnsiTheme="majorHAnsi"/>
          <w:iCs/>
        </w:rPr>
        <w:t xml:space="preserve">ZD </w:t>
      </w:r>
      <w:r w:rsidRPr="008E5103">
        <w:rPr>
          <w:rFonts w:asciiTheme="majorHAnsi" w:eastAsia="Times New Roman" w:hAnsiTheme="majorHAnsi"/>
          <w:iCs/>
        </w:rPr>
        <w:t xml:space="preserve">+ príjmy nezahrňované do </w:t>
      </w:r>
      <w:r w:rsidR="00C10B1D">
        <w:rPr>
          <w:rFonts w:asciiTheme="majorHAnsi" w:eastAsia="Times New Roman" w:hAnsiTheme="majorHAnsi"/>
          <w:iCs/>
        </w:rPr>
        <w:t>ZD</w:t>
      </w:r>
    </w:p>
    <w:p w:rsidR="008E5103" w:rsidRPr="008E5103" w:rsidRDefault="008E5103" w:rsidP="008E5103">
      <w:pPr>
        <w:pStyle w:val="Bezriadkovania"/>
        <w:numPr>
          <w:ilvl w:val="1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iCs/>
        </w:rPr>
        <w:t>výdavky v hotovosti + výdavky z bankových účtov = priebežné položky výdaj + výdavky na dosiahnutie, zabezpečenie a udržanie príjmov + výdavky neovplyvňujúce základ dane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iCs/>
        </w:rPr>
        <w:t xml:space="preserve">za poslednú položku v PD sa na základe ID (interného dokladu) zaúčtujú </w:t>
      </w:r>
      <w:r w:rsidRPr="008E5103">
        <w:rPr>
          <w:rFonts w:asciiTheme="majorHAnsi" w:eastAsia="Times New Roman" w:hAnsiTheme="majorHAnsi"/>
          <w:b/>
          <w:iCs/>
        </w:rPr>
        <w:t>uzávierkové účtovné prípady</w:t>
      </w:r>
      <w:r w:rsidRPr="008E5103">
        <w:rPr>
          <w:rFonts w:asciiTheme="majorHAnsi" w:eastAsia="Times New Roman" w:hAnsiTheme="majorHAnsi"/>
          <w:iCs/>
        </w:rPr>
        <w:t>, ktoré môžu ovplyvniť základ dane z príjmov,</w:t>
      </w:r>
    </w:p>
    <w:p w:rsidR="008E5103" w:rsidRPr="008E5103" w:rsidRDefault="008E5103" w:rsidP="008E5103">
      <w:pPr>
        <w:pStyle w:val="Bezriadkovania"/>
        <w:numPr>
          <w:ilvl w:val="0"/>
          <w:numId w:val="11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iCs/>
        </w:rPr>
        <w:t xml:space="preserve">jednotlivé stĺpce PD sa sčítajú, vyčísli sa </w:t>
      </w:r>
      <w:r w:rsidRPr="008E5103">
        <w:rPr>
          <w:rFonts w:asciiTheme="majorHAnsi" w:eastAsia="Times New Roman" w:hAnsiTheme="majorHAnsi"/>
          <w:b/>
          <w:iCs/>
        </w:rPr>
        <w:t>výsledok hospodárenia pred zdanením</w:t>
      </w:r>
      <w:r w:rsidRPr="008E5103">
        <w:rPr>
          <w:rFonts w:asciiTheme="majorHAnsi" w:eastAsia="Times New Roman" w:hAnsiTheme="majorHAnsi"/>
          <w:iCs/>
        </w:rPr>
        <w:t xml:space="preserve"> ako rozdiel:</w:t>
      </w:r>
    </w:p>
    <w:p w:rsidR="008E5103" w:rsidRPr="008E5103" w:rsidRDefault="008E5103" w:rsidP="008E5103">
      <w:pPr>
        <w:pStyle w:val="Bezriadkovania"/>
        <w:tabs>
          <w:tab w:val="left" w:pos="6379"/>
        </w:tabs>
        <w:ind w:left="720"/>
        <w:jc w:val="both"/>
        <w:rPr>
          <w:rFonts w:asciiTheme="majorHAnsi" w:eastAsia="Times New Roman" w:hAnsiTheme="majorHAnsi"/>
          <w:i/>
          <w:iCs/>
        </w:rPr>
      </w:pPr>
      <w:r w:rsidRPr="008E5103">
        <w:rPr>
          <w:rFonts w:asciiTheme="majorHAnsi" w:eastAsia="Times New Roman" w:hAnsiTheme="majorHAnsi"/>
          <w:i/>
          <w:iCs/>
        </w:rPr>
        <w:t>príjmy zahrňované do základu dane – výdavky na dosiahnutie, zabezpečenie a udržanie príjmov</w:t>
      </w:r>
    </w:p>
    <w:p w:rsid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  <w:r w:rsidRPr="008E5103">
        <w:rPr>
          <w:rFonts w:asciiTheme="majorHAnsi" w:eastAsia="Times New Roman" w:hAnsiTheme="majorHAnsi"/>
          <w:b/>
          <w:iCs/>
        </w:rPr>
        <w:tab/>
        <w:t xml:space="preserve"> (+ zisk, -strata)</w:t>
      </w:r>
    </w:p>
    <w:p w:rsidR="00313898" w:rsidRPr="008E5103" w:rsidRDefault="00313898" w:rsidP="00313898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</w:rPr>
      </w:pPr>
      <w:r>
        <w:rPr>
          <w:rFonts w:asciiTheme="majorHAnsi" w:hAnsiTheme="majorHAnsi"/>
        </w:rPr>
        <w:lastRenderedPageBreak/>
        <w:t>Z</w:t>
      </w:r>
      <w:r w:rsidRPr="008E5103">
        <w:rPr>
          <w:rFonts w:asciiTheme="majorHAnsi" w:hAnsiTheme="majorHAnsi"/>
        </w:rPr>
        <w:t>ákon o dani z príjmov ustanovuje to, že účtovná jednotka je povinná na účely podania daňového priznania zostaviť účtovnú závierku k poslednému dňu zdaňovacieho obdobia a </w:t>
      </w:r>
      <w:r w:rsidRPr="008E5103">
        <w:rPr>
          <w:rStyle w:val="Siln"/>
          <w:rFonts w:asciiTheme="majorHAnsi" w:hAnsiTheme="majorHAnsi"/>
        </w:rPr>
        <w:t>v termíne na podanie daňového priznania</w:t>
      </w:r>
      <w:r w:rsidR="007F6C27">
        <w:rPr>
          <w:rStyle w:val="Siln"/>
          <w:rFonts w:asciiTheme="majorHAnsi" w:hAnsiTheme="majorHAnsi"/>
        </w:rPr>
        <w:t xml:space="preserve"> </w:t>
      </w:r>
      <w:r w:rsidRPr="008E5103">
        <w:rPr>
          <w:rStyle w:val="Siln"/>
          <w:rFonts w:asciiTheme="majorHAnsi" w:hAnsiTheme="majorHAnsi"/>
        </w:rPr>
        <w:t xml:space="preserve">je </w:t>
      </w:r>
      <w:r w:rsidR="007F6C27">
        <w:rPr>
          <w:rStyle w:val="Siln"/>
          <w:rFonts w:asciiTheme="majorHAnsi" w:hAnsiTheme="majorHAnsi"/>
        </w:rPr>
        <w:t xml:space="preserve">ÚJ </w:t>
      </w:r>
      <w:r w:rsidRPr="008E5103">
        <w:rPr>
          <w:rStyle w:val="Siln"/>
          <w:rFonts w:asciiTheme="majorHAnsi" w:hAnsiTheme="majorHAnsi"/>
        </w:rPr>
        <w:t xml:space="preserve">povinná uložiť túto účtovnú závierku </w:t>
      </w:r>
      <w:r w:rsidRPr="008E5103">
        <w:rPr>
          <w:rStyle w:val="Siln"/>
          <w:rFonts w:asciiTheme="majorHAnsi" w:hAnsiTheme="majorHAnsi"/>
          <w:u w:val="single"/>
        </w:rPr>
        <w:t>do registra účtovných závierok.</w:t>
      </w:r>
      <w:r>
        <w:rPr>
          <w:rStyle w:val="Siln"/>
          <w:rFonts w:asciiTheme="majorHAnsi" w:hAnsiTheme="majorHAnsi"/>
          <w:u w:val="single"/>
        </w:rPr>
        <w:t xml:space="preserve"> </w:t>
      </w:r>
      <w:r w:rsidRPr="008E5103">
        <w:rPr>
          <w:rStyle w:val="Siln"/>
          <w:rFonts w:asciiTheme="majorHAnsi" w:hAnsiTheme="majorHAnsi"/>
          <w:b w:val="0"/>
        </w:rPr>
        <w:t>(elektronicky)</w:t>
      </w:r>
    </w:p>
    <w:p w:rsidR="00313898" w:rsidRDefault="00313898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</w:p>
    <w:p w:rsidR="008E5103" w:rsidRPr="008E5103" w:rsidRDefault="008E5103" w:rsidP="008E5103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8E5103">
        <w:rPr>
          <w:rFonts w:asciiTheme="majorHAnsi" w:hAnsiTheme="majorHAnsi"/>
          <w:b/>
          <w:sz w:val="24"/>
          <w:szCs w:val="24"/>
          <w:u w:val="single"/>
        </w:rPr>
        <w:t>definujte podstatu a obsah účtovnej závierky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iCs/>
        </w:rPr>
      </w:pPr>
      <w:r w:rsidRPr="008E5103">
        <w:rPr>
          <w:rFonts w:asciiTheme="majorHAnsi" w:eastAsia="Times New Roman" w:hAnsiTheme="majorHAnsi"/>
          <w:b/>
          <w:iCs/>
          <w:u w:val="single"/>
        </w:rPr>
        <w:t>Účtovná závierka</w:t>
      </w:r>
      <w:r>
        <w:rPr>
          <w:rFonts w:asciiTheme="majorHAnsi" w:eastAsia="Times New Roman" w:hAnsiTheme="majorHAnsi"/>
          <w:b/>
          <w:iCs/>
          <w:u w:val="single"/>
        </w:rPr>
        <w:t xml:space="preserve"> </w:t>
      </w:r>
      <w:r w:rsidRPr="008E5103">
        <w:rPr>
          <w:rFonts w:asciiTheme="majorHAnsi" w:eastAsia="Times New Roman" w:hAnsiTheme="majorHAnsi"/>
          <w:iCs/>
        </w:rPr>
        <w:t xml:space="preserve">podnikateľa, ktorý preukazuje svoje výdavky na dosiahnutie, zabezpečenie a udržanie príjmov a účtuje v sústave jednoduchého účtovníctva, </w:t>
      </w:r>
      <w:r w:rsidRPr="008E5103">
        <w:rPr>
          <w:rFonts w:asciiTheme="majorHAnsi" w:eastAsia="Times New Roman" w:hAnsiTheme="majorHAnsi"/>
          <w:b/>
          <w:iCs/>
        </w:rPr>
        <w:t>je súhrnné označenie účtovných výkazov:</w:t>
      </w:r>
    </w:p>
    <w:p w:rsidR="008E5103" w:rsidRPr="008E5103" w:rsidRDefault="008E5103" w:rsidP="008E5103">
      <w:pPr>
        <w:pStyle w:val="Bezriadkovania"/>
        <w:numPr>
          <w:ilvl w:val="0"/>
          <w:numId w:val="12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b/>
          <w:iCs/>
        </w:rPr>
        <w:t>Výkaz o príjmoch a</w:t>
      </w:r>
      <w:r>
        <w:rPr>
          <w:rFonts w:asciiTheme="majorHAnsi" w:eastAsia="Times New Roman" w:hAnsiTheme="majorHAnsi"/>
          <w:b/>
          <w:iCs/>
        </w:rPr>
        <w:t> </w:t>
      </w:r>
      <w:r w:rsidRPr="008E5103">
        <w:rPr>
          <w:rFonts w:asciiTheme="majorHAnsi" w:eastAsia="Times New Roman" w:hAnsiTheme="majorHAnsi"/>
          <w:b/>
          <w:iCs/>
        </w:rPr>
        <w:t>výdavkoch</w:t>
      </w:r>
      <w:r>
        <w:rPr>
          <w:rFonts w:asciiTheme="majorHAnsi" w:eastAsia="Times New Roman" w:hAnsiTheme="majorHAnsi"/>
          <w:b/>
          <w:iCs/>
        </w:rPr>
        <w:t xml:space="preserve"> </w:t>
      </w:r>
      <w:r w:rsidRPr="008E5103">
        <w:rPr>
          <w:rFonts w:asciiTheme="majorHAnsi" w:eastAsia="Times New Roman" w:hAnsiTheme="majorHAnsi"/>
          <w:iCs/>
        </w:rPr>
        <w:t>(poskytuje prehľad len o príjmoch a výdavkoch ovplyvňujúcich základ dane)</w:t>
      </w:r>
    </w:p>
    <w:p w:rsidR="008E5103" w:rsidRPr="008E5103" w:rsidRDefault="008E5103" w:rsidP="008E5103">
      <w:pPr>
        <w:pStyle w:val="Bezriadkovania"/>
        <w:numPr>
          <w:ilvl w:val="0"/>
          <w:numId w:val="12"/>
        </w:numPr>
        <w:tabs>
          <w:tab w:val="left" w:pos="6379"/>
        </w:tabs>
        <w:jc w:val="both"/>
        <w:rPr>
          <w:rFonts w:asciiTheme="majorHAnsi" w:eastAsia="Times New Roman" w:hAnsiTheme="majorHAnsi"/>
          <w:iCs/>
        </w:rPr>
      </w:pPr>
      <w:r w:rsidRPr="008E5103">
        <w:rPr>
          <w:rFonts w:asciiTheme="majorHAnsi" w:eastAsia="Times New Roman" w:hAnsiTheme="majorHAnsi"/>
          <w:b/>
          <w:iCs/>
        </w:rPr>
        <w:t xml:space="preserve">Výkaz o majetku a záväzkoch </w:t>
      </w:r>
      <w:r>
        <w:rPr>
          <w:rFonts w:asciiTheme="majorHAnsi" w:eastAsia="Times New Roman" w:hAnsiTheme="majorHAnsi"/>
          <w:iCs/>
        </w:rPr>
        <w:t>(</w:t>
      </w:r>
      <w:r w:rsidRPr="008E5103">
        <w:rPr>
          <w:rFonts w:asciiTheme="majorHAnsi" w:eastAsia="Times New Roman" w:hAnsiTheme="majorHAnsi"/>
          <w:iCs/>
        </w:rPr>
        <w:t>všetky údaje o majetku a záväzkoch musia byť doložené inventúrnymi súpismi)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hAnsiTheme="majorHAnsi"/>
        </w:rPr>
      </w:pPr>
      <w:r w:rsidRPr="008E5103">
        <w:rPr>
          <w:rFonts w:asciiTheme="majorHAnsi" w:hAnsiTheme="majorHAnsi"/>
        </w:rPr>
        <w:t xml:space="preserve">Účtovná závierka </w:t>
      </w:r>
      <w:r w:rsidRPr="008E5103">
        <w:rPr>
          <w:rStyle w:val="Siln"/>
          <w:rFonts w:asciiTheme="majorHAnsi" w:hAnsiTheme="majorHAnsi"/>
        </w:rPr>
        <w:t>poskytuje informácie o hospodárení danej účtovnej jednotky</w:t>
      </w:r>
      <w:r w:rsidRPr="008E5103">
        <w:rPr>
          <w:rFonts w:asciiTheme="majorHAnsi" w:hAnsiTheme="majorHAnsi"/>
        </w:rPr>
        <w:t>, pričom obsahuje údaje z bežného účtovného obdobia, ako aj údaje z bezprostredne predchádzajúceho účtovného obdobia.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 xml:space="preserve">Účtovná jednotka </w:t>
      </w:r>
      <w:r w:rsidRPr="008E5103">
        <w:rPr>
          <w:rFonts w:asciiTheme="majorHAnsi" w:eastAsia="Times New Roman" w:hAnsiTheme="majorHAnsi"/>
          <w:b/>
        </w:rPr>
        <w:t>pri zostavovaní účtovnej závierky</w:t>
      </w:r>
      <w:r w:rsidRPr="008E5103">
        <w:rPr>
          <w:rFonts w:asciiTheme="majorHAnsi" w:eastAsia="Times New Roman" w:hAnsiTheme="majorHAnsi"/>
        </w:rPr>
        <w:t xml:space="preserve"> v jednoduchom účtovníctve čerpá údaje najmä z:</w:t>
      </w:r>
    </w:p>
    <w:p w:rsidR="008E5103" w:rsidRPr="008E5103" w:rsidRDefault="008E5103" w:rsidP="008E5103">
      <w:pPr>
        <w:pStyle w:val="Bezriadkovania"/>
        <w:numPr>
          <w:ilvl w:val="0"/>
          <w:numId w:val="14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peňažného denníka,</w:t>
      </w:r>
    </w:p>
    <w:p w:rsidR="008E5103" w:rsidRPr="008E5103" w:rsidRDefault="008E5103" w:rsidP="008E5103">
      <w:pPr>
        <w:pStyle w:val="Bezriadkovania"/>
        <w:numPr>
          <w:ilvl w:val="0"/>
          <w:numId w:val="14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knihy pohľadávok a záväzkov,</w:t>
      </w:r>
    </w:p>
    <w:p w:rsidR="008E5103" w:rsidRPr="008E5103" w:rsidRDefault="008E5103" w:rsidP="008E5103">
      <w:pPr>
        <w:pStyle w:val="Bezriadkovania"/>
        <w:numPr>
          <w:ilvl w:val="0"/>
          <w:numId w:val="14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pomocných kníh,</w:t>
      </w:r>
    </w:p>
    <w:p w:rsidR="008E5103" w:rsidRPr="008E5103" w:rsidRDefault="008E5103" w:rsidP="008E5103">
      <w:pPr>
        <w:pStyle w:val="Bezriadkovania"/>
        <w:numPr>
          <w:ilvl w:val="0"/>
          <w:numId w:val="14"/>
        </w:numPr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výsledkov inventarizácie majetku a záväzkov.</w:t>
      </w:r>
    </w:p>
    <w:p w:rsidR="008E5103" w:rsidRPr="008E5103" w:rsidRDefault="008E5103" w:rsidP="008E5103">
      <w:pPr>
        <w:tabs>
          <w:tab w:val="left" w:pos="6379"/>
        </w:tabs>
        <w:spacing w:after="0" w:line="240" w:lineRule="auto"/>
        <w:ind w:left="360"/>
        <w:jc w:val="both"/>
        <w:rPr>
          <w:rFonts w:asciiTheme="majorHAnsi" w:hAnsiTheme="majorHAnsi"/>
        </w:rPr>
      </w:pPr>
    </w:p>
    <w:p w:rsidR="008E5103" w:rsidRDefault="008E5103" w:rsidP="008E5103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8E5103">
        <w:rPr>
          <w:rFonts w:asciiTheme="majorHAnsi" w:hAnsiTheme="majorHAnsi"/>
          <w:b/>
          <w:sz w:val="24"/>
          <w:szCs w:val="24"/>
          <w:u w:val="single"/>
        </w:rPr>
        <w:t>popíšte výpočet základu dane a dane z príjmov fyzickej osoby</w:t>
      </w:r>
    </w:p>
    <w:p w:rsidR="008E5103" w:rsidRPr="008E5103" w:rsidRDefault="008E5103" w:rsidP="008E5103">
      <w:pPr>
        <w:tabs>
          <w:tab w:val="left" w:pos="6379"/>
        </w:tabs>
        <w:spacing w:after="0" w:line="240" w:lineRule="auto"/>
        <w:ind w:left="36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8E5103" w:rsidRPr="008E5103" w:rsidRDefault="008E5103" w:rsidP="008E5103">
      <w:p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  <w:b/>
          <w:bCs/>
        </w:rPr>
        <w:t>Peňažný denník predstavuje hlavnú knihu jednoduchého účtovníctva.</w:t>
      </w:r>
    </w:p>
    <w:p w:rsidR="008E5103" w:rsidRPr="008E5103" w:rsidRDefault="008E5103" w:rsidP="008E5103">
      <w:p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</w:rPr>
        <w:t>Zachytávajú sa v ňom všetky účtovné prípady, ktoré sú spojené s pohybom peňažných prostriedkov - v hotovosti a na bankových účtoch v peňažných ústavoch.</w:t>
      </w:r>
    </w:p>
    <w:p w:rsidR="008E5103" w:rsidRPr="008E5103" w:rsidRDefault="008E5103" w:rsidP="008E5103">
      <w:p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</w:rPr>
      </w:pPr>
      <w:r w:rsidRPr="008E5103">
        <w:rPr>
          <w:rFonts w:asciiTheme="majorHAnsi" w:eastAsia="Times New Roman" w:hAnsiTheme="majorHAnsi" w:cs="Times New Roman"/>
          <w:b/>
          <w:bCs/>
        </w:rPr>
        <w:t>V peňažnom denníku sa účtujú:</w:t>
      </w:r>
    </w:p>
    <w:p w:rsidR="008E5103" w:rsidRPr="008E5103" w:rsidRDefault="008E5103" w:rsidP="008E5103">
      <w:pPr>
        <w:numPr>
          <w:ilvl w:val="0"/>
          <w:numId w:val="1"/>
        </w:numPr>
        <w:tabs>
          <w:tab w:val="clear" w:pos="720"/>
          <w:tab w:val="num" w:pos="426"/>
          <w:tab w:val="left" w:pos="6379"/>
        </w:tabs>
        <w:spacing w:after="0" w:line="240" w:lineRule="auto"/>
        <w:ind w:left="426" w:hanging="284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</w:rPr>
        <w:t>príjmy a výdavky v hotovosti, vrátane prijatých šekov a cenín,</w:t>
      </w:r>
    </w:p>
    <w:p w:rsidR="008E5103" w:rsidRPr="008E5103" w:rsidRDefault="008E5103" w:rsidP="008E5103">
      <w:pPr>
        <w:numPr>
          <w:ilvl w:val="0"/>
          <w:numId w:val="1"/>
        </w:numPr>
        <w:tabs>
          <w:tab w:val="clear" w:pos="720"/>
          <w:tab w:val="num" w:pos="426"/>
          <w:tab w:val="left" w:pos="6379"/>
        </w:tabs>
        <w:spacing w:before="100" w:beforeAutospacing="1" w:after="100" w:afterAutospacing="1" w:line="240" w:lineRule="auto"/>
        <w:ind w:left="426" w:hanging="284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</w:rPr>
        <w:t>príjmy a výdavky na účtoch v bankách,</w:t>
      </w:r>
    </w:p>
    <w:p w:rsidR="008E5103" w:rsidRPr="008E5103" w:rsidRDefault="008E5103" w:rsidP="008E5103">
      <w:pPr>
        <w:numPr>
          <w:ilvl w:val="0"/>
          <w:numId w:val="1"/>
        </w:numPr>
        <w:tabs>
          <w:tab w:val="clear" w:pos="720"/>
          <w:tab w:val="num" w:pos="426"/>
          <w:tab w:val="left" w:pos="6379"/>
        </w:tabs>
        <w:spacing w:before="100" w:beforeAutospacing="1" w:after="100" w:afterAutospacing="1" w:line="240" w:lineRule="auto"/>
        <w:ind w:left="426" w:hanging="284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</w:rPr>
        <w:t xml:space="preserve">priebežné položky, t. j. prevody medzi pokladnicou a bankovým účtom, prevody medzi pokladnicami alebo prevody medzi bankovými účtami </w:t>
      </w:r>
    </w:p>
    <w:p w:rsidR="008E5103" w:rsidRPr="008E5103" w:rsidRDefault="008E5103" w:rsidP="008E5103">
      <w:pPr>
        <w:numPr>
          <w:ilvl w:val="0"/>
          <w:numId w:val="1"/>
        </w:numPr>
        <w:tabs>
          <w:tab w:val="clear" w:pos="720"/>
          <w:tab w:val="num" w:pos="426"/>
          <w:tab w:val="left" w:pos="6379"/>
        </w:tabs>
        <w:spacing w:before="100" w:beforeAutospacing="1" w:after="100" w:afterAutospacing="1" w:line="240" w:lineRule="auto"/>
        <w:ind w:left="426" w:hanging="284"/>
        <w:jc w:val="both"/>
        <w:rPr>
          <w:rFonts w:asciiTheme="majorHAnsi" w:eastAsia="Times New Roman" w:hAnsiTheme="majorHAnsi" w:cs="Times New Roman"/>
        </w:rPr>
      </w:pPr>
      <w:r w:rsidRPr="008E5103">
        <w:rPr>
          <w:rFonts w:asciiTheme="majorHAnsi" w:eastAsia="Times New Roman" w:hAnsiTheme="majorHAnsi" w:cs="Times New Roman"/>
        </w:rPr>
        <w:t>uzávierkové účtovné prípady na konci účtovného obdobia, ktoré upravujú základ dane z príjmov, t. j. údaje, ktoré sú, alebo nie sú súčasťou dane z príjmu.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</w:rPr>
      </w:pPr>
      <w:r w:rsidRPr="008E5103">
        <w:rPr>
          <w:rFonts w:asciiTheme="majorHAnsi" w:eastAsia="Times New Roman" w:hAnsiTheme="majorHAnsi"/>
        </w:rPr>
        <w:t xml:space="preserve">Zápisy v peňažnom denníku musia vyjadrovať len </w:t>
      </w:r>
      <w:r w:rsidRPr="008E5103">
        <w:rPr>
          <w:rFonts w:asciiTheme="majorHAnsi" w:eastAsia="Times New Roman" w:hAnsiTheme="majorHAnsi"/>
          <w:b/>
        </w:rPr>
        <w:t>finančné operácie</w:t>
      </w:r>
      <w:r w:rsidRPr="008E5103">
        <w:rPr>
          <w:rFonts w:asciiTheme="majorHAnsi" w:eastAsia="Times New Roman" w:hAnsiTheme="majorHAnsi"/>
        </w:rPr>
        <w:t xml:space="preserve">, t. j. tie, pri ktorých nastal pohyb peňažných prostriedkov </w:t>
      </w:r>
      <w:r w:rsidRPr="008E5103">
        <w:rPr>
          <w:rFonts w:asciiTheme="majorHAnsi" w:eastAsia="Times New Roman" w:hAnsiTheme="majorHAnsi"/>
          <w:b/>
        </w:rPr>
        <w:t>v hotovosti</w:t>
      </w:r>
      <w:r w:rsidRPr="008E5103">
        <w:rPr>
          <w:rFonts w:asciiTheme="majorHAnsi" w:eastAsia="Times New Roman" w:hAnsiTheme="majorHAnsi"/>
        </w:rPr>
        <w:t xml:space="preserve"> alebo </w:t>
      </w:r>
      <w:r w:rsidRPr="008E5103">
        <w:rPr>
          <w:rFonts w:asciiTheme="majorHAnsi" w:eastAsia="Times New Roman" w:hAnsiTheme="majorHAnsi"/>
          <w:b/>
        </w:rPr>
        <w:t>na bankových účtoch</w:t>
      </w:r>
      <w:r w:rsidRPr="008E5103">
        <w:rPr>
          <w:rFonts w:asciiTheme="majorHAnsi" w:eastAsia="Times New Roman" w:hAnsiTheme="majorHAnsi"/>
        </w:rPr>
        <w:t>.</w:t>
      </w:r>
      <w:r>
        <w:rPr>
          <w:rFonts w:asciiTheme="majorHAnsi" w:eastAsia="Times New Roman" w:hAnsiTheme="majorHAnsi"/>
        </w:rPr>
        <w:t xml:space="preserve"> </w:t>
      </w:r>
      <w:r w:rsidRPr="008E5103">
        <w:rPr>
          <w:rFonts w:asciiTheme="majorHAnsi" w:eastAsia="Times New Roman" w:hAnsiTheme="majorHAnsi"/>
        </w:rPr>
        <w:t xml:space="preserve">Výnimku tvoria len </w:t>
      </w:r>
      <w:r w:rsidRPr="008E5103">
        <w:rPr>
          <w:rFonts w:asciiTheme="majorHAnsi" w:eastAsia="Times New Roman" w:hAnsiTheme="majorHAnsi"/>
          <w:b/>
          <w:u w:val="single"/>
        </w:rPr>
        <w:t>uzávierkové účtovné prípady</w:t>
      </w:r>
      <w:r w:rsidRPr="008E5103">
        <w:rPr>
          <w:rFonts w:asciiTheme="majorHAnsi" w:eastAsia="Times New Roman" w:hAnsiTheme="majorHAnsi"/>
        </w:rPr>
        <w:t xml:space="preserve"> - </w:t>
      </w:r>
      <w:r w:rsidRPr="008E5103">
        <w:rPr>
          <w:rFonts w:asciiTheme="majorHAnsi" w:eastAsia="Times New Roman" w:hAnsiTheme="majorHAnsi"/>
          <w:b/>
        </w:rPr>
        <w:t>nie sú pohybom peňažných prostriedkov</w:t>
      </w:r>
      <w:r w:rsidR="00313898">
        <w:rPr>
          <w:rFonts w:asciiTheme="majorHAnsi" w:eastAsia="Times New Roman" w:hAnsiTheme="majorHAnsi"/>
          <w:b/>
        </w:rPr>
        <w:t xml:space="preserve"> </w:t>
      </w:r>
      <w:r w:rsidR="00313898">
        <w:rPr>
          <w:rFonts w:asciiTheme="majorHAnsi" w:eastAsia="Times New Roman" w:hAnsiTheme="majorHAnsi"/>
        </w:rPr>
        <w:t>(</w:t>
      </w:r>
      <w:proofErr w:type="spellStart"/>
      <w:r w:rsidRPr="008E5103">
        <w:rPr>
          <w:rFonts w:asciiTheme="majorHAnsi" w:eastAsia="Times New Roman" w:hAnsiTheme="majorHAnsi"/>
        </w:rPr>
        <w:t>napr</w:t>
      </w:r>
      <w:proofErr w:type="spellEnd"/>
      <w:r w:rsidRPr="008E5103">
        <w:rPr>
          <w:rFonts w:asciiTheme="majorHAnsi" w:eastAsia="Times New Roman" w:hAnsiTheme="majorHAnsi"/>
        </w:rPr>
        <w:t>, odpisy DM, kurzové rozdiely)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</w:rPr>
        <w:t>Účtovné prípady</w:t>
      </w:r>
      <w:r w:rsidRPr="008E5103">
        <w:rPr>
          <w:rFonts w:asciiTheme="majorHAnsi" w:eastAsia="Times New Roman" w:hAnsiTheme="majorHAnsi"/>
        </w:rPr>
        <w:t xml:space="preserve"> sa v peňažnom denníku </w:t>
      </w:r>
      <w:r w:rsidRPr="008E5103">
        <w:rPr>
          <w:rFonts w:asciiTheme="majorHAnsi" w:eastAsia="Times New Roman" w:hAnsiTheme="majorHAnsi"/>
          <w:b/>
        </w:rPr>
        <w:t>účtujú na základe účtovných dokladov:</w:t>
      </w:r>
    </w:p>
    <w:p w:rsidR="008E5103" w:rsidRPr="008E5103" w:rsidRDefault="008E5103" w:rsidP="008E5103">
      <w:pPr>
        <w:pStyle w:val="Odsekzoznamu"/>
        <w:numPr>
          <w:ilvl w:val="0"/>
          <w:numId w:val="2"/>
        </w:num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  <w:lang w:eastAsia="sk-SK"/>
        </w:rPr>
      </w:pPr>
      <w:r w:rsidRPr="008E5103">
        <w:rPr>
          <w:rFonts w:asciiTheme="majorHAnsi" w:eastAsia="Times New Roman" w:hAnsiTheme="majorHAnsi" w:cs="Times New Roman"/>
          <w:lang w:eastAsia="sk-SK"/>
        </w:rPr>
        <w:t>v časovom poradí (chronologicky) podľa dátumu vyhotovenia účtovného dokladu</w:t>
      </w:r>
    </w:p>
    <w:p w:rsidR="008E5103" w:rsidRPr="008E5103" w:rsidRDefault="008E5103" w:rsidP="008E5103">
      <w:pPr>
        <w:pStyle w:val="Odsekzoznamu"/>
        <w:numPr>
          <w:ilvl w:val="0"/>
          <w:numId w:val="2"/>
        </w:numPr>
        <w:tabs>
          <w:tab w:val="left" w:pos="6379"/>
        </w:tabs>
        <w:spacing w:after="0" w:line="240" w:lineRule="auto"/>
        <w:jc w:val="both"/>
        <w:rPr>
          <w:rFonts w:asciiTheme="majorHAnsi" w:eastAsia="Times New Roman" w:hAnsiTheme="majorHAnsi" w:cs="Times New Roman"/>
          <w:lang w:eastAsia="sk-SK"/>
        </w:rPr>
      </w:pPr>
      <w:r w:rsidRPr="008E5103">
        <w:rPr>
          <w:rFonts w:asciiTheme="majorHAnsi" w:eastAsia="Times New Roman" w:hAnsiTheme="majorHAnsi" w:cs="Times New Roman"/>
          <w:lang w:eastAsia="sk-SK"/>
        </w:rPr>
        <w:t>v členení na príjmy a výdavky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 xml:space="preserve">Vzájomná spätosť medzi účtovným dokladom a zápisom dokladu v peňažnom denníku sa zabezpečí tým, že sa uvedie na </w:t>
      </w:r>
      <w:r w:rsidRPr="008E5103">
        <w:rPr>
          <w:rFonts w:asciiTheme="majorHAnsi" w:eastAsia="Times New Roman" w:hAnsiTheme="majorHAnsi"/>
          <w:b/>
        </w:rPr>
        <w:t>každý doklad číslo strany denníka, číslo riadku a rok</w:t>
      </w:r>
      <w:r w:rsidRPr="008E5103">
        <w:rPr>
          <w:rFonts w:asciiTheme="majorHAnsi" w:eastAsia="Times New Roman" w:hAnsiTheme="majorHAnsi"/>
        </w:rPr>
        <w:t xml:space="preserve"> (napríklad: 1/5/201X =&gt; strana/riadok/účtovné obdobie. Ak má účtovná jednotka viac pokladníc alebo viac účtov v bankách, o každej pokladnici účtuje v </w:t>
      </w:r>
      <w:r w:rsidRPr="008E5103">
        <w:rPr>
          <w:rFonts w:asciiTheme="majorHAnsi" w:eastAsia="Times New Roman" w:hAnsiTheme="majorHAnsi"/>
          <w:b/>
        </w:rPr>
        <w:t>osobitnej pokladničnej knihe</w:t>
      </w:r>
      <w:r w:rsidRPr="008E5103">
        <w:rPr>
          <w:rFonts w:asciiTheme="majorHAnsi" w:eastAsia="Times New Roman" w:hAnsiTheme="majorHAnsi"/>
        </w:rPr>
        <w:t xml:space="preserve"> a každom bankovom účte v </w:t>
      </w:r>
      <w:r w:rsidRPr="008E5103">
        <w:rPr>
          <w:rFonts w:asciiTheme="majorHAnsi" w:eastAsia="Times New Roman" w:hAnsiTheme="majorHAnsi"/>
          <w:b/>
        </w:rPr>
        <w:t>knihe účet v banke</w:t>
      </w:r>
      <w:r w:rsidRPr="008E5103">
        <w:rPr>
          <w:rFonts w:asciiTheme="majorHAnsi" w:eastAsia="Times New Roman" w:hAnsiTheme="majorHAnsi"/>
        </w:rPr>
        <w:t xml:space="preserve"> a súčasne aj </w:t>
      </w:r>
      <w:r w:rsidRPr="008E5103">
        <w:rPr>
          <w:rFonts w:asciiTheme="majorHAnsi" w:eastAsia="Times New Roman" w:hAnsiTheme="majorHAnsi"/>
          <w:b/>
        </w:rPr>
        <w:t>v peňažnom denníku</w:t>
      </w:r>
      <w:r w:rsidRPr="008E5103">
        <w:rPr>
          <w:rFonts w:asciiTheme="majorHAnsi" w:eastAsia="Times New Roman" w:hAnsiTheme="majorHAnsi"/>
        </w:rPr>
        <w:t xml:space="preserve">. Zostatky peňažných prostriedkov v hotovosti a na bankových účtoch sa prevedú do nasledujúceho účtovného obdobia. 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bCs/>
        </w:rPr>
      </w:pP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  <w:b/>
          <w:bCs/>
        </w:rPr>
        <w:t xml:space="preserve">KNIHA POHĽADÁVOK </w:t>
      </w:r>
      <w:r w:rsidRPr="008E5103">
        <w:rPr>
          <w:rFonts w:asciiTheme="majorHAnsi" w:eastAsia="Times New Roman" w:hAnsiTheme="majorHAnsi"/>
        </w:rPr>
        <w:t xml:space="preserve"> - v nej sa účtujú všetky pohľadávky podnikateľa voči vonkajším subjektom - pohľadávky voči odberateľom, poskytnuté preddavky dodávateľom, pohľadávky voči Sociálnej poisťovni, zdravotnej poisťovni, poskytnuté úvery iným podnikateľom, poskytnuté preddavky zamestnancom, pohľadávky za manká a škody, pohľadávky dane z príjmov, pohľadávky nepriamych daní. 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bCs/>
        </w:rPr>
      </w:pP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  <w:b/>
          <w:bCs/>
        </w:rPr>
      </w:pPr>
      <w:r w:rsidRPr="008E5103">
        <w:rPr>
          <w:rFonts w:asciiTheme="majorHAnsi" w:eastAsia="Times New Roman" w:hAnsiTheme="majorHAnsi"/>
          <w:b/>
          <w:bCs/>
        </w:rPr>
        <w:t>KNIHA ZÁVÄZKOV - v nej</w:t>
      </w:r>
      <w:r w:rsidRPr="008E5103">
        <w:rPr>
          <w:rFonts w:asciiTheme="majorHAnsi" w:eastAsia="Times New Roman" w:hAnsiTheme="majorHAnsi"/>
        </w:rPr>
        <w:t xml:space="preserve"> sa účtujú všetky záväzky podnikateľa voči vonkajším subjektom - záväzky voči dodávateľom, prijaté preddavky od odberateľov, záväzky voči SP, ZP, záväzky voči zamestnancom, záväzky voči správcovi jednotlivých daní, záväzky voči banke atď.. </w:t>
      </w:r>
    </w:p>
    <w:p w:rsidR="008E5103" w:rsidRPr="008E5103" w:rsidRDefault="008E5103" w:rsidP="008E5103">
      <w:pPr>
        <w:pStyle w:val="Bezriadkovania"/>
        <w:tabs>
          <w:tab w:val="left" w:pos="6379"/>
        </w:tabs>
        <w:jc w:val="both"/>
        <w:rPr>
          <w:rFonts w:asciiTheme="majorHAnsi" w:eastAsia="Times New Roman" w:hAnsiTheme="majorHAnsi"/>
        </w:rPr>
      </w:pPr>
      <w:r w:rsidRPr="008E5103">
        <w:rPr>
          <w:rFonts w:asciiTheme="majorHAnsi" w:eastAsia="Times New Roman" w:hAnsiTheme="majorHAnsi"/>
        </w:rPr>
        <w:t>Účtovné</w:t>
      </w:r>
      <w:r w:rsidR="00C10B1D">
        <w:rPr>
          <w:rFonts w:asciiTheme="majorHAnsi" w:eastAsia="Times New Roman" w:hAnsiTheme="majorHAnsi"/>
        </w:rPr>
        <w:t xml:space="preserve"> knihy vedie účtovná jednotka(ÚJ</w:t>
      </w:r>
      <w:r w:rsidRPr="008E5103">
        <w:rPr>
          <w:rFonts w:asciiTheme="majorHAnsi" w:eastAsia="Times New Roman" w:hAnsiTheme="majorHAnsi"/>
        </w:rPr>
        <w:t xml:space="preserve">) v každom ú. o.  Účtovným obdobím je kalendárny rok. ÚJ  je </w:t>
      </w:r>
      <w:r w:rsidRPr="008E5103">
        <w:rPr>
          <w:rFonts w:asciiTheme="majorHAnsi" w:eastAsia="Times New Roman" w:hAnsiTheme="majorHAnsi"/>
          <w:b/>
        </w:rPr>
        <w:t xml:space="preserve">povinná zabezpečiť ochranu účtovnej dokumentácie </w:t>
      </w:r>
      <w:r w:rsidRPr="008E5103">
        <w:rPr>
          <w:rFonts w:asciiTheme="majorHAnsi" w:eastAsia="Times New Roman" w:hAnsiTheme="majorHAnsi"/>
        </w:rPr>
        <w:t>proti strate, zničeniu alebo poškodeniu. ÚJ je povinná uchovávať účtovné záznamy niekoľko rokov po účtovnom období, v ktorom boli účtované</w:t>
      </w:r>
      <w:r w:rsidR="00C10B1D">
        <w:rPr>
          <w:rFonts w:asciiTheme="majorHAnsi" w:eastAsia="Times New Roman" w:hAnsiTheme="majorHAnsi"/>
        </w:rPr>
        <w:t>.</w:t>
      </w:r>
      <w:r w:rsidRPr="008E5103">
        <w:rPr>
          <w:rFonts w:asciiTheme="majorHAnsi" w:eastAsia="Times New Roman" w:hAnsiTheme="majorHAnsi"/>
        </w:rPr>
        <w:t xml:space="preserve"> </w:t>
      </w:r>
    </w:p>
    <w:p w:rsidR="008E5103" w:rsidRDefault="008E5103" w:rsidP="008E5103">
      <w:pPr>
        <w:tabs>
          <w:tab w:val="left" w:pos="6379"/>
        </w:tabs>
        <w:spacing w:after="0" w:line="240" w:lineRule="auto"/>
        <w:ind w:left="360"/>
        <w:jc w:val="both"/>
        <w:rPr>
          <w:rFonts w:asciiTheme="majorHAnsi" w:hAnsiTheme="majorHAnsi"/>
        </w:rPr>
      </w:pPr>
    </w:p>
    <w:p w:rsidR="008E5103" w:rsidRPr="00313898" w:rsidRDefault="008E5103" w:rsidP="008E5103">
      <w:pPr>
        <w:numPr>
          <w:ilvl w:val="0"/>
          <w:numId w:val="16"/>
        </w:numPr>
        <w:tabs>
          <w:tab w:val="left" w:pos="6379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13898">
        <w:rPr>
          <w:rFonts w:asciiTheme="majorHAnsi" w:hAnsiTheme="majorHAnsi"/>
          <w:b/>
          <w:sz w:val="24"/>
          <w:szCs w:val="24"/>
          <w:u w:val="single"/>
        </w:rPr>
        <w:t>vysvetlite postup</w:t>
      </w:r>
      <w:r w:rsidR="00313898">
        <w:rPr>
          <w:rFonts w:asciiTheme="majorHAnsi" w:hAnsiTheme="majorHAnsi"/>
          <w:b/>
          <w:sz w:val="24"/>
          <w:szCs w:val="24"/>
          <w:u w:val="single"/>
        </w:rPr>
        <w:t>y účtovania v peňažnom denníku</w:t>
      </w:r>
    </w:p>
    <w:p w:rsidR="00A15D11" w:rsidRPr="008E5103" w:rsidRDefault="00A15D11" w:rsidP="00A4198D">
      <w:pPr>
        <w:pStyle w:val="Bezriadkovania"/>
        <w:tabs>
          <w:tab w:val="left" w:pos="6379"/>
        </w:tabs>
        <w:jc w:val="both"/>
        <w:rPr>
          <w:rFonts w:asciiTheme="majorHAnsi" w:hAnsiTheme="majorHAnsi"/>
        </w:rPr>
      </w:pPr>
    </w:p>
    <w:sectPr w:rsidR="00A15D11" w:rsidRPr="008E5103" w:rsidSect="007736F7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611"/>
    <w:multiLevelType w:val="hybridMultilevel"/>
    <w:tmpl w:val="BA82A2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A00"/>
    <w:multiLevelType w:val="multilevel"/>
    <w:tmpl w:val="905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C0E7F"/>
    <w:multiLevelType w:val="multilevel"/>
    <w:tmpl w:val="91B2C3E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0C46D39"/>
    <w:multiLevelType w:val="multilevel"/>
    <w:tmpl w:val="FE7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B4EB0"/>
    <w:multiLevelType w:val="multilevel"/>
    <w:tmpl w:val="DEC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C1574"/>
    <w:multiLevelType w:val="multilevel"/>
    <w:tmpl w:val="6250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22C0F"/>
    <w:multiLevelType w:val="multilevel"/>
    <w:tmpl w:val="28DE3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D6017"/>
    <w:multiLevelType w:val="hybridMultilevel"/>
    <w:tmpl w:val="1D22E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C63E1"/>
    <w:multiLevelType w:val="hybridMultilevel"/>
    <w:tmpl w:val="93408BBA"/>
    <w:lvl w:ilvl="0" w:tplc="84AE8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11BC3"/>
    <w:multiLevelType w:val="hybridMultilevel"/>
    <w:tmpl w:val="6C9046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26D95"/>
    <w:multiLevelType w:val="multilevel"/>
    <w:tmpl w:val="7D00C8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D74961"/>
    <w:multiLevelType w:val="multilevel"/>
    <w:tmpl w:val="91B2C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3162C"/>
    <w:multiLevelType w:val="hybridMultilevel"/>
    <w:tmpl w:val="B2C603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E439A"/>
    <w:multiLevelType w:val="hybridMultilevel"/>
    <w:tmpl w:val="505EBA80"/>
    <w:lvl w:ilvl="0" w:tplc="041B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0440655"/>
    <w:multiLevelType w:val="multilevel"/>
    <w:tmpl w:val="5BEE43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8B3AD0"/>
    <w:multiLevelType w:val="hybridMultilevel"/>
    <w:tmpl w:val="29B20C7E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F36586"/>
    <w:multiLevelType w:val="multilevel"/>
    <w:tmpl w:val="0DB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51557"/>
    <w:multiLevelType w:val="hybridMultilevel"/>
    <w:tmpl w:val="C2A24F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874E8"/>
    <w:multiLevelType w:val="multilevel"/>
    <w:tmpl w:val="572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16"/>
  </w:num>
  <w:num w:numId="8">
    <w:abstractNumId w:val="7"/>
  </w:num>
  <w:num w:numId="9">
    <w:abstractNumId w:val="2"/>
  </w:num>
  <w:num w:numId="10">
    <w:abstractNumId w:val="13"/>
  </w:num>
  <w:num w:numId="11">
    <w:abstractNumId w:val="17"/>
  </w:num>
  <w:num w:numId="12">
    <w:abstractNumId w:val="12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1"/>
  </w:num>
  <w:num w:numId="18">
    <w:abstractNumId w:val="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2727"/>
    <w:rsid w:val="00085F06"/>
    <w:rsid w:val="00294D9E"/>
    <w:rsid w:val="00306C1B"/>
    <w:rsid w:val="00313898"/>
    <w:rsid w:val="004E7A7D"/>
    <w:rsid w:val="005377FD"/>
    <w:rsid w:val="005E4823"/>
    <w:rsid w:val="0063351A"/>
    <w:rsid w:val="006C5092"/>
    <w:rsid w:val="007969C2"/>
    <w:rsid w:val="007D2727"/>
    <w:rsid w:val="007E6C7B"/>
    <w:rsid w:val="007F6C27"/>
    <w:rsid w:val="008B4BCF"/>
    <w:rsid w:val="008E5103"/>
    <w:rsid w:val="009462BC"/>
    <w:rsid w:val="00A15D11"/>
    <w:rsid w:val="00A4198D"/>
    <w:rsid w:val="00AA783C"/>
    <w:rsid w:val="00AC5C7F"/>
    <w:rsid w:val="00B97C43"/>
    <w:rsid w:val="00C10B1D"/>
    <w:rsid w:val="00C55F5F"/>
    <w:rsid w:val="00C63CC6"/>
    <w:rsid w:val="00CE6661"/>
    <w:rsid w:val="00D371B1"/>
    <w:rsid w:val="00D61017"/>
    <w:rsid w:val="00DF05D8"/>
    <w:rsid w:val="00E05265"/>
    <w:rsid w:val="00F6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77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2727"/>
    <w:pPr>
      <w:ind w:left="720"/>
      <w:contextualSpacing/>
    </w:pPr>
    <w:rPr>
      <w:rFonts w:eastAsiaTheme="minorHAnsi"/>
      <w:lang w:eastAsia="en-US"/>
    </w:rPr>
  </w:style>
  <w:style w:type="paragraph" w:styleId="Bezriadkovania">
    <w:name w:val="No Spacing"/>
    <w:uiPriority w:val="1"/>
    <w:qFormat/>
    <w:rsid w:val="007969C2"/>
    <w:pPr>
      <w:spacing w:after="0" w:line="240" w:lineRule="auto"/>
    </w:pPr>
  </w:style>
  <w:style w:type="character" w:styleId="Siln">
    <w:name w:val="Strong"/>
    <w:basedOn w:val="Predvolenpsmoodseku"/>
    <w:uiPriority w:val="22"/>
    <w:qFormat/>
    <w:rsid w:val="00F62D98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F6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4</cp:revision>
  <cp:lastPrinted>2022-05-27T09:40:00Z</cp:lastPrinted>
  <dcterms:created xsi:type="dcterms:W3CDTF">2019-06-02T18:10:00Z</dcterms:created>
  <dcterms:modified xsi:type="dcterms:W3CDTF">2022-05-27T09:40:00Z</dcterms:modified>
</cp:coreProperties>
</file>