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50" w:rsidRPr="003958C9" w:rsidRDefault="00B47496" w:rsidP="00B47496">
      <w:pPr>
        <w:jc w:val="center"/>
        <w:rPr>
          <w:b/>
          <w:sz w:val="28"/>
          <w:u w:val="single"/>
        </w:rPr>
      </w:pPr>
      <w:r w:rsidRPr="003958C9">
        <w:rPr>
          <w:b/>
          <w:sz w:val="32"/>
          <w:u w:val="single"/>
        </w:rPr>
        <w:t>GEOMETRICKÝ PLÁN</w:t>
      </w:r>
    </w:p>
    <w:p w:rsidR="00E26C87" w:rsidRDefault="00B47496" w:rsidP="00EB439B">
      <w:pPr>
        <w:shd w:val="clear" w:color="auto" w:fill="FFFFFF" w:themeFill="background1"/>
        <w:spacing w:after="0"/>
        <w:jc w:val="both"/>
        <w:rPr>
          <w:rFonts w:cs="Arial"/>
          <w:color w:val="0D0D0D"/>
          <w:sz w:val="24"/>
          <w:szCs w:val="20"/>
          <w:shd w:val="clear" w:color="auto" w:fill="F3F4F5"/>
        </w:rPr>
      </w:pPr>
      <w:r w:rsidRPr="003958C9">
        <w:rPr>
          <w:rFonts w:cs="Arial"/>
          <w:color w:val="0D0D0D"/>
          <w:sz w:val="24"/>
          <w:szCs w:val="20"/>
          <w:shd w:val="clear" w:color="auto" w:fill="F3F4F5"/>
        </w:rPr>
        <w:t>Geometrický plán najčastejšie slúži ako technický podklad pre rozdelenie alebo zlúčenie pozemkov, ako aj na vyznačenie vecného bremena, alebo stavby do katastrálnej mapy. Geometrické plány vyhotovujú</w:t>
      </w:r>
      <w:r w:rsidRPr="003958C9">
        <w:rPr>
          <w:rStyle w:val="apple-converted-space"/>
          <w:rFonts w:cs="Arial"/>
          <w:color w:val="0D0D0D"/>
          <w:sz w:val="24"/>
          <w:szCs w:val="20"/>
          <w:shd w:val="clear" w:color="auto" w:fill="F3F4F5"/>
        </w:rPr>
        <w:t> </w:t>
      </w:r>
      <w:r w:rsidRPr="003958C9">
        <w:rPr>
          <w:rStyle w:val="Siln"/>
          <w:rFonts w:cs="Arial"/>
          <w:color w:val="0D0D0D"/>
          <w:sz w:val="24"/>
          <w:szCs w:val="20"/>
          <w:shd w:val="clear" w:color="auto" w:fill="F3F4F5"/>
        </w:rPr>
        <w:t>geodeti</w:t>
      </w:r>
      <w:r w:rsidRPr="003958C9">
        <w:rPr>
          <w:rFonts w:cs="Arial"/>
          <w:color w:val="0D0D0D"/>
          <w:sz w:val="24"/>
          <w:szCs w:val="20"/>
          <w:shd w:val="clear" w:color="auto" w:fill="F3F4F5"/>
        </w:rPr>
        <w:t xml:space="preserve">. Aby mohli byť údaje z geometrického plánu zapísané do katastra musí byť overený dvomi spôsobmi: </w:t>
      </w:r>
    </w:p>
    <w:p w:rsidR="00E26C87" w:rsidRDefault="00E26C87" w:rsidP="00EB439B">
      <w:pPr>
        <w:shd w:val="clear" w:color="auto" w:fill="FFFFFF" w:themeFill="background1"/>
        <w:spacing w:after="0"/>
        <w:jc w:val="both"/>
        <w:rPr>
          <w:rFonts w:cs="Arial"/>
          <w:color w:val="0D0D0D"/>
          <w:sz w:val="24"/>
          <w:szCs w:val="20"/>
          <w:shd w:val="clear" w:color="auto" w:fill="F3F4F5"/>
        </w:rPr>
      </w:pPr>
      <w:r>
        <w:rPr>
          <w:rFonts w:cs="Arial"/>
          <w:color w:val="0D0D0D"/>
          <w:sz w:val="24"/>
          <w:szCs w:val="20"/>
          <w:shd w:val="clear" w:color="auto" w:fill="F3F4F5"/>
        </w:rPr>
        <w:t xml:space="preserve">1. autorizovaným geodetom </w:t>
      </w:r>
    </w:p>
    <w:p w:rsidR="00E26C87" w:rsidRDefault="00B47496" w:rsidP="00EB439B">
      <w:pPr>
        <w:shd w:val="clear" w:color="auto" w:fill="FFFFFF" w:themeFill="background1"/>
        <w:spacing w:after="0"/>
        <w:jc w:val="both"/>
        <w:rPr>
          <w:rFonts w:cs="Arial"/>
          <w:color w:val="0D0D0D"/>
          <w:sz w:val="24"/>
          <w:szCs w:val="20"/>
          <w:shd w:val="clear" w:color="auto" w:fill="F3F4F5"/>
        </w:rPr>
      </w:pPr>
      <w:r w:rsidRPr="003958C9">
        <w:rPr>
          <w:rFonts w:cs="Arial"/>
          <w:color w:val="0D0D0D"/>
          <w:sz w:val="24"/>
          <w:szCs w:val="20"/>
          <w:shd w:val="clear" w:color="auto" w:fill="F3F4F5"/>
        </w:rPr>
        <w:t>2. správou katastra (úradné overenie).</w:t>
      </w:r>
    </w:p>
    <w:p w:rsidR="00B47496" w:rsidRPr="003958C9" w:rsidRDefault="00B47496" w:rsidP="00EB439B">
      <w:pPr>
        <w:shd w:val="clear" w:color="auto" w:fill="FFFFFF" w:themeFill="background1"/>
        <w:jc w:val="both"/>
        <w:rPr>
          <w:rFonts w:cs="Arial"/>
          <w:color w:val="0D0D0D"/>
          <w:sz w:val="24"/>
          <w:szCs w:val="20"/>
          <w:shd w:val="clear" w:color="auto" w:fill="F3F4F5"/>
        </w:rPr>
      </w:pPr>
      <w:r w:rsidRPr="003958C9">
        <w:rPr>
          <w:rFonts w:cs="Arial"/>
          <w:color w:val="0D0D0D"/>
          <w:sz w:val="24"/>
          <w:szCs w:val="20"/>
          <w:shd w:val="clear" w:color="auto" w:fill="F3F4F5"/>
        </w:rPr>
        <w:t xml:space="preserve"> Overením sa má zaručiť, že geometrický plán zodpovedá technickým normám, a že vychádza z údajov katastra.</w:t>
      </w:r>
    </w:p>
    <w:p w:rsidR="00B47496" w:rsidRPr="003958C9" w:rsidRDefault="00B47496" w:rsidP="00EB439B">
      <w:pPr>
        <w:shd w:val="clear" w:color="auto" w:fill="FFFFFF" w:themeFill="background1"/>
        <w:jc w:val="both"/>
        <w:rPr>
          <w:rFonts w:cs="Arial"/>
          <w:color w:val="0D0D0D"/>
          <w:sz w:val="24"/>
          <w:szCs w:val="20"/>
          <w:shd w:val="clear" w:color="auto" w:fill="F3F4F5"/>
        </w:rPr>
      </w:pPr>
      <w:r w:rsidRPr="003958C9">
        <w:rPr>
          <w:rFonts w:cs="Arial"/>
          <w:color w:val="0D0D0D"/>
          <w:sz w:val="24"/>
          <w:szCs w:val="20"/>
          <w:shd w:val="clear" w:color="auto" w:fill="F3F4F5"/>
        </w:rPr>
        <w:t>Geometrický plán sa prikladá k zmluvám a listinám, ktoré sú predložené správe katastra na zápis práva k nehnuteľnosti. Môže ísť napríklad o kúpnu zmluvu, na základe ktorej dochádza k predaji časti pozemku. Geometrický plán môže byť do katastra zapísaný aj bez písomného právneho úkonu (resp. zmluvy), napríklad ak sa majiteľ pozemku rozhodne svoj pozemok rozdeliť na dva nové pozemky. Ak by sa v geometrickom pláne rozdeľoval pozemok viacerých spoluvlastníkov, vyžadoval by sa od všetkých súhlas s rozdelením.</w:t>
      </w:r>
    </w:p>
    <w:p w:rsidR="00B47496" w:rsidRPr="003958C9" w:rsidRDefault="00B47496" w:rsidP="00EB439B">
      <w:pPr>
        <w:shd w:val="clear" w:color="auto" w:fill="FFFFFF" w:themeFill="background1"/>
        <w:rPr>
          <w:rFonts w:cs="Arial"/>
          <w:color w:val="0D0D0D"/>
          <w:sz w:val="24"/>
          <w:szCs w:val="20"/>
          <w:shd w:val="clear" w:color="auto" w:fill="F3F4F5"/>
        </w:rPr>
      </w:pPr>
      <w:r w:rsidRPr="003958C9">
        <w:rPr>
          <w:rFonts w:cs="Arial"/>
          <w:color w:val="0D0D0D"/>
          <w:sz w:val="24"/>
          <w:szCs w:val="20"/>
          <w:shd w:val="clear" w:color="auto" w:fill="F3F4F5"/>
        </w:rPr>
        <w:t>Podľa vyhlášky č. 461/2009 Z. z. geometrický plán sa vyhotovuje najmä na tieto</w:t>
      </w:r>
      <w:r w:rsidRPr="003958C9">
        <w:rPr>
          <w:rStyle w:val="apple-converted-space"/>
          <w:rFonts w:cs="Arial"/>
          <w:color w:val="0D0D0D"/>
          <w:sz w:val="24"/>
          <w:szCs w:val="20"/>
          <w:shd w:val="clear" w:color="auto" w:fill="F3F4F5"/>
        </w:rPr>
        <w:t> </w:t>
      </w:r>
      <w:r w:rsidRPr="003958C9">
        <w:rPr>
          <w:rStyle w:val="Siln"/>
          <w:rFonts w:cs="Arial"/>
          <w:color w:val="0D0D0D"/>
          <w:sz w:val="24"/>
          <w:szCs w:val="20"/>
          <w:shd w:val="clear" w:color="auto" w:fill="F3F4F5"/>
        </w:rPr>
        <w:t>účely</w:t>
      </w:r>
      <w:r w:rsidRPr="003958C9">
        <w:rPr>
          <w:rFonts w:cs="Arial"/>
          <w:color w:val="0D0D0D"/>
          <w:sz w:val="24"/>
          <w:szCs w:val="20"/>
          <w:shd w:val="clear" w:color="auto" w:fill="F3F4F5"/>
        </w:rPr>
        <w:t>:</w:t>
      </w:r>
      <w:r w:rsidRPr="003958C9">
        <w:rPr>
          <w:rFonts w:cs="Arial"/>
          <w:color w:val="0D0D0D"/>
          <w:sz w:val="24"/>
          <w:szCs w:val="20"/>
        </w:rPr>
        <w:br/>
      </w:r>
      <w:r w:rsidRPr="003958C9">
        <w:rPr>
          <w:rFonts w:cs="Arial"/>
          <w:color w:val="0D0D0D"/>
          <w:sz w:val="24"/>
          <w:szCs w:val="20"/>
          <w:shd w:val="clear" w:color="auto" w:fill="F3F4F5"/>
        </w:rPr>
        <w:t>a) zmenu hranice katastrálneho územia,</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b) rozdelenie nehnuteľností,</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c) zlúčenie nehnuteľností,</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d) zameranie stavby,</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e) určenie práv k nehnuteľnostiam vlastníkov alebo iných oprávnených osôb,</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f) na vymedzenie rozsahu vecného bremena,</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g) na vymedzenie duplicitného vlastníctva,</w:t>
      </w:r>
      <w:r w:rsidRPr="003958C9">
        <w:rPr>
          <w:rFonts w:cs="Arial"/>
          <w:color w:val="0D0D0D"/>
          <w:sz w:val="24"/>
          <w:szCs w:val="20"/>
        </w:rPr>
        <w:br/>
      </w:r>
      <w:r w:rsidRPr="003958C9">
        <w:rPr>
          <w:rFonts w:cs="Arial"/>
          <w:color w:val="0D0D0D"/>
          <w:sz w:val="24"/>
          <w:szCs w:val="20"/>
          <w:shd w:val="clear" w:color="auto" w:fill="F3F4F5"/>
        </w:rPr>
        <w:t>h) na spresnenie geometrického a polohového určenia nehnuteľnosti,</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i) pozemkové úpravy.</w:t>
      </w:r>
    </w:p>
    <w:p w:rsidR="00E26C87" w:rsidRDefault="00B47496" w:rsidP="00EB439B">
      <w:pPr>
        <w:shd w:val="clear" w:color="auto" w:fill="FFFFFF" w:themeFill="background1"/>
        <w:spacing w:after="0"/>
        <w:jc w:val="both"/>
        <w:rPr>
          <w:rFonts w:cs="Arial"/>
          <w:color w:val="0D0D0D"/>
          <w:sz w:val="24"/>
          <w:szCs w:val="20"/>
          <w:shd w:val="clear" w:color="auto" w:fill="F3F4F5"/>
        </w:rPr>
      </w:pPr>
      <w:r w:rsidRPr="003958C9">
        <w:rPr>
          <w:rFonts w:cs="Arial"/>
          <w:color w:val="0D0D0D"/>
          <w:sz w:val="24"/>
          <w:szCs w:val="20"/>
          <w:shd w:val="clear" w:color="auto" w:fill="F3F4F5"/>
        </w:rPr>
        <w:t xml:space="preserve">V geometrickom pláne je zakreslený pôvodný stav (čiernou farbou), ako aj nový stav (červenou). Geometrický plán sa skladá z týchto častí: </w:t>
      </w:r>
    </w:p>
    <w:p w:rsidR="00E26C87" w:rsidRDefault="00EB439B" w:rsidP="00EB439B">
      <w:pPr>
        <w:shd w:val="clear" w:color="auto" w:fill="FFFFFF" w:themeFill="background1"/>
        <w:spacing w:after="0"/>
        <w:jc w:val="both"/>
        <w:rPr>
          <w:rFonts w:cs="Arial"/>
          <w:color w:val="0D0D0D"/>
          <w:sz w:val="24"/>
          <w:szCs w:val="20"/>
          <w:shd w:val="clear" w:color="auto" w:fill="F3F4F5"/>
        </w:rPr>
      </w:pPr>
      <w:r>
        <w:rPr>
          <w:rFonts w:cs="Arial"/>
          <w:color w:val="0D0D0D"/>
          <w:sz w:val="24"/>
          <w:szCs w:val="20"/>
          <w:shd w:val="clear" w:color="auto" w:fill="F3F4F5"/>
        </w:rPr>
        <w:t xml:space="preserve">1. </w:t>
      </w:r>
      <w:proofErr w:type="spellStart"/>
      <w:r>
        <w:rPr>
          <w:rFonts w:cs="Arial"/>
          <w:color w:val="0D0D0D"/>
          <w:sz w:val="24"/>
          <w:szCs w:val="20"/>
          <w:shd w:val="clear" w:color="auto" w:fill="F3F4F5"/>
        </w:rPr>
        <w:t>popisové</w:t>
      </w:r>
      <w:proofErr w:type="spellEnd"/>
      <w:r>
        <w:rPr>
          <w:rFonts w:cs="Arial"/>
          <w:color w:val="0D0D0D"/>
          <w:sz w:val="24"/>
          <w:szCs w:val="20"/>
          <w:shd w:val="clear" w:color="auto" w:fill="F3F4F5"/>
        </w:rPr>
        <w:t xml:space="preserve"> pole</w:t>
      </w:r>
      <w:r w:rsidR="00E26C87">
        <w:rPr>
          <w:rFonts w:cs="Arial"/>
          <w:color w:val="0D0D0D"/>
          <w:sz w:val="24"/>
          <w:szCs w:val="20"/>
          <w:shd w:val="clear" w:color="auto" w:fill="F3F4F5"/>
        </w:rPr>
        <w:t>,</w:t>
      </w:r>
    </w:p>
    <w:p w:rsidR="00E26C87" w:rsidRDefault="00B47496" w:rsidP="00EB439B">
      <w:pPr>
        <w:shd w:val="clear" w:color="auto" w:fill="FFFFFF" w:themeFill="background1"/>
        <w:spacing w:after="0"/>
        <w:jc w:val="both"/>
        <w:rPr>
          <w:rFonts w:cs="Arial"/>
          <w:color w:val="0D0D0D"/>
          <w:sz w:val="24"/>
          <w:szCs w:val="20"/>
          <w:shd w:val="clear" w:color="auto" w:fill="F3F4F5"/>
        </w:rPr>
      </w:pPr>
      <w:r w:rsidRPr="003958C9">
        <w:rPr>
          <w:rFonts w:cs="Arial"/>
          <w:color w:val="0D0D0D"/>
          <w:sz w:val="24"/>
          <w:szCs w:val="20"/>
          <w:shd w:val="clear" w:color="auto" w:fill="F3F4F5"/>
        </w:rPr>
        <w:t xml:space="preserve">2. grafického znázornenia doterajšieho stavu nehnuteľností a návrhu zmien, </w:t>
      </w:r>
    </w:p>
    <w:p w:rsidR="00B47496" w:rsidRDefault="00B47496" w:rsidP="00EB439B">
      <w:pPr>
        <w:shd w:val="clear" w:color="auto" w:fill="FFFFFF" w:themeFill="background1"/>
        <w:spacing w:after="0"/>
        <w:jc w:val="both"/>
        <w:rPr>
          <w:rFonts w:cs="Arial"/>
          <w:color w:val="0D0D0D"/>
          <w:sz w:val="24"/>
          <w:szCs w:val="20"/>
          <w:shd w:val="clear" w:color="auto" w:fill="F3F4F5"/>
        </w:rPr>
      </w:pPr>
      <w:r w:rsidRPr="003958C9">
        <w:rPr>
          <w:rFonts w:cs="Arial"/>
          <w:color w:val="0D0D0D"/>
          <w:sz w:val="24"/>
          <w:szCs w:val="20"/>
          <w:shd w:val="clear" w:color="auto" w:fill="F3F4F5"/>
        </w:rPr>
        <w:t>3. výkazu výmer parciel a dielov parciel.</w:t>
      </w:r>
    </w:p>
    <w:p w:rsidR="00E26C87" w:rsidRPr="003958C9" w:rsidRDefault="00E26C87" w:rsidP="00EB439B">
      <w:pPr>
        <w:shd w:val="clear" w:color="auto" w:fill="FFFFFF" w:themeFill="background1"/>
        <w:spacing w:after="0"/>
        <w:jc w:val="both"/>
        <w:rPr>
          <w:rFonts w:cs="Arial"/>
          <w:color w:val="0D0D0D"/>
          <w:sz w:val="24"/>
          <w:szCs w:val="20"/>
          <w:shd w:val="clear" w:color="auto" w:fill="F3F4F5"/>
        </w:rPr>
      </w:pPr>
    </w:p>
    <w:p w:rsidR="00B47496" w:rsidRPr="003958C9" w:rsidRDefault="00B47496" w:rsidP="00EB439B">
      <w:pPr>
        <w:rPr>
          <w:rFonts w:cs="Arial"/>
          <w:color w:val="0D0D0D"/>
          <w:sz w:val="24"/>
          <w:szCs w:val="20"/>
          <w:shd w:val="clear" w:color="auto" w:fill="F3F4F5"/>
        </w:rPr>
      </w:pPr>
      <w:r w:rsidRPr="003958C9">
        <w:rPr>
          <w:rFonts w:cs="Arial"/>
          <w:color w:val="0D0D0D"/>
          <w:sz w:val="24"/>
          <w:szCs w:val="20"/>
          <w:shd w:val="clear" w:color="auto" w:fill="F3F4F5"/>
        </w:rPr>
        <w:t>Aby sa mohol geometrický plán zapísať do katastra, musí byť autorizačne, aj úradne</w:t>
      </w:r>
      <w:r w:rsidRPr="003958C9">
        <w:rPr>
          <w:rStyle w:val="apple-converted-space"/>
          <w:rFonts w:cs="Arial"/>
          <w:color w:val="0D0D0D"/>
          <w:sz w:val="24"/>
          <w:szCs w:val="20"/>
          <w:shd w:val="clear" w:color="auto" w:fill="F3F4F5"/>
        </w:rPr>
        <w:t> </w:t>
      </w:r>
      <w:r w:rsidRPr="003958C9">
        <w:rPr>
          <w:rStyle w:val="Siln"/>
          <w:rFonts w:cs="Arial"/>
          <w:color w:val="0D0D0D"/>
          <w:sz w:val="24"/>
          <w:szCs w:val="20"/>
          <w:shd w:val="clear" w:color="auto" w:fill="F3F4F5"/>
        </w:rPr>
        <w:t>overený</w:t>
      </w:r>
      <w:r w:rsidRPr="003958C9">
        <w:rPr>
          <w:rFonts w:cs="Arial"/>
          <w:color w:val="0D0D0D"/>
          <w:sz w:val="24"/>
          <w:szCs w:val="20"/>
          <w:shd w:val="clear" w:color="auto" w:fill="F3F4F5"/>
        </w:rPr>
        <w:t>. Správa katastra pred úradným overením geometrického plánu preskúma:</w:t>
      </w:r>
      <w:r w:rsidRPr="003958C9">
        <w:rPr>
          <w:rFonts w:cs="Arial"/>
          <w:color w:val="0D0D0D"/>
          <w:sz w:val="24"/>
          <w:szCs w:val="20"/>
        </w:rPr>
        <w:br/>
      </w:r>
      <w:r w:rsidRPr="003958C9">
        <w:rPr>
          <w:rFonts w:cs="Arial"/>
          <w:color w:val="0D0D0D"/>
          <w:sz w:val="24"/>
          <w:szCs w:val="20"/>
          <w:shd w:val="clear" w:color="auto" w:fill="F3F4F5"/>
        </w:rPr>
        <w:t>a) či predložený operát geometrického plánu obsahuje súčasti podľa osobitného predpisu,</w:t>
      </w:r>
      <w:r w:rsidRPr="003958C9">
        <w:rPr>
          <w:rStyle w:val="apple-converted-space"/>
          <w:rFonts w:cs="Arial"/>
          <w:color w:val="0D0D0D"/>
          <w:sz w:val="24"/>
          <w:szCs w:val="20"/>
          <w:shd w:val="clear" w:color="auto" w:fill="F3F4F5"/>
        </w:rPr>
        <w:t> </w:t>
      </w:r>
      <w:r w:rsidRPr="003958C9">
        <w:rPr>
          <w:rFonts w:cs="Arial"/>
          <w:color w:val="0D0D0D"/>
          <w:sz w:val="24"/>
          <w:szCs w:val="20"/>
        </w:rPr>
        <w:br/>
      </w:r>
      <w:r w:rsidRPr="003958C9">
        <w:rPr>
          <w:rFonts w:cs="Arial"/>
          <w:color w:val="0D0D0D"/>
          <w:sz w:val="24"/>
          <w:szCs w:val="20"/>
          <w:shd w:val="clear" w:color="auto" w:fill="F3F4F5"/>
        </w:rPr>
        <w:t>b) vzájomný súlad údajov jednotlivých súčastí operátu geometrického plánu,</w:t>
      </w:r>
      <w:r w:rsidRPr="003958C9">
        <w:rPr>
          <w:rFonts w:cs="Arial"/>
          <w:color w:val="0D0D0D"/>
          <w:sz w:val="24"/>
          <w:szCs w:val="20"/>
        </w:rPr>
        <w:br/>
      </w:r>
      <w:r w:rsidRPr="003958C9">
        <w:rPr>
          <w:rFonts w:cs="Arial"/>
          <w:color w:val="0D0D0D"/>
          <w:sz w:val="24"/>
          <w:szCs w:val="20"/>
          <w:shd w:val="clear" w:color="auto" w:fill="F3F4F5"/>
        </w:rPr>
        <w:t>c) súlad východiskových údajov s platnými údajmi katastra,</w:t>
      </w:r>
      <w:r w:rsidRPr="003958C9">
        <w:rPr>
          <w:rFonts w:cs="Arial"/>
          <w:color w:val="0D0D0D"/>
          <w:sz w:val="24"/>
          <w:szCs w:val="20"/>
        </w:rPr>
        <w:br/>
      </w:r>
      <w:r w:rsidRPr="003958C9">
        <w:rPr>
          <w:rFonts w:cs="Arial"/>
          <w:color w:val="0D0D0D"/>
          <w:sz w:val="24"/>
          <w:szCs w:val="20"/>
          <w:shd w:val="clear" w:color="auto" w:fill="F3F4F5"/>
        </w:rPr>
        <w:t>d) súlad označenia nových parciel s pridelenými parcelnými číslami,</w:t>
      </w:r>
      <w:r w:rsidRPr="003958C9">
        <w:rPr>
          <w:rFonts w:cs="Arial"/>
          <w:color w:val="0D0D0D"/>
          <w:sz w:val="24"/>
          <w:szCs w:val="20"/>
        </w:rPr>
        <w:br/>
      </w:r>
      <w:r w:rsidRPr="003958C9">
        <w:rPr>
          <w:rFonts w:cs="Arial"/>
          <w:color w:val="0D0D0D"/>
          <w:sz w:val="24"/>
          <w:szCs w:val="20"/>
          <w:shd w:val="clear" w:color="auto" w:fill="F3F4F5"/>
        </w:rPr>
        <w:t>e) súlad označenia záznamov podrobného merania zmien s pridelenými číslami,</w:t>
      </w:r>
      <w:r w:rsidRPr="003958C9">
        <w:rPr>
          <w:rFonts w:cs="Arial"/>
          <w:color w:val="0D0D0D"/>
          <w:sz w:val="24"/>
          <w:szCs w:val="20"/>
        </w:rPr>
        <w:br/>
      </w:r>
      <w:r w:rsidRPr="003958C9">
        <w:rPr>
          <w:rFonts w:cs="Arial"/>
          <w:color w:val="0D0D0D"/>
          <w:sz w:val="24"/>
          <w:szCs w:val="20"/>
          <w:shd w:val="clear" w:color="auto" w:fill="F3F4F5"/>
        </w:rPr>
        <w:t>f) súlad čísel novourčených podrobných geodetických bodov s pridelenými číslami,</w:t>
      </w:r>
      <w:r w:rsidRPr="003958C9">
        <w:rPr>
          <w:rFonts w:cs="Arial"/>
          <w:color w:val="0D0D0D"/>
          <w:sz w:val="24"/>
          <w:szCs w:val="20"/>
        </w:rPr>
        <w:br/>
      </w:r>
      <w:r w:rsidRPr="003958C9">
        <w:rPr>
          <w:rFonts w:cs="Arial"/>
          <w:color w:val="0D0D0D"/>
          <w:sz w:val="24"/>
          <w:szCs w:val="20"/>
          <w:shd w:val="clear" w:color="auto" w:fill="F3F4F5"/>
        </w:rPr>
        <w:t xml:space="preserve">g) či podklady na aktualizáciu údajov katastra nehnuteľností vo výmenných formátoch sú </w:t>
      </w:r>
      <w:r w:rsidRPr="003958C9">
        <w:rPr>
          <w:rFonts w:cs="Arial"/>
          <w:color w:val="0D0D0D"/>
          <w:sz w:val="24"/>
          <w:szCs w:val="20"/>
          <w:shd w:val="clear" w:color="auto" w:fill="F3F4F5"/>
        </w:rPr>
        <w:lastRenderedPageBreak/>
        <w:t>použiteľné na aktualizáciu údajov,</w:t>
      </w:r>
      <w:bookmarkStart w:id="0" w:name="_GoBack"/>
      <w:bookmarkEnd w:id="0"/>
      <w:r w:rsidRPr="003958C9">
        <w:rPr>
          <w:rFonts w:cs="Arial"/>
          <w:color w:val="0D0D0D"/>
          <w:sz w:val="24"/>
          <w:szCs w:val="20"/>
        </w:rPr>
        <w:br/>
      </w:r>
      <w:r w:rsidRPr="003958C9">
        <w:rPr>
          <w:rFonts w:cs="Arial"/>
          <w:color w:val="0D0D0D"/>
          <w:sz w:val="24"/>
          <w:szCs w:val="20"/>
          <w:shd w:val="clear" w:color="auto" w:fill="F3F4F5"/>
        </w:rPr>
        <w:t>h) či meranie bolo pripojené na aktívne geodetické základy alebo spôsobom podľa osobitného predpisu.</w:t>
      </w:r>
    </w:p>
    <w:p w:rsidR="00B47496" w:rsidRPr="003958C9" w:rsidRDefault="00B47496">
      <w:pPr>
        <w:rPr>
          <w:rFonts w:cs="Arial"/>
          <w:color w:val="0D0D0D"/>
          <w:sz w:val="24"/>
          <w:szCs w:val="20"/>
          <w:shd w:val="clear" w:color="auto" w:fill="F3F4F5"/>
        </w:rPr>
      </w:pPr>
    </w:p>
    <w:p w:rsidR="00B47496" w:rsidRDefault="00B47496">
      <w:pPr>
        <w:rPr>
          <w:sz w:val="28"/>
        </w:rPr>
      </w:pPr>
      <w:r w:rsidRPr="003958C9">
        <w:rPr>
          <w:noProof/>
          <w:lang w:eastAsia="sk-SK"/>
        </w:rPr>
        <w:drawing>
          <wp:inline distT="0" distB="0" distL="0" distR="0">
            <wp:extent cx="5760720" cy="4146571"/>
            <wp:effectExtent l="19050" t="0" r="0" b="0"/>
            <wp:docPr id="1" name="Obrázok 1" descr="http://www.georeal-ba.sk/images/g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real-ba.sk/images/gpb.jpg"/>
                    <pic:cNvPicPr>
                      <a:picLocks noChangeAspect="1" noChangeArrowheads="1"/>
                    </pic:cNvPicPr>
                  </pic:nvPicPr>
                  <pic:blipFill>
                    <a:blip r:embed="rId7" cstate="print"/>
                    <a:srcRect/>
                    <a:stretch>
                      <a:fillRect/>
                    </a:stretch>
                  </pic:blipFill>
                  <pic:spPr bwMode="auto">
                    <a:xfrm>
                      <a:off x="0" y="0"/>
                      <a:ext cx="5760720" cy="4146571"/>
                    </a:xfrm>
                    <a:prstGeom prst="rect">
                      <a:avLst/>
                    </a:prstGeom>
                    <a:noFill/>
                    <a:ln w="9525">
                      <a:noFill/>
                      <a:miter lim="800000"/>
                      <a:headEnd/>
                      <a:tailEnd/>
                    </a:ln>
                  </pic:spPr>
                </pic:pic>
              </a:graphicData>
            </a:graphic>
          </wp:inline>
        </w:drawing>
      </w:r>
    </w:p>
    <w:p w:rsidR="00573672" w:rsidRDefault="00573672">
      <w:pPr>
        <w:rPr>
          <w:sz w:val="28"/>
        </w:rPr>
      </w:pPr>
    </w:p>
    <w:p w:rsidR="00B47496" w:rsidRDefault="00573672" w:rsidP="00E26C87">
      <w:pPr>
        <w:spacing w:after="0" w:line="240" w:lineRule="auto"/>
        <w:rPr>
          <w:sz w:val="28"/>
        </w:rPr>
      </w:pPr>
      <w:r w:rsidRPr="00573672">
        <w:rPr>
          <w:rFonts w:ascii="Times New Roman" w:eastAsia="Times New Roman" w:hAnsi="Times New Roman" w:cs="Times New Roman"/>
          <w:sz w:val="24"/>
          <w:szCs w:val="24"/>
          <w:lang w:eastAsia="sk-SK"/>
        </w:rPr>
        <w:br/>
      </w:r>
    </w:p>
    <w:p w:rsidR="00B47496" w:rsidRPr="00B47496" w:rsidRDefault="00B47496">
      <w:pPr>
        <w:rPr>
          <w:sz w:val="28"/>
        </w:rPr>
      </w:pPr>
    </w:p>
    <w:sectPr w:rsidR="00B47496" w:rsidRPr="00B47496" w:rsidSect="00B47496">
      <w:footerReference w:type="default" r:id="rId8"/>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15D" w:rsidRDefault="009C115D" w:rsidP="00B47496">
      <w:pPr>
        <w:spacing w:after="0" w:line="240" w:lineRule="auto"/>
      </w:pPr>
      <w:r>
        <w:separator/>
      </w:r>
    </w:p>
  </w:endnote>
  <w:endnote w:type="continuationSeparator" w:id="0">
    <w:p w:rsidR="009C115D" w:rsidRDefault="009C115D" w:rsidP="00B4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99735"/>
      <w:docPartObj>
        <w:docPartGallery w:val="Page Numbers (Bottom of Page)"/>
        <w:docPartUnique/>
      </w:docPartObj>
    </w:sdtPr>
    <w:sdtEndPr/>
    <w:sdtContent>
      <w:p w:rsidR="00B47496" w:rsidRDefault="00EB439B">
        <w:pPr>
          <w:pStyle w:val="Pt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B47496" w:rsidRDefault="00E82AED">
        <w:pPr>
          <w:pStyle w:val="Pta"/>
          <w:jc w:val="center"/>
        </w:pPr>
        <w:r>
          <w:fldChar w:fldCharType="begin"/>
        </w:r>
        <w:r>
          <w:instrText xml:space="preserve"> PAGE    \* MERGEFORMAT </w:instrText>
        </w:r>
        <w:r>
          <w:fldChar w:fldCharType="separate"/>
        </w:r>
        <w:r w:rsidR="00EB439B">
          <w:rPr>
            <w:noProof/>
          </w:rPr>
          <w:t>1</w:t>
        </w:r>
        <w:r>
          <w:rPr>
            <w:noProof/>
          </w:rPr>
          <w:fldChar w:fldCharType="end"/>
        </w:r>
      </w:p>
    </w:sdtContent>
  </w:sdt>
  <w:p w:rsidR="00B47496" w:rsidRDefault="00B47496">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15D" w:rsidRDefault="009C115D" w:rsidP="00B47496">
      <w:pPr>
        <w:spacing w:after="0" w:line="240" w:lineRule="auto"/>
      </w:pPr>
      <w:r>
        <w:separator/>
      </w:r>
    </w:p>
  </w:footnote>
  <w:footnote w:type="continuationSeparator" w:id="0">
    <w:p w:rsidR="009C115D" w:rsidRDefault="009C115D" w:rsidP="00B47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47496"/>
    <w:rsid w:val="003958C9"/>
    <w:rsid w:val="0047250F"/>
    <w:rsid w:val="00573672"/>
    <w:rsid w:val="007F2366"/>
    <w:rsid w:val="009C115D"/>
    <w:rsid w:val="00B15350"/>
    <w:rsid w:val="00B47496"/>
    <w:rsid w:val="00DB3101"/>
    <w:rsid w:val="00E26C87"/>
    <w:rsid w:val="00E82AED"/>
    <w:rsid w:val="00EB439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1535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B47496"/>
  </w:style>
  <w:style w:type="character" w:styleId="Siln">
    <w:name w:val="Strong"/>
    <w:basedOn w:val="Predvolenpsmoodseku"/>
    <w:uiPriority w:val="22"/>
    <w:qFormat/>
    <w:rsid w:val="00B47496"/>
    <w:rPr>
      <w:b/>
      <w:bCs/>
    </w:rPr>
  </w:style>
  <w:style w:type="paragraph" w:styleId="Textbubliny">
    <w:name w:val="Balloon Text"/>
    <w:basedOn w:val="Normlny"/>
    <w:link w:val="TextbublinyChar"/>
    <w:uiPriority w:val="99"/>
    <w:semiHidden/>
    <w:unhideWhenUsed/>
    <w:rsid w:val="00B4749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47496"/>
    <w:rPr>
      <w:rFonts w:ascii="Tahoma" w:hAnsi="Tahoma" w:cs="Tahoma"/>
      <w:sz w:val="16"/>
      <w:szCs w:val="16"/>
    </w:rPr>
  </w:style>
  <w:style w:type="paragraph" w:styleId="Hlavika">
    <w:name w:val="header"/>
    <w:basedOn w:val="Normlny"/>
    <w:link w:val="HlavikaChar"/>
    <w:uiPriority w:val="99"/>
    <w:semiHidden/>
    <w:unhideWhenUsed/>
    <w:rsid w:val="00B47496"/>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B47496"/>
  </w:style>
  <w:style w:type="paragraph" w:styleId="Pta">
    <w:name w:val="footer"/>
    <w:basedOn w:val="Normlny"/>
    <w:link w:val="PtaChar"/>
    <w:uiPriority w:val="99"/>
    <w:unhideWhenUsed/>
    <w:rsid w:val="00B47496"/>
    <w:pPr>
      <w:tabs>
        <w:tab w:val="center" w:pos="4536"/>
        <w:tab w:val="right" w:pos="9072"/>
      </w:tabs>
      <w:spacing w:after="0" w:line="240" w:lineRule="auto"/>
    </w:pPr>
  </w:style>
  <w:style w:type="character" w:customStyle="1" w:styleId="PtaChar">
    <w:name w:val="Päta Char"/>
    <w:basedOn w:val="Predvolenpsmoodseku"/>
    <w:link w:val="Pta"/>
    <w:uiPriority w:val="99"/>
    <w:rsid w:val="00B474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17798">
      <w:bodyDiv w:val="1"/>
      <w:marLeft w:val="0"/>
      <w:marRight w:val="0"/>
      <w:marTop w:val="0"/>
      <w:marBottom w:val="0"/>
      <w:divBdr>
        <w:top w:val="none" w:sz="0" w:space="0" w:color="auto"/>
        <w:left w:val="none" w:sz="0" w:space="0" w:color="auto"/>
        <w:bottom w:val="none" w:sz="0" w:space="0" w:color="auto"/>
        <w:right w:val="none" w:sz="0" w:space="0" w:color="auto"/>
      </w:divBdr>
      <w:divsChild>
        <w:div w:id="39667320">
          <w:marLeft w:val="0"/>
          <w:marRight w:val="0"/>
          <w:marTop w:val="0"/>
          <w:marBottom w:val="0"/>
          <w:divBdr>
            <w:top w:val="none" w:sz="0" w:space="0" w:color="auto"/>
            <w:left w:val="none" w:sz="0" w:space="0" w:color="auto"/>
            <w:bottom w:val="none" w:sz="0" w:space="0" w:color="auto"/>
            <w:right w:val="none" w:sz="0" w:space="0" w:color="auto"/>
          </w:divBdr>
          <w:divsChild>
            <w:div w:id="201477348">
              <w:marLeft w:val="0"/>
              <w:marRight w:val="0"/>
              <w:marTop w:val="0"/>
              <w:marBottom w:val="0"/>
              <w:divBdr>
                <w:top w:val="none" w:sz="0" w:space="0" w:color="auto"/>
                <w:left w:val="none" w:sz="0" w:space="0" w:color="auto"/>
                <w:bottom w:val="none" w:sz="0" w:space="0" w:color="auto"/>
                <w:right w:val="none" w:sz="0" w:space="0" w:color="auto"/>
              </w:divBdr>
            </w:div>
            <w:div w:id="17481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384</Words>
  <Characters>2193</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krepela dalibor</dc:creator>
  <cp:keywords/>
  <dc:description/>
  <cp:lastModifiedBy>Lubka</cp:lastModifiedBy>
  <cp:revision>8</cp:revision>
  <cp:lastPrinted>2015-01-04T20:11:00Z</cp:lastPrinted>
  <dcterms:created xsi:type="dcterms:W3CDTF">2015-01-04T20:01:00Z</dcterms:created>
  <dcterms:modified xsi:type="dcterms:W3CDTF">2015-05-19T17:05:00Z</dcterms:modified>
</cp:coreProperties>
</file>