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b/>
          <w:sz w:val="28"/>
        </w:rPr>
      </w:pPr>
      <w:r>
        <w:rPr>
          <w:b/>
          <w:sz w:val="28"/>
        </w:rPr>
        <w:t>Diagnostische Analyse des hochkomplexen OPN1LW/OPN1MW-Genclusters mittels Langstrecken-Sequenzierung und MLPA</w:t>
      </w:r>
    </w:p>
    <w:p>
      <w:pPr>
        <w:rPr>
          <w:sz w:val="24"/>
        </w:rPr>
      </w:pPr>
    </w:p>
    <w:p>
      <w:pPr>
        <w:rPr>
          <w:b/>
          <w:sz w:val="28"/>
        </w:rPr>
      </w:pPr>
      <w:r>
        <w:rPr>
          <w:b/>
          <w:sz w:val="28"/>
        </w:rPr>
        <w:t>Abstract</w:t>
      </w:r>
    </w:p>
    <w:p/>
    <w:p>
      <w:r>
        <w:t xml:space="preserve">Pathogene Varianten im OPN1LW/OPN1MW-Gencluster sind ursächlich für eine Reihe von leichten </w:t>
      </w:r>
      <w:proofErr w:type="gramStart"/>
      <w:r>
        <w:t>bis schweren Sehstörungen</w:t>
      </w:r>
      <w:proofErr w:type="gramEnd"/>
      <w:r>
        <w:t xml:space="preserve"> mit Farbsehstörungen. Die weit verbreitete Next-Generation-Sequenzierung (NGS) mit kurzen Reads ist für die Analyse des OPN1LW/OPN1MW-Genclusters ungeeignet, und viele Patienten mit pathogenen Varianten bleiben unterdiagnostiziert. Ein diagnostischer Gentest für das OPN1LW/OPN1MW-Gencluster wurde entwickelt, der aus einer </w:t>
      </w:r>
      <w:proofErr w:type="spellStart"/>
      <w:r>
        <w:t>Kopienzahl</w:t>
      </w:r>
      <w:proofErr w:type="spellEnd"/>
      <w:r>
        <w:t>-Analyse mittels multiplex Ligation-</w:t>
      </w:r>
      <w:proofErr w:type="spellStart"/>
      <w:r>
        <w:t>dependent</w:t>
      </w:r>
      <w:proofErr w:type="spellEnd"/>
      <w:r>
        <w:t xml:space="preserve"> Probe </w:t>
      </w:r>
      <w:proofErr w:type="spellStart"/>
      <w:r>
        <w:t>Amplification</w:t>
      </w:r>
      <w:proofErr w:type="spellEnd"/>
      <w:r>
        <w:t xml:space="preserve"> (MLPA) und einer Sequenzanalyse mittels langstreckiger zirkularer Konsensus-Sequenzierung besteht. Die Leistung wurde an 50 klinischen Proben bestimmt, die zur genetischen Bestätigung der klinischen Diagnose (n = 43) oder zur Trägerstatusanalyse (n = 7) eingesandt wurden. Es wurde eine breite Palette pathogener </w:t>
      </w:r>
      <w:proofErr w:type="spellStart"/>
      <w:r>
        <w:t>Haplotypen</w:t>
      </w:r>
      <w:proofErr w:type="spellEnd"/>
      <w:r>
        <w:t xml:space="preserve"> nachgewiesen, darunter Deletionen, </w:t>
      </w:r>
      <w:proofErr w:type="spellStart"/>
      <w:r>
        <w:t>Hybridgene</w:t>
      </w:r>
      <w:proofErr w:type="spellEnd"/>
      <w:r>
        <w:t xml:space="preserve">, Einzelvarianten und Kombinationen von Varianten. Der entwickelte Gentest für das OPN1LW/OPN1MW-Gencluster ist ein diagnostischer Test, der sowohl strukturelle als auch </w:t>
      </w:r>
      <w:proofErr w:type="spellStart"/>
      <w:r>
        <w:t>Nukleotidvarianten</w:t>
      </w:r>
      <w:proofErr w:type="spellEnd"/>
      <w:r>
        <w:t xml:space="preserve"> mit einer einfachen Analyse erkennen kann und die diagnostische Versorgung von Patienten mit Sehbehinderung verbessert.</w:t>
      </w:r>
    </w:p>
    <w:p/>
    <w:p>
      <w:pPr>
        <w:rPr>
          <w:b/>
          <w:sz w:val="28"/>
        </w:rPr>
      </w:pPr>
      <w:proofErr w:type="spellStart"/>
      <w:r>
        <w:rPr>
          <w:b/>
          <w:sz w:val="28"/>
        </w:rPr>
        <w:t>Introduction</w:t>
      </w:r>
      <w:proofErr w:type="spellEnd"/>
    </w:p>
    <w:p>
      <w:pPr>
        <w:rPr>
          <w:b/>
          <w:sz w:val="28"/>
        </w:rPr>
      </w:pPr>
    </w:p>
    <w:p>
      <w:r>
        <w:t>Die Farb- und Lichtempfindlichkeit des menschlichen Sehens wird durch die Zapfen in der Netzhaut reguliert. Menschen haben drei Arten von Zapfen-</w:t>
      </w:r>
      <w:proofErr w:type="spellStart"/>
      <w:r>
        <w:t>Opsinen</w:t>
      </w:r>
      <w:proofErr w:type="spellEnd"/>
      <w:r>
        <w:t xml:space="preserve"> mit unterschiedlichen relativen spektralen Empfindlichkeiten; die kurz-, mittel- und langwellenempfindlichen </w:t>
      </w:r>
      <w:proofErr w:type="spellStart"/>
      <w:r>
        <w:t>Opsine</w:t>
      </w:r>
      <w:proofErr w:type="spellEnd"/>
      <w:r>
        <w:t xml:space="preserve"> haben eine optimale spektrale Empfindlichkeit für das blaue, grüne und rote Lichtspektrum. Jeder Zapfen in der Netzhaut exprimiert nur eine Art von Zapfen-</w:t>
      </w:r>
      <w:proofErr w:type="spellStart"/>
      <w:r>
        <w:t>Opsin</w:t>
      </w:r>
      <w:proofErr w:type="spellEnd"/>
      <w:r>
        <w:t xml:space="preserve"> und ist daher nur für eines der drei Spektren empfindlich.</w:t>
      </w:r>
    </w:p>
    <w:p>
      <w:r>
        <w:t xml:space="preserve">Die mittel- und langwellenempfindlichen </w:t>
      </w:r>
      <w:proofErr w:type="spellStart"/>
      <w:r>
        <w:t>Opsine</w:t>
      </w:r>
      <w:proofErr w:type="spellEnd"/>
      <w:r>
        <w:t xml:space="preserve"> werden durch OPN1MW [MIM: 300821] bzw. OPN1LW [MIM: 300822] kodiert. OPN1LW und OPN1MW liegen in enger Nachbarschaft auf dem X-Chromosom und teilen mehr als 98 % Sequenzhomologie. Das sogenannte OPN1LW/OPN1MW-Gencluster besteht in der Regel aus einem OPN1LW- und bis zu fünf OPN1MW-Genen, die kopfseitig </w:t>
      </w:r>
      <w:proofErr w:type="gramStart"/>
      <w:r>
        <w:t>aneinander gereiht</w:t>
      </w:r>
      <w:proofErr w:type="gramEnd"/>
      <w:r>
        <w:t xml:space="preserve"> sind (Abb. 1a). Etwa 3,5 Kilobasen (</w:t>
      </w:r>
      <w:proofErr w:type="spellStart"/>
      <w:r>
        <w:t>kb</w:t>
      </w:r>
      <w:proofErr w:type="spellEnd"/>
      <w:r>
        <w:t xml:space="preserve">) stromaufwärts des OPN1LW befindet sich die </w:t>
      </w:r>
      <w:proofErr w:type="spellStart"/>
      <w:r>
        <w:t>Locus-Kontrollregion</w:t>
      </w:r>
      <w:proofErr w:type="spellEnd"/>
      <w:r>
        <w:t xml:space="preserve"> (LCR), die die Expression entweder des ersten oder zweiten </w:t>
      </w:r>
      <w:proofErr w:type="spellStart"/>
      <w:r>
        <w:t>Opsin</w:t>
      </w:r>
      <w:proofErr w:type="spellEnd"/>
      <w:r>
        <w:t>-Gens stromabwärts der LCR sicherstellt.</w:t>
      </w:r>
    </w:p>
    <w:p>
      <w:r>
        <w:t>Varianten im OPN1LW/OPN1MW-Gencluster verursachen eine Reihe von milden bis schweren X-chromosomalen Farbsehstörungen. Rot- oder Grünsehschwäche (Protanopie [MIM: 303900] bzw. Deuteranopie [MIM: 303800]) mit normaler Sehschärfe und normalem Zapfen-</w:t>
      </w:r>
      <w:proofErr w:type="spellStart"/>
      <w:r>
        <w:t>Elektroretinogramm</w:t>
      </w:r>
      <w:proofErr w:type="spellEnd"/>
      <w:r>
        <w:t xml:space="preserve"> (ERG) betrifft etwa 1 von 12 Männern und 1 von 200 Frauen. Die Bornholm-Augenkrankheit (BED [MIM: 300843]), eine schwerwiegendere Sehbehinderung, ist mit starker Kurzsichtigkeit, leicht </w:t>
      </w:r>
      <w:proofErr w:type="gramStart"/>
      <w:r>
        <w:t>bis mäßig reduzierter Sehschärfe</w:t>
      </w:r>
      <w:proofErr w:type="gramEnd"/>
      <w:r>
        <w:t xml:space="preserve"> und reduziertem Rot- und Grünzapfen-ERG verbunden, zusätzlich zu Protanopie oder Deuteranopie. Patienten mit blauer Zapfenmonochromasie (BCM [MIM: 303700]) </w:t>
      </w:r>
      <w:r>
        <w:lastRenderedPageBreak/>
        <w:t>nehmen nur das blaue Lichtspektrum wahr, kombiniert mit angeborenem Nystagmus, Photophobie, starker Kurzsichtigkeit, fehlendem Rot- und Grünzapfen-ERG und stark reduzierter Sehschärfe.</w:t>
      </w:r>
    </w:p>
    <w:p>
      <w:r>
        <w:t>Es wurden verschiedene Arten pathogener Varianten im OPN1LW/OPN1MW-Gencluster nachgewiesen. Aufgrund der hohen Homologie und der engen Nachbarschaft von OPN1LW und OPN1MW treten häufig Umlagerungen auf. Nicht-homologe Rekombination kann zur Bildung von Hybrid-</w:t>
      </w:r>
      <w:proofErr w:type="spellStart"/>
      <w:r>
        <w:t>Opsin</w:t>
      </w:r>
      <w:proofErr w:type="spellEnd"/>
      <w:r>
        <w:t xml:space="preserve">-Genen führen, die ein funktionelles </w:t>
      </w:r>
      <w:proofErr w:type="spellStart"/>
      <w:r>
        <w:t>Opsin</w:t>
      </w:r>
      <w:proofErr w:type="spellEnd"/>
      <w:r>
        <w:t xml:space="preserve">-Protein mit optimaler spektraler Empfindlichkeit für das rote oder grüne Lichtspektrum kodieren. Eine weitere häufige strukturelle Variante ist eine Deletion der LCR, die BCM verursacht. Pathogene Einzel-Nukleotid-Varianten wurden ebenfalls beschrieben, z.B. die c.607C &gt; T </w:t>
      </w:r>
      <w:proofErr w:type="gramStart"/>
      <w:r>
        <w:t>p.(</w:t>
      </w:r>
      <w:proofErr w:type="gramEnd"/>
      <w:r>
        <w:t xml:space="preserve">Cys203Arg)-Variante, die häufig bei Patienten mit BCM nachgewiesen wird. Darüber hinaus umfasst Exon 3 in beiden, OPN1LW und OPN1MW, eine Region mit acht </w:t>
      </w:r>
      <w:proofErr w:type="spellStart"/>
      <w:r>
        <w:t>Nukleotidvarianten</w:t>
      </w:r>
      <w:proofErr w:type="spellEnd"/>
      <w:r>
        <w:t xml:space="preserve">, die sieben Aminosäuren kodieren (c.453G &gt; A p.(Arg151Arg), c.457C &gt; A p.(Leu153Met), c.465G &gt; A p.(Val155Val), c.[511G &gt; A;513G &gt; T] p.(Val171Ile), c.521C &gt; T p.(Ala174Val), c.532 A &gt; G p.(Ile178Val), c.538G &gt; T p.(Ser180Ala)), die in der Bevölkerung häufig auftreten. Spezifische seltene Kombinationen dieser Varianten sind jedoch pathogen, da sie eine fehlerhafte </w:t>
      </w:r>
      <w:proofErr w:type="spellStart"/>
      <w:r>
        <w:t>Spleißung</w:t>
      </w:r>
      <w:proofErr w:type="spellEnd"/>
      <w:r>
        <w:t xml:space="preserve"> verursachen. Beispielsweise ist die LIAVA-Kombination in OPN1LW und die MVVVA-Kombination in OPN1MW ursächlich für </w:t>
      </w:r>
      <w:bookmarkStart w:id="0" w:name="_GoBack"/>
      <w:bookmarkEnd w:id="0"/>
      <w:r>
        <w:t>BED.</w:t>
      </w:r>
    </w:p>
    <w:p>
      <w:r>
        <w:t xml:space="preserve">Derzeit sind nur wenige diagnostische Gentests verfügbar, um das OPN1LW/OPN1MW-Gencluster zu analysieren. Die meisten Tests zielen nicht ausschließlich auf das Cluster ab, sondern die OPN1LW/OPN1MW-Gene werden als Teil umfassenderer Gen-Panels getestet und durch kurze Reads der NGS analysiert. Kurze Reads der Sequenzierung generieren Reads von 100-400 Basenpaaren (bp) Länge, die zu kurz sind, um zwischen den hoch homologen OPN1LW- und OPN1MW-Genen zu unterscheiden. Darüber hinaus kombinieren keine der verfügbaren Tests </w:t>
      </w:r>
      <w:proofErr w:type="spellStart"/>
      <w:r>
        <w:t>Kopienzahl</w:t>
      </w:r>
      <w:proofErr w:type="spellEnd"/>
      <w:r>
        <w:t xml:space="preserve">- und Sequenzanalyse, was erforderlich ist, um das vollständige Spektrum kausaler Varianten zu erkennen. Aufgrund der Unverfügbarkeit vollständiger genetischer Tests des OPN1LW/OPN1MW-Opsin-Genclusters bleiben viele Patienten mit pathogenen Varianten unterdiagnostiziert. Wahrscheinlich trägt die genetische Unterdiagnose zur mangelnden Sensibilisierung der Kliniker bei, retinalen Erkrankungen, die durch dysfunktionale </w:t>
      </w:r>
      <w:proofErr w:type="spellStart"/>
      <w:r>
        <w:t>Opsin</w:t>
      </w:r>
      <w:proofErr w:type="spellEnd"/>
      <w:r>
        <w:t>-Gene verursacht werden, zu erkennen.</w:t>
      </w:r>
    </w:p>
    <w:p>
      <w:r>
        <w:t xml:space="preserve">Das Ziel dieser Studie ist es, die diagnostische Versorgung von Patienten mit Sehbehinderungen und Farbsehstörungen zu erleichtern und zu verbessern, indem ein genetischer Assay zur Analyse des OPN1LW/OPN1MW-Genclusters entwickelt wird, der die </w:t>
      </w:r>
      <w:proofErr w:type="spellStart"/>
      <w:r>
        <w:t>Kopienzahl</w:t>
      </w:r>
      <w:proofErr w:type="spellEnd"/>
      <w:r>
        <w:t>-Analyse mittels MLPA und die Sequenzanalyse mittels langstreckiger zirkularer Konsensus-Sequenzierung kombiniert.</w:t>
      </w:r>
    </w:p>
    <w:p>
      <w:pPr>
        <w:rPr>
          <w:b/>
          <w:sz w:val="28"/>
        </w:rPr>
      </w:pPr>
    </w:p>
    <w:p>
      <w:pPr>
        <w:rPr>
          <w:b/>
          <w:sz w:val="28"/>
        </w:rPr>
      </w:pPr>
    </w:p>
    <w:p>
      <w:pPr>
        <w:rPr>
          <w:b/>
          <w:sz w:val="28"/>
        </w:rPr>
      </w:pPr>
      <w:r>
        <w:rPr>
          <w:b/>
          <w:sz w:val="28"/>
        </w:rPr>
        <w:t>Ergebnisse</w:t>
      </w:r>
    </w:p>
    <w:p>
      <w:pPr>
        <w:rPr>
          <w:b/>
          <w:sz w:val="28"/>
        </w:rPr>
      </w:pPr>
    </w:p>
    <w:p>
      <w:pPr>
        <w:rPr>
          <w:b/>
          <w:sz w:val="28"/>
        </w:rPr>
      </w:pPr>
      <w:r>
        <w:rPr>
          <w:b/>
          <w:sz w:val="28"/>
        </w:rPr>
        <w:t xml:space="preserve">Leistung des </w:t>
      </w:r>
      <w:proofErr w:type="spellStart"/>
      <w:r>
        <w:rPr>
          <w:b/>
          <w:sz w:val="28"/>
        </w:rPr>
        <w:t>Opsin</w:t>
      </w:r>
      <w:proofErr w:type="spellEnd"/>
      <w:r>
        <w:rPr>
          <w:b/>
          <w:sz w:val="28"/>
        </w:rPr>
        <w:t>-MLPA an Kontrollproben</w:t>
      </w:r>
    </w:p>
    <w:p/>
    <w:p>
      <w:r>
        <w:t xml:space="preserve">MLPA ist eine Technik zur Quantifizierung der </w:t>
      </w:r>
      <w:proofErr w:type="spellStart"/>
      <w:r>
        <w:t>Kopienzahl</w:t>
      </w:r>
      <w:proofErr w:type="spellEnd"/>
      <w:r>
        <w:t xml:space="preserve"> vorgewählter Ziele, in diesem Fall genomischer Ziele innerhalb des </w:t>
      </w:r>
      <w:proofErr w:type="spellStart"/>
      <w:r>
        <w:t>Opsin-Locus</w:t>
      </w:r>
      <w:proofErr w:type="spellEnd"/>
      <w:r>
        <w:t xml:space="preserve">. Jedes Ziel erzeugt ein fluoreszierendes Signal, und der Vergleich dieser Signale, durch Berechnung eines Verhältnisses zwischen einer Probe und einer einzelnen oder einer Gruppe von Referenzproben mit bekannten </w:t>
      </w:r>
      <w:proofErr w:type="spellStart"/>
      <w:r>
        <w:t>Kopienzahlen</w:t>
      </w:r>
      <w:proofErr w:type="spellEnd"/>
      <w:r>
        <w:t xml:space="preserve">, wird verwendet, um die </w:t>
      </w:r>
      <w:proofErr w:type="spellStart"/>
      <w:r>
        <w:t>Kopienzahl</w:t>
      </w:r>
      <w:proofErr w:type="spellEnd"/>
      <w:r>
        <w:t xml:space="preserve"> der Probe zu bestimmen. Da es noch keine öffentlich zugängliche Referenzprobe mit </w:t>
      </w:r>
      <w:r>
        <w:lastRenderedPageBreak/>
        <w:t xml:space="preserve">beschriebenen OPN1LW- und OPN1MW-Kopienzahlen gibt, wurde zunächst die neu entwickelte X080 </w:t>
      </w:r>
      <w:proofErr w:type="spellStart"/>
      <w:r>
        <w:t>Opsin</w:t>
      </w:r>
      <w:proofErr w:type="spellEnd"/>
      <w:r>
        <w:t xml:space="preserve"> MLPA an zehn männlichen und zehn weiblichen Proben durchgeführt, deren Farbsehstatus unbekannt war. Bei allen Sonden wurden fluoreszierende Signale in der erwarteten </w:t>
      </w:r>
      <w:proofErr w:type="spellStart"/>
      <w:r>
        <w:t>Fragmentlänge</w:t>
      </w:r>
      <w:proofErr w:type="spellEnd"/>
      <w:r>
        <w:t xml:space="preserve"> detektiert, und die Verhältnisse der Kontrollsonden zwischen allen Proben lagen wie erwartet zwischen 0,8 und 1,2. Anschließend wurde die </w:t>
      </w:r>
      <w:proofErr w:type="spellStart"/>
      <w:r>
        <w:t>Kopienzahl</w:t>
      </w:r>
      <w:proofErr w:type="spellEnd"/>
      <w:r>
        <w:t xml:space="preserve"> der LCR- und OPN1LW/OPN1MW-Gene in allen Proben bestimmt, indem vier männliche Proben mit vergleichbar niedrigen fluoreszierenden Signalen für alle Ziele im </w:t>
      </w:r>
      <w:proofErr w:type="spellStart"/>
      <w:r>
        <w:t>Opsin-Locus</w:t>
      </w:r>
      <w:proofErr w:type="spellEnd"/>
      <w:r>
        <w:t xml:space="preserve"> als Referenz genommen wurden, unter der Annahme, dass diese eine LCR-, eine OPN1LW- und eine OPN1MW-Genkopie hatten. Eine langstreckige Sequenzanalyse des OPN1LW/OPN1MW-Genclusters, die an den vier männlichen Kontrollproben durchgeführt wurde, bestätigte, dass die Ziele der MLPA-Sonden korrekt identifiziert wurden; zudem waren in diesen vier männlichen Proben keine heterozygoten Varianten vorhanden, was ebenfalls darauf hinweist, dass diese Männer jeweils eine OPN1LW- und eine OPN1MW-Genkopie haben. Anschließend wurden die </w:t>
      </w:r>
      <w:proofErr w:type="spellStart"/>
      <w:r>
        <w:t>Kopienzahlen</w:t>
      </w:r>
      <w:proofErr w:type="spellEnd"/>
      <w:r>
        <w:t xml:space="preserve"> in den restlichen Proben unter Verwendung dieser vier männlichen Proben als Referenz bestimmt. In den verbleibenden sechs männlichen Proben wurden eine LCR- und drei oder vier OPN1LW/OPN1MW-Genkopien detektiert, und in den zehn weiblichen Proben wurden zwei LCR- und vier bis acht OPN1LW/OPN1MW-Genkopien detektiert.</w:t>
      </w:r>
    </w:p>
    <w:p/>
    <w:p>
      <w:r>
        <w:t xml:space="preserve">#### </w:t>
      </w:r>
      <w:proofErr w:type="spellStart"/>
      <w:r>
        <w:t>Kopienzahl</w:t>
      </w:r>
      <w:proofErr w:type="spellEnd"/>
      <w:r>
        <w:t>-Analyse in klinischen Proben</w:t>
      </w:r>
    </w:p>
    <w:p/>
    <w:p>
      <w:r>
        <w:t xml:space="preserve">Die </w:t>
      </w:r>
      <w:proofErr w:type="spellStart"/>
      <w:r>
        <w:t>Opsin</w:t>
      </w:r>
      <w:proofErr w:type="spellEnd"/>
      <w:r>
        <w:t xml:space="preserve">-MLPA wurde an 50 klinischen Proben durchgeführt (43 männliche und 7 weibliche Proben). In zwei der 43 männlichen klinischen Proben waren beide </w:t>
      </w:r>
      <w:proofErr w:type="spellStart"/>
      <w:r>
        <w:t>Sondensignale</w:t>
      </w:r>
      <w:proofErr w:type="spellEnd"/>
      <w:r>
        <w:t xml:space="preserve"> der LCR nicht nachweisbar, was auf eine Deletion der LCR hinweist. Von den verbleibenden 41 männlichen Proben hatten zehn eine einzige OPN1LW/OPN1MW-Genkopie, 16 hatten zwei und 15 hatten drei oder mehr OPN1LW/OPN1MW-Genkopien. Die sieben weiblichen Proben hatten zwei LCR und vier bis sechs OPN1LW/OPN1MW-Genkopien.</w:t>
      </w:r>
    </w:p>
    <w:p/>
    <w:p>
      <w:r>
        <w:t>#### Spezifität der langstreckigen Sequenzierungs-</w:t>
      </w:r>
      <w:proofErr w:type="spellStart"/>
      <w:r>
        <w:t>Amplicons</w:t>
      </w:r>
      <w:proofErr w:type="spellEnd"/>
    </w:p>
    <w:p/>
    <w:p>
      <w:r>
        <w:t xml:space="preserve">Da auch kausale </w:t>
      </w:r>
      <w:proofErr w:type="spellStart"/>
      <w:r>
        <w:t>Nukleotidvarianten</w:t>
      </w:r>
      <w:proofErr w:type="spellEnd"/>
      <w:r>
        <w:t xml:space="preserve"> im </w:t>
      </w:r>
      <w:proofErr w:type="spellStart"/>
      <w:r>
        <w:t>Opsin-Locus</w:t>
      </w:r>
      <w:proofErr w:type="spellEnd"/>
      <w:r>
        <w:t xml:space="preserve"> beschrieben wurden, wurden vier LR-</w:t>
      </w:r>
      <w:proofErr w:type="spellStart"/>
      <w:r>
        <w:t>Amplicons</w:t>
      </w:r>
      <w:proofErr w:type="spellEnd"/>
      <w:r>
        <w:t xml:space="preserve"> entworfen, um das OPN1LW/OPN1MW-Gencluster abzudecken (Abb. 1a). Die Spezifität dieser </w:t>
      </w:r>
      <w:proofErr w:type="spellStart"/>
      <w:r>
        <w:t>Amplicons</w:t>
      </w:r>
      <w:proofErr w:type="spellEnd"/>
      <w:r>
        <w:t xml:space="preserve"> wurde an vier männlichen Kontrollproben mit je einem OPN1LW und einem OPN1MW bestimmt. Alle vier LR-PCR-Reaktionen ergaben </w:t>
      </w:r>
      <w:proofErr w:type="spellStart"/>
      <w:r>
        <w:t>Amplicons</w:t>
      </w:r>
      <w:proofErr w:type="spellEnd"/>
      <w:r>
        <w:t xml:space="preserve"> der erwarteten Länge (Abb. 2). Zudem wurden die Sequenzierungs-Reads der </w:t>
      </w:r>
      <w:proofErr w:type="spellStart"/>
      <w:r>
        <w:t>Amplicons</w:t>
      </w:r>
      <w:proofErr w:type="spellEnd"/>
      <w:r>
        <w:t xml:space="preserve"> für das erste und das zweite (und nachfolgende) </w:t>
      </w:r>
      <w:proofErr w:type="spellStart"/>
      <w:r>
        <w:t>Opsin</w:t>
      </w:r>
      <w:proofErr w:type="spellEnd"/>
      <w:r>
        <w:t xml:space="preserve">-Gen nur auf den </w:t>
      </w:r>
      <w:proofErr w:type="spellStart"/>
      <w:r>
        <w:t>Opsin-Locus</w:t>
      </w:r>
      <w:proofErr w:type="spellEnd"/>
      <w:r>
        <w:t xml:space="preserve"> ausgerichtet, wenn sie auf das gesamte Genom abgebildet wurden (zusätzliche Abb. 3). Obwohl das </w:t>
      </w:r>
      <w:proofErr w:type="spellStart"/>
      <w:r>
        <w:t>Amplicon</w:t>
      </w:r>
      <w:proofErr w:type="spellEnd"/>
      <w:r>
        <w:t xml:space="preserve"> für das letzte </w:t>
      </w:r>
      <w:proofErr w:type="spellStart"/>
      <w:r>
        <w:t>Opsin</w:t>
      </w:r>
      <w:proofErr w:type="spellEnd"/>
      <w:r>
        <w:t xml:space="preserve">-Gen ein einzelnes Band ergab, wurden neben der Ausrichtung der meisten Reads auf den </w:t>
      </w:r>
      <w:proofErr w:type="spellStart"/>
      <w:r>
        <w:t>Opsin-Locus</w:t>
      </w:r>
      <w:proofErr w:type="spellEnd"/>
      <w:r>
        <w:t xml:space="preserve"> auch einige Reads auf Chromosom 1 ausgerichtet. Das </w:t>
      </w:r>
      <w:proofErr w:type="spellStart"/>
      <w:r>
        <w:t>Amplicon</w:t>
      </w:r>
      <w:proofErr w:type="spellEnd"/>
      <w:r>
        <w:t xml:space="preserve"> für die LCR zeigte ein zusätzliches unspezifisches Produkt von ~6 </w:t>
      </w:r>
      <w:proofErr w:type="spellStart"/>
      <w:r>
        <w:t>kb</w:t>
      </w:r>
      <w:proofErr w:type="spellEnd"/>
      <w:r>
        <w:t xml:space="preserve"> (Abb. 2), dessen Reads auf eine </w:t>
      </w:r>
      <w:proofErr w:type="spellStart"/>
      <w:r>
        <w:t>intronische</w:t>
      </w:r>
      <w:proofErr w:type="spellEnd"/>
      <w:r>
        <w:t xml:space="preserve"> Region von IGF1R auf Chromosom 15 ausgerichtet wurden.</w:t>
      </w:r>
    </w:p>
    <w:p/>
    <w:p>
      <w:r>
        <w:t>#### Variantenanalyse in klinischen Proben</w:t>
      </w:r>
    </w:p>
    <w:p/>
    <w:p>
      <w:r>
        <w:lastRenderedPageBreak/>
        <w:t xml:space="preserve">Eine Sequenzierungsstrategie zur Bestimmung, welche Sequenzierungsreaktionen </w:t>
      </w:r>
      <w:proofErr w:type="gramStart"/>
      <w:r>
        <w:t>pro klinischer Probe</w:t>
      </w:r>
      <w:proofErr w:type="gramEnd"/>
      <w:r>
        <w:t xml:space="preserve"> erforderlich sind, wird in Abb. 3 im Detail erklärt, und die 50 klinischen Proben wurden entsprechend sequenziert. Details zu den Mapping-Statistiken der für jede klinische Probe sequenzierten </w:t>
      </w:r>
      <w:proofErr w:type="spellStart"/>
      <w:r>
        <w:t>Amplicons</w:t>
      </w:r>
      <w:proofErr w:type="spellEnd"/>
      <w:r>
        <w:t xml:space="preserve"> sind in Tabelle 3 im Anhang aufgeführt. In zwei Proben (USN04466 und USN15024) wurde das LCR-</w:t>
      </w:r>
      <w:proofErr w:type="spellStart"/>
      <w:r>
        <w:t>Amplicon</w:t>
      </w:r>
      <w:proofErr w:type="spellEnd"/>
      <w:r>
        <w:t xml:space="preserve"> durchgeführt, da die MLPA das Fehlen der LCR ergab. Es wurde kein PCR-Produkt amplifiziert, wahrscheinlich umfassen die Deletionen in diesen Proben auch die genomische Sequenz, an die der Vorwärts- und/oder Rückwärtsprimer des LCR-</w:t>
      </w:r>
      <w:proofErr w:type="spellStart"/>
      <w:r>
        <w:t>Amplicons</w:t>
      </w:r>
      <w:proofErr w:type="spellEnd"/>
      <w:r>
        <w:t xml:space="preserve"> bindet. In 48 Proben wurde das erste Gen-</w:t>
      </w:r>
      <w:proofErr w:type="spellStart"/>
      <w:r>
        <w:t>Amplicon</w:t>
      </w:r>
      <w:proofErr w:type="spellEnd"/>
      <w:r>
        <w:t xml:space="preserve"> sequenziert, und in allen 48 Proben war das erste Gen im Cluster ein (Hybrid-)OPN1LW (Tabelle 1 und 2 im Anhang). In 39 Proben wurden Varianten im (Hybrid-)OPN1LW nachgewiesen, darunter eine Variante unbekannter Signifikanz (VUS) im Promotorbereich (c.-33_-13delinsATCAC), Protein-trunkierende Varianten (c.802_804delinsG p.(Arg268fs) und c.852C &gt; A p.(Tyr284*)), die pathogene c.607T &gt; C p.(Cys203Arg) Variante, </w:t>
      </w:r>
      <w:proofErr w:type="spellStart"/>
      <w:r>
        <w:t>missense</w:t>
      </w:r>
      <w:proofErr w:type="spellEnd"/>
      <w:r>
        <w:t xml:space="preserve"> VUS (c.347C &gt; G p.(Ser116Cys) und c. 1013G &gt; T p.(Gly338Val)), pathogene Kombinationen von Varianten LIAVA, LIVVA, LVAVA, MIAVA und MVAVA sowie die MVVVA-Kombination unbekannter Signifikanz (Tabelle 1 und 2 im</w:t>
      </w:r>
    </w:p>
    <w:p/>
    <w:p>
      <w:r>
        <w:t xml:space="preserve"> Anhang).</w:t>
      </w:r>
    </w:p>
    <w:p/>
    <w:p>
      <w:r>
        <w:t>Die Sequenzierung des zweiten (und nachfolgenden) Gen-</w:t>
      </w:r>
      <w:proofErr w:type="spellStart"/>
      <w:r>
        <w:t>Amplicons</w:t>
      </w:r>
      <w:proofErr w:type="spellEnd"/>
      <w:r>
        <w:t xml:space="preserve"> wurde in 38 klinischen Proben durchgeführt. Da ein bis vier Gene gleichzeitig sequenziert wurden, reichten die detektierten Variantenprozentsätze von ~25% bis 100%. Anhand des Variantenprozentsatzes wurde abgeleitet, ob eine, mehrere oder alle Genkopien die Variante(n) aufwiesen. In allen 38 Proben war das zweite (und nachfolgende) Gen im Cluster (ein) (Hybrid-)OPN1MW (Tabelle 1 und 2 im Anhang). In 29 Proben wurden </w:t>
      </w:r>
      <w:proofErr w:type="spellStart"/>
      <w:r>
        <w:t>Nukleotidvarianten</w:t>
      </w:r>
      <w:proofErr w:type="spellEnd"/>
      <w:r>
        <w:t xml:space="preserve"> nachgewiesen, darunter die pathogene c.607T &gt; C p.(Cys203Arg) Variante, die </w:t>
      </w:r>
      <w:proofErr w:type="spellStart"/>
      <w:r>
        <w:t>missense</w:t>
      </w:r>
      <w:proofErr w:type="spellEnd"/>
      <w:r>
        <w:t xml:space="preserve"> VUS c.38G &gt; A p.(Arg13His) und c.659T &gt; C p.(Met220Thr), pathogene Kombinationen von Varianten LVAVA, MIAVA und MVAVA sowie die MVVVA-Kombination unbekannter Signifikanz (Tabelle 1 und 2 im Anhang).</w:t>
      </w:r>
    </w:p>
    <w:p/>
    <w:p>
      <w:r>
        <w:t>Die Sequenzierung des letzten Gen-</w:t>
      </w:r>
      <w:proofErr w:type="spellStart"/>
      <w:r>
        <w:t>Amplicons</w:t>
      </w:r>
      <w:proofErr w:type="spellEnd"/>
      <w:r>
        <w:t xml:space="preserve"> wurde in fünf männlichen Proben mit drei </w:t>
      </w:r>
      <w:proofErr w:type="spellStart"/>
      <w:r>
        <w:t>Opsin</w:t>
      </w:r>
      <w:proofErr w:type="spellEnd"/>
      <w:r>
        <w:t xml:space="preserve">-Genen durchgeführt, in denen die letzten beiden Gene nicht identisch waren. Da der Rückwärtsprimer dieses </w:t>
      </w:r>
      <w:proofErr w:type="spellStart"/>
      <w:r>
        <w:t>Amplicons</w:t>
      </w:r>
      <w:proofErr w:type="spellEnd"/>
      <w:r>
        <w:t xml:space="preserve"> außerhalb der duplizierten Region liegt und in allen Proben nur eines der beiden zuvor detektierten (Hybrid-)OPN1MW-Gene sequenziert wurde (Tabelle 1 im Anhang), nehmen wir an, dass das </w:t>
      </w:r>
      <w:proofErr w:type="spellStart"/>
      <w:r>
        <w:t>Amplicon</w:t>
      </w:r>
      <w:proofErr w:type="spellEnd"/>
      <w:r>
        <w:t xml:space="preserve"> spezifisch für das letzte </w:t>
      </w:r>
      <w:proofErr w:type="spellStart"/>
      <w:r>
        <w:t>Opsin</w:t>
      </w:r>
      <w:proofErr w:type="spellEnd"/>
      <w:r>
        <w:t>-Gen im Cluster ist. In zwei Proben war das letzte Gen die OPN1MW-Genkopie ohne die pathogene Variante, in einer Probe ein Hybrid-OPN1MW und in den letzten beiden Proben ein OPN1MW mit der MVAVA-Kombination (Tabelle 1 im Anhang).</w:t>
      </w:r>
    </w:p>
    <w:p/>
    <w:p>
      <w:r>
        <w:t>In zwei Proben (USN01345 und USN20083), in denen keine kausalen Varianten nachgewiesen wurden, und in zwei Proben (USN15983 und USN03197), bei denen unklar war, ob kausale Varianten detektiert wurden, wurde die Sequenzierung der LCR durchgeführt, um eine kleine Deletion der LCR auszuschließen, die durch MLPA übersehen worden sein könnte. In diesen Proben wurden keine Deletionen oder seltene Varianten in der LCR nachgewiesen.</w:t>
      </w:r>
    </w:p>
    <w:p/>
    <w:p>
      <w:r>
        <w:lastRenderedPageBreak/>
        <w:t>#### Bestimmung des OPN1LW/OPN1MW-Genclusters in klinischen Proben</w:t>
      </w:r>
    </w:p>
    <w:p/>
    <w:p>
      <w:r>
        <w:t>Die Ergebnisse der MLPA und der langstreckigen Sequenzierung wurden kombiniert, um die genetische Zusammensetzung des OPN1LW/OPN1MW-Genclusters in den 50 klinischen Proben zu bestimmen. In 43 Proben bestand die klinische Fragestellung darin, die klinische Diagnose von Protanopie, BED, BCM oder Zapfendystrophie genetisch zu bestätigen. In 39 der 43 Patientenproben wurden kausale Varianten nachgewiesen (Abb. 4a), in einem Fall blieb die Kausalität aufgrund des Nachweises einer VUS sowohl im OPN1LW als auch im OPN1MW unklar (Abb. 4b), in einem Fall wurde eine genetische Ursache für Protanopie nachgewiesen, obwohl der Patient mit BED überwiesen wurde (Abb. 4b) und in zwei Proben wurde ein gutartiges OPN1LW/OPN1MW-Allel identifiziert (Abb. 4c).</w:t>
      </w:r>
    </w:p>
    <w:p/>
    <w:p>
      <w:r>
        <w:t xml:space="preserve">In sieben Proben bestand die klinische Fragestellung darin, den Trägerstatus zu bestimmen. Interessanterweise wurde in drei Proben, die auf den Trägerstatus für BCM getestet wurden, weil sie jeweils einen Sohn mit BCM ohne familiäre Vorbelastung hatten, ein Genrekombinationsereignis im Keimbahn- oder frühen Embryonalstadium nachgewiesen, das zu einem Hybrid-Allel mit der pathogenen c.607T &gt; C p.(Cys203Arg)-Variante in ihrem betroffenen Sohn führte (Abb. 5a, Tabelle 2 im Anhang). Außerdem hatte in USN19477 ein noch nicht definiertes genomisches Ereignis im Keimbahn- oder frühen Embryonalstadium stattgefunden, da in dieser Probe die LIAVA-Sequenz, die im einzigen </w:t>
      </w:r>
      <w:proofErr w:type="spellStart"/>
      <w:r>
        <w:t>Opsin</w:t>
      </w:r>
      <w:proofErr w:type="spellEnd"/>
      <w:r>
        <w:t xml:space="preserve">-Gen in ihrem Sohn vorhanden war, in keiner ihrer </w:t>
      </w:r>
      <w:proofErr w:type="spellStart"/>
      <w:r>
        <w:t>Opsin</w:t>
      </w:r>
      <w:proofErr w:type="spellEnd"/>
      <w:r>
        <w:t>-Genkopien nachgewiesen wurde (Tabelle 2 im Anhang). USN18152 mit zwei betroffenen Kindern war Trägerin von BED, während ihre Schwester ein gutartiges Allel von ihrer Mutter geerbt hatte (Abb. 5b, Tabelle 2 im Anhang). Die verbleibende Probe (USN09034) hatte wahrscheinlich ein gutartiges Allel von ihrer Mutter geerbt, die eine obligate Trägerin war (Tabelle 2 im Anhang).</w:t>
      </w:r>
    </w:p>
    <w:p/>
    <w:p>
      <w:r>
        <w:t>### Diskussion</w:t>
      </w:r>
    </w:p>
    <w:p/>
    <w:p>
      <w:r>
        <w:t xml:space="preserve">Der entwickelte Assay für das hochkomplexe genetische OPN1LW/OPN1MW-Cluster ist ein diagnostischer Gentest, der eine Vielzahl pathogener Varianten im Cluster durch die Kombination von </w:t>
      </w:r>
      <w:proofErr w:type="spellStart"/>
      <w:r>
        <w:t>Kopienzahl</w:t>
      </w:r>
      <w:proofErr w:type="spellEnd"/>
      <w:r>
        <w:t xml:space="preserve">-Analyse und langstreckiger Sequenzierung nachweisen kann. Die Analyse ist unkompliziert, da MLPA eine schnelle und effiziente Methode zur </w:t>
      </w:r>
      <w:proofErr w:type="spellStart"/>
      <w:r>
        <w:t>Kopienzahl</w:t>
      </w:r>
      <w:proofErr w:type="spellEnd"/>
      <w:r>
        <w:t>-Analyse darstellt und der langstreckige Sequenzierungsansatz es ermöglicht, die genetische Zusammensetzung des gesamten OPN1LW- oder OPN1MW-Gens in einzelnen Sequenzierungs-Reads zu bestimmen. Der entwickelte Assay verbessert die diagnostische Versorgung von Patienten mit Kegelfunktionsstörungen und kann Ärzten bei der Identifizierung zukünftiger Patienten helfen, bei denen eine genetische Analyse des OPN1LW/OPN1MW-Genclusters erforderlich ist.</w:t>
      </w:r>
    </w:p>
    <w:p/>
    <w:p>
      <w:r>
        <w:t xml:space="preserve">Die </w:t>
      </w:r>
      <w:proofErr w:type="spellStart"/>
      <w:r>
        <w:t>Kopienzahl</w:t>
      </w:r>
      <w:proofErr w:type="spellEnd"/>
      <w:r>
        <w:t xml:space="preserve">-Analyse des OPN1LW/OPN1MW-Genclusters wurde mittels eines neu entwickelten MLPA-Tests durchgeführt. Kontrollproben wiesen alle </w:t>
      </w:r>
      <w:proofErr w:type="spellStart"/>
      <w:r>
        <w:t>Kopienzahlen</w:t>
      </w:r>
      <w:proofErr w:type="spellEnd"/>
      <w:r>
        <w:t xml:space="preserve"> im Bereich von Personen mit normalem Farbsehen auf, während in klinischen Proben abweichende OPN1LW/OPN1MW-Genkopienzahlen detektiert wurden. Anschließend wurden langstreckige Sequenzierungsreaktionen für die Variantenanalyse des OPN1LW/OPN1MW-Clusters entwickelt. Die Zuordnung der Sequenzierungs-Reads wurde auf eine künstliche genomische Referenzsequenz durchgeführt, die aus </w:t>
      </w:r>
      <w:r>
        <w:lastRenderedPageBreak/>
        <w:t>einem OPN1LW und einem OPN1MW bestand, da die genomischen Referenzsequenzen von GRCh37 und GRCh38 für die Zuordnung der Sequenzierungs-Reads nicht geeignet waren. Sowohl GRCh37 als auch GRCh38 enthalten mehrere OPN1MW-Genkopien (GRCh37: 2 OPN1MW-Genkopien, GRCh38: 3 OPN1MW-Genkopien), und Sequenzierungs-Reads des zweiten (und nachfolgenden) Gen-</w:t>
      </w:r>
      <w:proofErr w:type="spellStart"/>
      <w:r>
        <w:t>Amplicons</w:t>
      </w:r>
      <w:proofErr w:type="spellEnd"/>
      <w:r>
        <w:t xml:space="preserve"> werden zufällig einer der OPN1MW-Genkopien zugewiesen, was zu falschen Variantenprozentzahlen führt.</w:t>
      </w:r>
    </w:p>
    <w:p/>
    <w:p>
      <w:r>
        <w:t xml:space="preserve">Da nur die ersten beiden </w:t>
      </w:r>
      <w:proofErr w:type="spellStart"/>
      <w:r>
        <w:t>Opsin</w:t>
      </w:r>
      <w:proofErr w:type="spellEnd"/>
      <w:r>
        <w:t xml:space="preserve">-Gene stromabwärts der LCR in Protein übersetzt werden, ist die genetische Zusammensetzung nur der ersten beiden Gene im Cluster klinisch relevant. Selbst mit dem verwendeten langstreckigen Ansatz, der über 16 </w:t>
      </w:r>
      <w:proofErr w:type="spellStart"/>
      <w:r>
        <w:t>kb</w:t>
      </w:r>
      <w:proofErr w:type="spellEnd"/>
      <w:r>
        <w:t xml:space="preserve"> umfassende </w:t>
      </w:r>
      <w:proofErr w:type="spellStart"/>
      <w:r>
        <w:t>Amplicons</w:t>
      </w:r>
      <w:proofErr w:type="spellEnd"/>
      <w:r>
        <w:t xml:space="preserve"> verwendet, konnte kein spezifisches </w:t>
      </w:r>
      <w:proofErr w:type="spellStart"/>
      <w:r>
        <w:t>Amplicon</w:t>
      </w:r>
      <w:proofErr w:type="spellEnd"/>
      <w:r>
        <w:t xml:space="preserve"> für das zweite Gen im Cluster entwickelt werden. Die meisten klinischen Proben haben jedoch nur zwei </w:t>
      </w:r>
      <w:proofErr w:type="spellStart"/>
      <w:r>
        <w:t>Opsin</w:t>
      </w:r>
      <w:proofErr w:type="spellEnd"/>
      <w:r>
        <w:t>-Gene in ihrem Cluster, und in diesen Proben wird das zweite (und nachfolgende) Gen-</w:t>
      </w:r>
      <w:proofErr w:type="spellStart"/>
      <w:r>
        <w:t>Amplicon</w:t>
      </w:r>
      <w:proofErr w:type="spellEnd"/>
      <w:r>
        <w:t xml:space="preserve"> nur Ergebnisse für das zweite Gen liefern, da keine nachfolgenden Gene vorhanden sind (Abb. 1b). Ein zusätzliches LR-PCR wurde entwickelt, um die genetische Zusammensetzung des zweiten Gens in Proben mit drei </w:t>
      </w:r>
      <w:proofErr w:type="spellStart"/>
      <w:r>
        <w:t>Opsin</w:t>
      </w:r>
      <w:proofErr w:type="spellEnd"/>
      <w:r>
        <w:t xml:space="preserve">-Genen zu bestimmen (Abb. 1c). Obwohl der entwickelte diagnostische Assay die genaue Zusammensetzung des Clusters nicht bestimmen kann, wenn vier oder mehr </w:t>
      </w:r>
      <w:proofErr w:type="spellStart"/>
      <w:r>
        <w:t>Opsin</w:t>
      </w:r>
      <w:proofErr w:type="spellEnd"/>
      <w:r>
        <w:t xml:space="preserve">-Genkopien vorhanden sind und die genetische Zusammensetzung der zweiten und nachfolgenden Genkopien nicht identisch ist (Abb. 1d), konnte der Assay die Zusammensetzung der ersten beiden Gene im OPN1LW/OPN1MW-Gencluster in allen 43 getesteten männlichen klinischen Proben bestimmen, was darauf hinweist, dass dieser Assay in der überwiegenden Mehrheit der Patienten für die Analyse kausaler </w:t>
      </w:r>
      <w:proofErr w:type="spellStart"/>
      <w:r>
        <w:t>Haplotypen</w:t>
      </w:r>
      <w:proofErr w:type="spellEnd"/>
      <w:r>
        <w:t xml:space="preserve"> im OPN1LW/OPN1MW-Gencluster ausreichend ist.</w:t>
      </w:r>
    </w:p>
    <w:p/>
    <w:p>
      <w:r>
        <w:t>### Methoden</w:t>
      </w:r>
    </w:p>
    <w:p/>
    <w:p>
      <w:r>
        <w:t>#### DNA-Proben aus dem klinischen Archiv</w:t>
      </w:r>
    </w:p>
    <w:p/>
    <w:p>
      <w:r>
        <w:t xml:space="preserve">Ein diagnostisches Labor kann (anonymisierte) archivierte klinische Proben verwenden, um neuartige diagnostische Tests zu validieren und zu implementieren. Die abgeleiteten klinisch relevanten Varianten können geteilt werden, aber ohne ausdrückliche Zustimmung zur Datenweitergabe auf individueller Patientenebene können FASTQ, BAM und VCFs nicht offengelegt werden. Diese Methoden entsprechen auch den relevanten Richtlinien und Vorschriften und wurden vom Ethikrat des </w:t>
      </w:r>
      <w:proofErr w:type="spellStart"/>
      <w:r>
        <w:t>Radboud</w:t>
      </w:r>
      <w:proofErr w:type="spellEnd"/>
      <w:r>
        <w:t xml:space="preserve"> </w:t>
      </w:r>
      <w:proofErr w:type="spellStart"/>
      <w:r>
        <w:t>Universitair</w:t>
      </w:r>
      <w:proofErr w:type="spellEnd"/>
      <w:r>
        <w:t xml:space="preserve"> </w:t>
      </w:r>
      <w:proofErr w:type="spellStart"/>
      <w:r>
        <w:t>Medisch</w:t>
      </w:r>
      <w:proofErr w:type="spellEnd"/>
      <w:r>
        <w:t xml:space="preserve"> Centrum genehmigt (2020-7142) und der Deklaration von Helsinki. Alle klinischen Proben (n=50) wurden zwischen 2015 und 2020 von der Abteilung für Humangenetik des </w:t>
      </w:r>
      <w:proofErr w:type="spellStart"/>
      <w:r>
        <w:t>Radboud</w:t>
      </w:r>
      <w:proofErr w:type="spellEnd"/>
      <w:r>
        <w:t xml:space="preserve"> </w:t>
      </w:r>
      <w:proofErr w:type="spellStart"/>
      <w:r>
        <w:t>Universitair</w:t>
      </w:r>
      <w:proofErr w:type="spellEnd"/>
      <w:r>
        <w:t xml:space="preserve"> </w:t>
      </w:r>
      <w:proofErr w:type="spellStart"/>
      <w:r>
        <w:t>Medisch</w:t>
      </w:r>
      <w:proofErr w:type="spellEnd"/>
      <w:r>
        <w:t xml:space="preserve"> Centrum erhalten. In 43 männlichen Proben wurde der genetische Test zur genetischen Bestätigung der Diagnose von Protanopie (n=1), BED (n=32), BCM (n=8) oder Zapfendystrophie (n=2) angefordert.</w:t>
      </w:r>
    </w:p>
    <w:p/>
    <w:p>
      <w:r>
        <w:t xml:space="preserve"> Die Art der Sehbehinderung wurde von erfahrenen Augenärzten basierend auf entsprechenden klinischen Untersuchungen diagnostiziert. In sieben weiblichen Proben wurde der genetische Test zur Trägerstatusanalyse angefordert, aufgrund von mehreren betroffenen Kindern (n=1), einem betroffenen Kind ohne positive Familienanamnese (n=4) oder einem betroffenen oder Träger-Geschwister (n=2). Die genomische DNA-Isolation aus peripherem Blut wurde auf automatisierte </w:t>
      </w:r>
      <w:r>
        <w:lastRenderedPageBreak/>
        <w:t xml:space="preserve">Weise wie zuvor beschrieben durchgeführt. Kurz gesagt, die genomische DNA-Isolation wurde automatisch unter Verwendung eines </w:t>
      </w:r>
      <w:proofErr w:type="spellStart"/>
      <w:r>
        <w:t>HamiltonMicrolab</w:t>
      </w:r>
      <w:proofErr w:type="spellEnd"/>
      <w:r>
        <w:t xml:space="preserve"> </w:t>
      </w:r>
      <w:proofErr w:type="spellStart"/>
      <w:r>
        <w:t>STARautoload</w:t>
      </w:r>
      <w:proofErr w:type="spellEnd"/>
      <w:r>
        <w:t xml:space="preserve">-Systems mit einem integrierten </w:t>
      </w:r>
      <w:proofErr w:type="spellStart"/>
      <w:r>
        <w:t>Chemagen</w:t>
      </w:r>
      <w:proofErr w:type="spellEnd"/>
      <w:r>
        <w:t xml:space="preserve"> MSM I-Separationsmodul (Hamilton Robotics GmbH) durchgeführt. Die DNA-Isolation erfolgte mit dem </w:t>
      </w:r>
      <w:proofErr w:type="spellStart"/>
      <w:r>
        <w:t>Chemagic</w:t>
      </w:r>
      <w:proofErr w:type="spellEnd"/>
      <w:r>
        <w:t xml:space="preserve"> DNA </w:t>
      </w:r>
      <w:proofErr w:type="spellStart"/>
      <w:r>
        <w:t>blood</w:t>
      </w:r>
      <w:proofErr w:type="spellEnd"/>
      <w:r>
        <w:t xml:space="preserve"> kit </w:t>
      </w:r>
      <w:proofErr w:type="spellStart"/>
      <w:r>
        <w:t>special</w:t>
      </w:r>
      <w:proofErr w:type="spellEnd"/>
      <w:r>
        <w:t xml:space="preserve"> (</w:t>
      </w:r>
      <w:proofErr w:type="spellStart"/>
      <w:r>
        <w:t>PerkinElmer</w:t>
      </w:r>
      <w:proofErr w:type="spellEnd"/>
      <w:r>
        <w:t>) gemäß den Anweisungen des Herstellers. Für die Zwecke dieser Studie wurden die Proben anonymisiert und mit einer eindeutigen Studiennummer (USN) codiert.</w:t>
      </w:r>
    </w:p>
    <w:p/>
    <w:p>
      <w:r>
        <w:t>#### MLPA</w:t>
      </w:r>
    </w:p>
    <w:p/>
    <w:p>
      <w:r>
        <w:t xml:space="preserve">Ein MLPA-Test spezifisch für das OPN1LW/OPN1MW-Gencluster wurde zusammen mit MRC Holland entwickelt. Das SALSA MLPA </w:t>
      </w:r>
      <w:proofErr w:type="spellStart"/>
      <w:r>
        <w:t>Probemix</w:t>
      </w:r>
      <w:proofErr w:type="spellEnd"/>
      <w:r>
        <w:t xml:space="preserve"> X080 </w:t>
      </w:r>
      <w:proofErr w:type="spellStart"/>
      <w:r>
        <w:t>Opsin</w:t>
      </w:r>
      <w:proofErr w:type="spellEnd"/>
      <w:r>
        <w:t xml:space="preserve"> besteht aus 9 Kontrollsonden und 16 Sonden, die auf das OPN1LW/OPN1MW-Gencluster abzielen, alle auf dem X-Chromosom. Zwei Sonden zielen auf die LCR ab. Sechs Sonden zielen auf OPN1LW (NM_020061.5): c.-77A in Exon 1, c.300A in Exon 2, c.457C in Exon 3, c.706A in Exon 4 und c.830 A und c.926A in Exon 5. Sechs Sonden zielen auf OPN1MW (NM_000153.2): c.-62A in Exon 1, c.300G in Exon 2, c.457A in Exon 3, c.706 G in Exon 4 und c.830T und c.926T in Exon 5. Zwei Sonden zielen sowohl auf OPN1LW als auch auf OPN1MW: c.607T in Exon 4 und c.1083A in Exon 6 (Abb. 1a). Die </w:t>
      </w:r>
      <w:proofErr w:type="spellStart"/>
      <w:r>
        <w:t>Sondensequenzen</w:t>
      </w:r>
      <w:proofErr w:type="spellEnd"/>
      <w:r>
        <w:t xml:space="preserve"> sind in Tabelle 4 im Anhang angegeben. Bei den Sonden, die c.457 und c.706 von sowohl OPN1LW als auch OPN1MW anvisieren, wurden innerhalb von 10 Nukleotiden der Zielsequenz Einzel-Nukleotid-Varianten beschrieben. Dementsprechend besteht die Möglichkeit, dass das Vorhandensein einer solchen Variante die Leistung der Sonde beeinflusst.</w:t>
      </w:r>
    </w:p>
    <w:p/>
    <w:p>
      <w:r>
        <w:t xml:space="preserve">Die MLPA-Reaktion wurde gemäß dem Protokoll des Herstellers (MRC Holland) auf einem </w:t>
      </w:r>
      <w:proofErr w:type="spellStart"/>
      <w:r>
        <w:t>Thermocycler</w:t>
      </w:r>
      <w:proofErr w:type="spellEnd"/>
      <w:r>
        <w:t xml:space="preserve"> (</w:t>
      </w:r>
      <w:proofErr w:type="spellStart"/>
      <w:r>
        <w:t>Geneamp</w:t>
      </w:r>
      <w:proofErr w:type="spellEnd"/>
      <w:r>
        <w:t xml:space="preserve"> PCR </w:t>
      </w:r>
      <w:proofErr w:type="spellStart"/>
      <w:r>
        <w:t>system</w:t>
      </w:r>
      <w:proofErr w:type="spellEnd"/>
      <w:r>
        <w:t xml:space="preserve"> 9700 (</w:t>
      </w:r>
      <w:proofErr w:type="spellStart"/>
      <w:r>
        <w:t>ThermoFisher</w:t>
      </w:r>
      <w:proofErr w:type="spellEnd"/>
      <w:r>
        <w:t xml:space="preserve">) oder </w:t>
      </w:r>
      <w:proofErr w:type="spellStart"/>
      <w:r>
        <w:t>Veriti</w:t>
      </w:r>
      <w:proofErr w:type="spellEnd"/>
      <w:r>
        <w:t xml:space="preserve"> 96 </w:t>
      </w:r>
      <w:proofErr w:type="spellStart"/>
      <w:r>
        <w:t>well</w:t>
      </w:r>
      <w:proofErr w:type="spellEnd"/>
      <w:r>
        <w:t xml:space="preserve"> thermal </w:t>
      </w:r>
      <w:proofErr w:type="spellStart"/>
      <w:r>
        <w:t>cycler</w:t>
      </w:r>
      <w:proofErr w:type="spellEnd"/>
      <w:r>
        <w:t xml:space="preserve"> (Applied Biosystems)) durchgeführt. Kurz gesagt, wurden 50–100 </w:t>
      </w:r>
      <w:proofErr w:type="spellStart"/>
      <w:r>
        <w:t>ng</w:t>
      </w:r>
      <w:proofErr w:type="spellEnd"/>
      <w:r>
        <w:t xml:space="preserve"> DNA denaturiert und mit 1,5 µl SALSA MLPA-Puffer und 1,5 µl </w:t>
      </w:r>
      <w:proofErr w:type="spellStart"/>
      <w:r>
        <w:t>Sondenmix</w:t>
      </w:r>
      <w:proofErr w:type="spellEnd"/>
      <w:r>
        <w:t xml:space="preserve"> gemischt. Nach 16 bis 20 Stunden Hybridisierung bei 60 °C wurden 3 µl SALSA Ligase-Puffer A, 3 µl SALSA Ligase-Puffer B, 1 µl SALSA Ligase-65 und 25 µl H2O hinzugefügt und 15 Minuten bei 54 °C inkubiert. Schließlich wurde eine Polymerase-Kettenreaktion (PCR) durch Zugabe von 2 µl SALSA PCR-Primer-Mix, 0,5 µl SALSA-Polymerase und 7,5 µl H2O durchgeführt. Das PCR-Protokoll umfasste: 35 Zyklen von 30 Sekunden bei 95 °C, 30 Sekunden bei 60 °C und 1 Minute bei 72 °C, gefolgt von einem abschließenden Elongationsschritt von 20 Minuten bei 72 °C. Eine Mischung aus 1 µl MLPA-Probe und 8,8 µl </w:t>
      </w:r>
      <w:proofErr w:type="spellStart"/>
      <w:r>
        <w:t>Formamid</w:t>
      </w:r>
      <w:proofErr w:type="spellEnd"/>
      <w:r>
        <w:t xml:space="preserve"> (Hi-Di, Applied Biosystems) und 0,2 µl Größenstandard (</w:t>
      </w:r>
      <w:proofErr w:type="spellStart"/>
      <w:r>
        <w:t>GeneScan</w:t>
      </w:r>
      <w:proofErr w:type="spellEnd"/>
      <w:r>
        <w:t xml:space="preserve"> 500-Liz, Applied Biosystems) wurde auf einem </w:t>
      </w:r>
      <w:proofErr w:type="spellStart"/>
      <w:r>
        <w:t>Fragmentanalysator</w:t>
      </w:r>
      <w:proofErr w:type="spellEnd"/>
      <w:r>
        <w:t xml:space="preserve"> (Modell 3130, Applied Biosystems) analysiert. Genemarker (V2.6.7, </w:t>
      </w:r>
      <w:proofErr w:type="spellStart"/>
      <w:r>
        <w:t>Softgenetics</w:t>
      </w:r>
      <w:proofErr w:type="spellEnd"/>
      <w:r>
        <w:t>) wurde für die Datenanalyse verwendet.</w:t>
      </w:r>
    </w:p>
    <w:p/>
    <w:p>
      <w:r>
        <w:t>#### Langstrecken-PCR</w:t>
      </w:r>
    </w:p>
    <w:p/>
    <w:p>
      <w:r>
        <w:t xml:space="preserve">Vier Langstrecken-PCRs (LR-PCRs) wurden entwickelt, um das OPN1LW/OPN1MW-Gencluster zu umfassen (Abb. 1a). Ein </w:t>
      </w:r>
      <w:proofErr w:type="spellStart"/>
      <w:r>
        <w:t>Amplicon</w:t>
      </w:r>
      <w:proofErr w:type="spellEnd"/>
      <w:r>
        <w:t xml:space="preserve"> von 14.374 bp wurde spezifisch für die LCR-Region entwickelt (Primer 099-692 GCAAAGGCTCTTCCTTTGTG und 099-693 AGGTGAAGGCAGGGTAAGGT). Ein </w:t>
      </w:r>
      <w:proofErr w:type="spellStart"/>
      <w:r>
        <w:t>Amplicon</w:t>
      </w:r>
      <w:proofErr w:type="spellEnd"/>
      <w:r>
        <w:t xml:space="preserve"> von 15.634 bp umfasste spezifisch das erste </w:t>
      </w:r>
      <w:proofErr w:type="spellStart"/>
      <w:r>
        <w:t>Opsin</w:t>
      </w:r>
      <w:proofErr w:type="spellEnd"/>
      <w:r>
        <w:t xml:space="preserve">-Gen (meist ein (Hybrid-)OPN1LW) im Cluster (Primer 044-982 GAGGCGAGGCTACGGAGT und 044-984 GCAGTGAAAGCCTCTGTGACT). Ein </w:t>
      </w:r>
      <w:proofErr w:type="spellStart"/>
      <w:r>
        <w:lastRenderedPageBreak/>
        <w:t>Amplicon</w:t>
      </w:r>
      <w:proofErr w:type="spellEnd"/>
      <w:r>
        <w:t xml:space="preserve"> von 14.034 bp umfasste das zweite und gegebenenfalls nachfolgende </w:t>
      </w:r>
      <w:proofErr w:type="spellStart"/>
      <w:r>
        <w:t>Opsin</w:t>
      </w:r>
      <w:proofErr w:type="spellEnd"/>
      <w:r>
        <w:t xml:space="preserve">-Genkopien (meist (Hybrid-)OPN1MW) im Cluster (Primer 080-273 AGCTGGGAGTACAGGTATTTG und 044-984). Schließlich wurde ein </w:t>
      </w:r>
      <w:proofErr w:type="spellStart"/>
      <w:r>
        <w:t>Amplicon</w:t>
      </w:r>
      <w:proofErr w:type="spellEnd"/>
      <w:r>
        <w:t xml:space="preserve"> von 16.589 bp entwickelt, um einen Teil des letzten </w:t>
      </w:r>
      <w:proofErr w:type="spellStart"/>
      <w:r>
        <w:t>Opsin</w:t>
      </w:r>
      <w:proofErr w:type="spellEnd"/>
      <w:r>
        <w:t>-Gens (meist ein (Hybrid-)OPN1MW) im Cluster zu identifizieren (Primer 099-820 AGGTGTAGAGCCCTAGCAAAC und 099-821 TCTCATTCATAAATTGCTGGTA).</w:t>
      </w:r>
    </w:p>
    <w:p/>
    <w:p>
      <w:r>
        <w:t xml:space="preserve">Die PCR wurde wie folgt durchgeführt: 100 </w:t>
      </w:r>
      <w:proofErr w:type="spellStart"/>
      <w:r>
        <w:t>ng</w:t>
      </w:r>
      <w:proofErr w:type="spellEnd"/>
      <w:r>
        <w:t xml:space="preserve"> DNA, 12,5 µl </w:t>
      </w:r>
      <w:proofErr w:type="spellStart"/>
      <w:r>
        <w:t>LongAmp</w:t>
      </w:r>
      <w:proofErr w:type="spellEnd"/>
      <w:r>
        <w:t xml:space="preserve"> Hot Start </w:t>
      </w:r>
      <w:proofErr w:type="spellStart"/>
      <w:r>
        <w:t>Taq</w:t>
      </w:r>
      <w:proofErr w:type="spellEnd"/>
      <w:r>
        <w:t xml:space="preserve"> 2x Master Mix (</w:t>
      </w:r>
      <w:proofErr w:type="spellStart"/>
      <w:r>
        <w:t>Bioke</w:t>
      </w:r>
      <w:proofErr w:type="spellEnd"/>
      <w:r>
        <w:t xml:space="preserve">), 2 µl 10 µM Vorwärts- und Rückwärtsprimer, 10,5 µl H2O. Das PCR-Protokoll für LCR, erstes Gen und zweite und nachfolgende Gene umfasste: 94 °C für 1 Minute, gefolgt von 30 Zyklen von 30 Sekunden bei 94 °C und 14 Minuten bei 65 °C, gefolgt von einem abschließenden Elongationsschritt von 10 Minuten bei 65 °C. Das PCR-Protokoll für das letzte Gen umfasste: 94 °C für 1 Minute, gefolgt von 30 Zyklen von 30 Sekunden bei 94 °C, 1 Minute bei 56 °C und 15 Minuten bei 65 °C, gefolgt von einem abschließenden Elongationsschritt von 10 Minuten bei 65 °C. Alle </w:t>
      </w:r>
      <w:proofErr w:type="spellStart"/>
      <w:r>
        <w:t>Amplicons</w:t>
      </w:r>
      <w:proofErr w:type="spellEnd"/>
      <w:r>
        <w:t xml:space="preserve"> wurden auf Agarosegel oder DNA </w:t>
      </w:r>
      <w:proofErr w:type="spellStart"/>
      <w:r>
        <w:t>ScreenTape</w:t>
      </w:r>
      <w:proofErr w:type="spellEnd"/>
      <w:r>
        <w:t xml:space="preserve"> Analysis (</w:t>
      </w:r>
      <w:proofErr w:type="spellStart"/>
      <w:r>
        <w:t>TapeStation</w:t>
      </w:r>
      <w:proofErr w:type="spellEnd"/>
      <w:r>
        <w:t>, Agilent) überprüft.</w:t>
      </w:r>
    </w:p>
    <w:p/>
    <w:p>
      <w:r>
        <w:t>#### Bibliotheksvorbereitung</w:t>
      </w:r>
    </w:p>
    <w:p/>
    <w:p>
      <w:r>
        <w:t>LR-</w:t>
      </w:r>
      <w:proofErr w:type="spellStart"/>
      <w:r>
        <w:t>Amplicons</w:t>
      </w:r>
      <w:proofErr w:type="spellEnd"/>
      <w:r>
        <w:t xml:space="preserve"> wurden mit </w:t>
      </w:r>
      <w:proofErr w:type="spellStart"/>
      <w:r>
        <w:t>AMPure</w:t>
      </w:r>
      <w:proofErr w:type="spellEnd"/>
      <w:r>
        <w:t xml:space="preserve"> PB-Perlen (Pacific </w:t>
      </w:r>
      <w:proofErr w:type="spellStart"/>
      <w:r>
        <w:t>Biosciences</w:t>
      </w:r>
      <w:proofErr w:type="spellEnd"/>
      <w:r>
        <w:t xml:space="preserve">) gereinigt, unter Verwendung eines Perlenverhältnisses von 1,5x. </w:t>
      </w:r>
      <w:r>
        <w:rPr>
          <w:lang w:val="en-US"/>
        </w:rPr>
        <w:t xml:space="preserve">Die </w:t>
      </w:r>
      <w:proofErr w:type="spellStart"/>
      <w:r>
        <w:rPr>
          <w:lang w:val="en-US"/>
        </w:rPr>
        <w:t>Bibliotheksvorbereitung</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gemäß</w:t>
      </w:r>
      <w:proofErr w:type="spellEnd"/>
      <w:r>
        <w:rPr>
          <w:lang w:val="en-US"/>
        </w:rPr>
        <w:t xml:space="preserve"> dem </w:t>
      </w:r>
      <w:proofErr w:type="spellStart"/>
      <w:r>
        <w:rPr>
          <w:lang w:val="en-US"/>
        </w:rPr>
        <w:t>Protokoll</w:t>
      </w:r>
      <w:proofErr w:type="spellEnd"/>
      <w:r>
        <w:rPr>
          <w:lang w:val="en-US"/>
        </w:rPr>
        <w:t xml:space="preserve"> "Procedure and Checklist—Preparing </w:t>
      </w:r>
      <w:proofErr w:type="spellStart"/>
      <w:r>
        <w:rPr>
          <w:lang w:val="en-US"/>
        </w:rPr>
        <w:t>SMRTbell</w:t>
      </w:r>
      <w:proofErr w:type="spellEnd"/>
      <w:r>
        <w:rPr>
          <w:lang w:val="en-US"/>
        </w:rPr>
        <w:t xml:space="preserve"> Libraries using PacBio Barcoded Adapters for Multiplex SMRT Sequencing" (Pacific Biosciences, Part Number 100-538-700-02) </w:t>
      </w:r>
      <w:proofErr w:type="spellStart"/>
      <w:r>
        <w:rPr>
          <w:lang w:val="en-US"/>
        </w:rPr>
        <w:t>durchgeführt</w:t>
      </w:r>
      <w:proofErr w:type="spellEnd"/>
      <w:r>
        <w:rPr>
          <w:lang w:val="en-US"/>
        </w:rPr>
        <w:t xml:space="preserve">. </w:t>
      </w:r>
      <w:r>
        <w:t xml:space="preserve">Kurz gesagt, wurden die Probenkonzentrationen mit dem </w:t>
      </w:r>
      <w:proofErr w:type="spellStart"/>
      <w:r>
        <w:t>Qubit</w:t>
      </w:r>
      <w:proofErr w:type="spellEnd"/>
      <w:r>
        <w:t xml:space="preserve"> 3.0 (</w:t>
      </w:r>
      <w:proofErr w:type="spellStart"/>
      <w:r>
        <w:t>ThermoFisher</w:t>
      </w:r>
      <w:proofErr w:type="spellEnd"/>
      <w:r>
        <w:t xml:space="preserve"> Scientific) gemessen. Gleiche molare Mengen an </w:t>
      </w:r>
      <w:proofErr w:type="spellStart"/>
      <w:r>
        <w:t>Amplicons</w:t>
      </w:r>
      <w:proofErr w:type="spellEnd"/>
      <w:r>
        <w:t xml:space="preserve">, die sich auf eine Gesamteingabe von 200 </w:t>
      </w:r>
      <w:proofErr w:type="spellStart"/>
      <w:r>
        <w:t>ng</w:t>
      </w:r>
      <w:proofErr w:type="spellEnd"/>
      <w:r>
        <w:t xml:space="preserve"> bis 1 µg DNA summieren, wurden verwendet, um eine einstufige Endreparatur und </w:t>
      </w:r>
      <w:proofErr w:type="spellStart"/>
      <w:r>
        <w:t>Adapterligation</w:t>
      </w:r>
      <w:proofErr w:type="spellEnd"/>
      <w:r>
        <w:t xml:space="preserve"> (unter Verwendung von Barcode-</w:t>
      </w:r>
      <w:proofErr w:type="spellStart"/>
      <w:r>
        <w:t>Haarpin</w:t>
      </w:r>
      <w:proofErr w:type="spellEnd"/>
      <w:r>
        <w:t xml:space="preserve">-Adaptern) durchzuführen, gefolgt </w:t>
      </w:r>
      <w:proofErr w:type="gramStart"/>
      <w:r>
        <w:t>von der gleichmolarer Pooling</w:t>
      </w:r>
      <w:proofErr w:type="gramEnd"/>
      <w:r>
        <w:t xml:space="preserve">. Der Pool wurde mit </w:t>
      </w:r>
      <w:proofErr w:type="spellStart"/>
      <w:r>
        <w:t>AMPure</w:t>
      </w:r>
      <w:proofErr w:type="spellEnd"/>
      <w:r>
        <w:t xml:space="preserve"> PB-Perlen gereinigt, gefolgt von DNA-Schadensreparatur, </w:t>
      </w:r>
      <w:proofErr w:type="spellStart"/>
      <w:r>
        <w:t>Exonuklease</w:t>
      </w:r>
      <w:proofErr w:type="spellEnd"/>
      <w:r>
        <w:t xml:space="preserve">-Verdauung und zwei weiteren Runden </w:t>
      </w:r>
      <w:proofErr w:type="spellStart"/>
      <w:r>
        <w:t>AMPure</w:t>
      </w:r>
      <w:proofErr w:type="spellEnd"/>
      <w:r>
        <w:t xml:space="preserve"> PB-Perlenreinigung.</w:t>
      </w:r>
    </w:p>
    <w:p/>
    <w:p>
      <w:r>
        <w:t xml:space="preserve">#### Erzeugung von Polymerase-gebundenen </w:t>
      </w:r>
      <w:proofErr w:type="spellStart"/>
      <w:r>
        <w:t>SMRTbell</w:t>
      </w:r>
      <w:proofErr w:type="spellEnd"/>
      <w:r>
        <w:t>-Komplexen und SMRT-Sequenzierung</w:t>
      </w:r>
    </w:p>
    <w:p/>
    <w:p>
      <w:r>
        <w:t xml:space="preserve">Die Erzeugung von Polymerase-gebundenen </w:t>
      </w:r>
      <w:proofErr w:type="spellStart"/>
      <w:r>
        <w:t>SMRTbell</w:t>
      </w:r>
      <w:proofErr w:type="spellEnd"/>
      <w:r>
        <w:t xml:space="preserve">-Komplexen wurde mit der Option "Sample Setup" in </w:t>
      </w:r>
      <w:proofErr w:type="spellStart"/>
      <w:r>
        <w:t>SMRTLink</w:t>
      </w:r>
      <w:proofErr w:type="spellEnd"/>
      <w:r>
        <w:t xml:space="preserve"> (Pacific </w:t>
      </w:r>
      <w:proofErr w:type="spellStart"/>
      <w:r>
        <w:t>Biosciences</w:t>
      </w:r>
      <w:proofErr w:type="spellEnd"/>
      <w:r>
        <w:t xml:space="preserve">) durchgeführt. Kurz gesagt, wurden Sequenzierungsprimer konditioniert und an die </w:t>
      </w:r>
      <w:proofErr w:type="spellStart"/>
      <w:r>
        <w:t>SMRTbell</w:t>
      </w:r>
      <w:proofErr w:type="spellEnd"/>
      <w:r>
        <w:t xml:space="preserve">-Bibliothek angelegt, gefolgt von Verdünnung und Bindung der Sequenzierungs-Polymerase. Der Polymerase-gebundene Komplex wurde mit </w:t>
      </w:r>
      <w:proofErr w:type="spellStart"/>
      <w:r>
        <w:t>AMPure</w:t>
      </w:r>
      <w:proofErr w:type="spellEnd"/>
      <w:r>
        <w:t xml:space="preserve"> PB-Perlen gereinigt, und die Konzentration wurde mittels </w:t>
      </w:r>
      <w:proofErr w:type="spellStart"/>
      <w:r>
        <w:t>Qubit</w:t>
      </w:r>
      <w:proofErr w:type="spellEnd"/>
      <w:r>
        <w:t xml:space="preserve"> gemessen. Eine interne Kontrollprobe wurde verdünnt und dem Polymerase-gebundenen Komplex hinzugefügt, zusammen mit DTT, Sequel-Zusatz und Komplexverdünnungspuffer.</w:t>
      </w:r>
    </w:p>
    <w:p/>
    <w:p>
      <w:r>
        <w:t xml:space="preserve">Die Sequenzierung wurde mit der Option "Run Design" in </w:t>
      </w:r>
      <w:proofErr w:type="spellStart"/>
      <w:r>
        <w:t>SMRTLink</w:t>
      </w:r>
      <w:proofErr w:type="spellEnd"/>
      <w:r>
        <w:t xml:space="preserve"> durchgeführt. Bibliotheken wurden mit Diffusionsladung mit einer Plattenkonzentration von 4,5 </w:t>
      </w:r>
      <w:proofErr w:type="spellStart"/>
      <w:r>
        <w:t>pM</w:t>
      </w:r>
      <w:proofErr w:type="spellEnd"/>
      <w:r>
        <w:t xml:space="preserve"> geladen. Alle Läufe wurden mit einer Filmlaufzeit von 20 Stunden pro </w:t>
      </w:r>
      <w:proofErr w:type="spellStart"/>
      <w:r>
        <w:t>SMRTcell</w:t>
      </w:r>
      <w:proofErr w:type="spellEnd"/>
      <w:r>
        <w:t xml:space="preserve"> sequenziert und beinhalteten eine </w:t>
      </w:r>
      <w:r>
        <w:lastRenderedPageBreak/>
        <w:t xml:space="preserve">Vorverlängerung. Die Sequenzierung wurde auf einem Sequel I-System (Pacific </w:t>
      </w:r>
      <w:proofErr w:type="spellStart"/>
      <w:r>
        <w:t>Biosciences</w:t>
      </w:r>
      <w:proofErr w:type="spellEnd"/>
      <w:r>
        <w:t xml:space="preserve">) mit ICS-Version 6.0 durchgeführt. Die </w:t>
      </w:r>
      <w:proofErr w:type="spellStart"/>
      <w:r>
        <w:t>Amplicons</w:t>
      </w:r>
      <w:proofErr w:type="spellEnd"/>
      <w:r>
        <w:t xml:space="preserve"> des OPN1</w:t>
      </w:r>
    </w:p>
    <w:p/>
    <w:p>
      <w:r>
        <w:t>LW/OPN1MW-Genclusters wurden zusammen mit anderen Arten von Langstrecken-</w:t>
      </w:r>
      <w:proofErr w:type="spellStart"/>
      <w:r>
        <w:t>Amplicons</w:t>
      </w:r>
      <w:proofErr w:type="spellEnd"/>
      <w:r>
        <w:t xml:space="preserve"> sequenziert. Sequenzierungsläufe wurden zweimal pro Woche durchgeführt, unabhängig von der Anzahl der verfügbaren Proben, mit maximal 24 verschiedenen Barcodes pro Sequenzierungslauf, ein Barcode kann mehr als ein </w:t>
      </w:r>
      <w:proofErr w:type="spellStart"/>
      <w:r>
        <w:t>Amplicon</w:t>
      </w:r>
      <w:proofErr w:type="spellEnd"/>
      <w:r>
        <w:t xml:space="preserve"> enthalten. Dementsprechend variiert die Abdeckung zwischen den verschiedenen Proben. Die geringe Anzahl von Barcodes garantiert jedoch eine ausreichende Abdeckung für jede Analyse. Die Mindestabdeckung für die Datenanalyse betrug 20x.</w:t>
      </w:r>
    </w:p>
    <w:p/>
    <w:p>
      <w:r>
        <w:t>#### Datenanalyse und Variantenerkennung</w:t>
      </w:r>
    </w:p>
    <w:p/>
    <w:p>
      <w:r>
        <w:t xml:space="preserve">Nach der Sequenzierung wurden die Rohdaten unter Verwendung von CCS-Mapping in </w:t>
      </w:r>
      <w:proofErr w:type="spellStart"/>
      <w:r>
        <w:t>SMRTLink</w:t>
      </w:r>
      <w:proofErr w:type="spellEnd"/>
      <w:r>
        <w:t xml:space="preserve"> analysiert. Die Analyse wurde mit Standardeinstellungen und geringfügigen Änderungen durchgeführt: Es wurden nur Reads, die länger als 10 </w:t>
      </w:r>
      <w:proofErr w:type="spellStart"/>
      <w:r>
        <w:t>kb</w:t>
      </w:r>
      <w:proofErr w:type="spellEnd"/>
      <w:r>
        <w:t xml:space="preserve"> waren, abgebildet, und für das CCS-Mapping wurde als Referenz ein angepasstes GRCh37 mit nur einer Kopie von OPN1MW ausgewählt. Die zusätzliche Einstellung "</w:t>
      </w:r>
      <w:proofErr w:type="spellStart"/>
      <w:r>
        <w:t>PlaceGapConsistently</w:t>
      </w:r>
      <w:proofErr w:type="spellEnd"/>
      <w:r>
        <w:t xml:space="preserve">" wurde zu den </w:t>
      </w:r>
      <w:proofErr w:type="spellStart"/>
      <w:r>
        <w:t>Algorithmusoptionen</w:t>
      </w:r>
      <w:proofErr w:type="spellEnd"/>
      <w:r>
        <w:t xml:space="preserve"> hinzugefügt, um eine Linksanpassung zu ermöglichen, und "</w:t>
      </w:r>
      <w:proofErr w:type="spellStart"/>
      <w:r>
        <w:t>consolidate</w:t>
      </w:r>
      <w:proofErr w:type="spellEnd"/>
      <w:r>
        <w:t xml:space="preserve"> bam" wurde auf "ON" gesetzt (Standard: OFF). Die erzeugten BAM-Dateien wurden in </w:t>
      </w:r>
      <w:proofErr w:type="spellStart"/>
      <w:r>
        <w:t>SeqNext</w:t>
      </w:r>
      <w:proofErr w:type="spellEnd"/>
      <w:r>
        <w:t xml:space="preserve"> (JSI Medical Systems) hochgeladen, und die Variantenerkennung wurde mit Standardeinstellungen auf OPN1LW (NM_020061.6) und OPN1MW (NM_000513.2) durchgeführt.</w:t>
      </w:r>
    </w:p>
    <w:p/>
    <w:p>
      <w:r>
        <w:t>#### Optische Genomkartierung</w:t>
      </w:r>
    </w:p>
    <w:p/>
    <w:p>
      <w:r>
        <w:t xml:space="preserve">Die optische Genomkartierung von Kontrollproben S3.1 bis S3.4 wurde wie zuvor beschrieben durchgeführt, mit geringfügigen Änderungen. Kurz gesagt, wurde ultrahochmolekulare DNA aus 650 µl peripherem Blut (EDTA) unter Verwendung des SP Blood and </w:t>
      </w:r>
      <w:proofErr w:type="spellStart"/>
      <w:r>
        <w:t>Cell</w:t>
      </w:r>
      <w:proofErr w:type="spellEnd"/>
      <w:r>
        <w:t xml:space="preserve"> Culture DNA Isolation Kit gemäß den Anweisungen des Herstellers (</w:t>
      </w:r>
      <w:proofErr w:type="spellStart"/>
      <w:r>
        <w:t>Bionano</w:t>
      </w:r>
      <w:proofErr w:type="spellEnd"/>
      <w:r>
        <w:t xml:space="preserve"> </w:t>
      </w:r>
      <w:proofErr w:type="spellStart"/>
      <w:r>
        <w:t>Genomics</w:t>
      </w:r>
      <w:proofErr w:type="spellEnd"/>
      <w:r>
        <w:t xml:space="preserve">) isoliert. Pro Probe wurden 750 </w:t>
      </w:r>
      <w:proofErr w:type="spellStart"/>
      <w:r>
        <w:t>ng</w:t>
      </w:r>
      <w:proofErr w:type="spellEnd"/>
      <w:r>
        <w:t xml:space="preserve"> DNA mit dem DLS (</w:t>
      </w:r>
      <w:proofErr w:type="spellStart"/>
      <w:r>
        <w:t>Direct</w:t>
      </w:r>
      <w:proofErr w:type="spellEnd"/>
      <w:r>
        <w:t xml:space="preserve"> Label and </w:t>
      </w:r>
      <w:proofErr w:type="spellStart"/>
      <w:r>
        <w:t>Stain</w:t>
      </w:r>
      <w:proofErr w:type="spellEnd"/>
      <w:r>
        <w:t xml:space="preserve">) DNA </w:t>
      </w:r>
      <w:proofErr w:type="spellStart"/>
      <w:r>
        <w:t>Labeling</w:t>
      </w:r>
      <w:proofErr w:type="spellEnd"/>
      <w:r>
        <w:t xml:space="preserve"> Kit (</w:t>
      </w:r>
      <w:proofErr w:type="spellStart"/>
      <w:r>
        <w:t>Bionano</w:t>
      </w:r>
      <w:proofErr w:type="spellEnd"/>
      <w:r>
        <w:t xml:space="preserve"> </w:t>
      </w:r>
      <w:proofErr w:type="spellStart"/>
      <w:r>
        <w:t>Genomics</w:t>
      </w:r>
      <w:proofErr w:type="spellEnd"/>
      <w:r>
        <w:t xml:space="preserve">) markiert, und die markierte DNA wurde auf dem </w:t>
      </w:r>
      <w:proofErr w:type="spellStart"/>
      <w:r>
        <w:t>Saphyr</w:t>
      </w:r>
      <w:proofErr w:type="spellEnd"/>
      <w:r>
        <w:t>-System (</w:t>
      </w:r>
      <w:proofErr w:type="spellStart"/>
      <w:r>
        <w:t>Bionano</w:t>
      </w:r>
      <w:proofErr w:type="spellEnd"/>
      <w:r>
        <w:t xml:space="preserve"> </w:t>
      </w:r>
      <w:proofErr w:type="spellStart"/>
      <w:r>
        <w:t>Genomics</w:t>
      </w:r>
      <w:proofErr w:type="spellEnd"/>
      <w:r>
        <w:t xml:space="preserve">) unter Verwendung von ICS-Version 5.2 abgebildet. Die annotierte de </w:t>
      </w:r>
      <w:proofErr w:type="spellStart"/>
      <w:r>
        <w:t>novo</w:t>
      </w:r>
      <w:proofErr w:type="spellEnd"/>
      <w:r>
        <w:t xml:space="preserve">-Assembly-Pipeline wurde mit der </w:t>
      </w:r>
      <w:proofErr w:type="spellStart"/>
      <w:r>
        <w:t>Bionano</w:t>
      </w:r>
      <w:proofErr w:type="spellEnd"/>
      <w:r>
        <w:t xml:space="preserve"> </w:t>
      </w:r>
      <w:proofErr w:type="spellStart"/>
      <w:r>
        <w:t>Solve</w:t>
      </w:r>
      <w:proofErr w:type="spellEnd"/>
      <w:r>
        <w:t xml:space="preserve">-Software 3.6.1 ausgeführt. Daten </w:t>
      </w:r>
      <w:proofErr w:type="gramStart"/>
      <w:r>
        <w:t>des Genome</w:t>
      </w:r>
      <w:proofErr w:type="gramEnd"/>
      <w:r>
        <w:t xml:space="preserve"> in a </w:t>
      </w:r>
      <w:proofErr w:type="spellStart"/>
      <w:r>
        <w:t>Bottle</w:t>
      </w:r>
      <w:proofErr w:type="spellEnd"/>
      <w:r>
        <w:t xml:space="preserve">-Samples NA12878 werden mit freundlicher Genehmigung von </w:t>
      </w:r>
      <w:proofErr w:type="spellStart"/>
      <w:r>
        <w:t>Bionano</w:t>
      </w:r>
      <w:proofErr w:type="spellEnd"/>
      <w:r>
        <w:t xml:space="preserve"> </w:t>
      </w:r>
      <w:proofErr w:type="spellStart"/>
      <w:r>
        <w:t>Genomics</w:t>
      </w:r>
      <w:proofErr w:type="spellEnd"/>
      <w:r>
        <w:t xml:space="preserve"> bereitgestellt. Qualitätsstatistiken der Proben sind in Tabelle 5 im Anhang angegeben.</w:t>
      </w: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ACA88-A8DA-41E5-AEE6-8C92C17A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827232">
      <w:bodyDiv w:val="1"/>
      <w:marLeft w:val="0"/>
      <w:marRight w:val="0"/>
      <w:marTop w:val="0"/>
      <w:marBottom w:val="0"/>
      <w:divBdr>
        <w:top w:val="none" w:sz="0" w:space="0" w:color="auto"/>
        <w:left w:val="none" w:sz="0" w:space="0" w:color="auto"/>
        <w:bottom w:val="none" w:sz="0" w:space="0" w:color="auto"/>
        <w:right w:val="none" w:sz="0" w:space="0" w:color="auto"/>
      </w:divBdr>
    </w:div>
    <w:div w:id="18786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3790</Words>
  <Characters>23879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Universitaetsklinikum Tuebingen</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Inciler</dc:creator>
  <cp:keywords/>
  <dc:description/>
  <cp:lastModifiedBy>Emre Inciler</cp:lastModifiedBy>
  <cp:revision>1</cp:revision>
  <dcterms:created xsi:type="dcterms:W3CDTF">2024-06-04T08:46:00Z</dcterms:created>
  <dcterms:modified xsi:type="dcterms:W3CDTF">2024-06-04T10:52:00Z</dcterms:modified>
</cp:coreProperties>
</file>