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5976000" cy="3984000"/>
            <wp:docPr id="1" name="Picture 1"/>
            <wp:cNvGraphicFramePr>
              <a:graphicFrameLocks noChangeAspect="1"/>
            </wp:cNvGraphicFramePr>
            <a:graphic>
              <a:graphicData uri="http://schemas.openxmlformats.org/drawingml/2006/picture">
                <pic:pic>
                  <pic:nvPicPr>
                    <pic:cNvPr id="0" name="teacher-manual.png"/>
                    <pic:cNvPicPr/>
                  </pic:nvPicPr>
                  <pic:blipFill>
                    <a:blip r:embed="rId9"/>
                    <a:stretch>
                      <a:fillRect/>
                    </a:stretch>
                  </pic:blipFill>
                  <pic:spPr>
                    <a:xfrm>
                      <a:off x="0" y="0"/>
                      <a:ext cx="5976000" cy="3984000"/>
                    </a:xfrm>
                    <a:prstGeom prst="rect"/>
                  </pic:spPr>
                </pic:pic>
              </a:graphicData>
            </a:graphic>
          </wp:inline>
        </w:drawing>
      </w:r>
    </w:p>
    <w:p>
      <w:pPr>
        <w:spacing w:after="80"/>
        <w:jc w:val="center"/>
      </w:pPr>
      <w:r>
        <w:rPr>
          <w:rFonts w:ascii="Menlo" w:hAnsi="Menlo" w:cs="Sukhumvit Set" w:eastAsia="Sukhumvit Set"/>
          <w:b w:val="0"/>
          <w:i w:val="0"/>
          <w:color w:val="9C6F1C"/>
          <w:sz w:val="20"/>
          <w:spacing w:val="36"/>
        </w:rPr>
        <w:t>MANUAL · FOR TEACHERS &amp; JUDGES</w:t>
      </w:r>
    </w:p>
    <w:p>
      <w:pPr>
        <w:spacing w:after="120" w:line="245" w:lineRule="auto"/>
        <w:jc w:val="center"/>
      </w:pPr>
      <w:r>
        <w:rPr>
          <w:rFonts w:ascii="Baskerville" w:hAnsi="Baskerville" w:cs="Baskerville"/>
          <w:b w:val="0"/>
          <w:i w:val="0"/>
          <w:color w:val="7B1B1B"/>
          <w:sz w:val="64"/>
        </w:rPr>
        <w:t>The Teacher's &amp; Judge's Manual</w:t>
      </w:r>
    </w:p>
    <w:p>
      <w:pPr>
        <w:spacing w:after="80"/>
        <w:jc w:val="center"/>
      </w:pPr>
      <w:r>
        <w:rPr>
          <w:rFonts w:ascii="Baskerville" w:hAnsi="Baskerville" w:cs="Baskerville"/>
          <w:b w:val="0"/>
          <w:i/>
          <w:color w:val="5A5A60"/>
          <w:sz w:val="30"/>
        </w:rPr>
        <w:t>How to run, grade, and read FUTUREPROOF</w:t>
      </w:r>
    </w:p>
    <w:p>
      <w:pPr>
        <w:spacing w:after="480"/>
        <w:jc w:val="center"/>
      </w:pPr>
      <w:r>
        <w:rPr>
          <w:rFonts w:ascii="Sukhumvit Set" w:hAnsi="Sukhumvit Set" w:cs="Sukhumvit Set" w:eastAsia="Sukhumvit Set"/>
          <w:b w:val="0"/>
          <w:i w:val="0"/>
          <w:color w:val="9C6F1C"/>
          <w:sz w:val="26"/>
        </w:rPr>
        <w:t>คู่มือสำหรับอาจารย์และคณะกรรมการ</w:t>
      </w:r>
    </w:p>
    <w:p>
      <w:pPr>
        <w:spacing w:before="400"/>
        <w:jc w:val="center"/>
      </w:pPr>
      <w:r>
        <w:rPr>
          <w:rFonts w:ascii="Avenir Next" w:hAnsi="Avenir Next" w:cs="Avenir Next"/>
          <w:b w:val="0"/>
          <w:i w:val="0"/>
          <w:color w:val="000000"/>
          <w:sz w:val="22"/>
        </w:rPr>
        <w:t>Dr. Payungsak Kaenchan  ·  Faculty of Liberal Arts, Mahidol University</w:t>
      </w:r>
    </w:p>
    <w:p>
      <w:pPr>
        <w:jc w:val="center"/>
      </w:pPr>
      <w:r>
        <w:rPr>
          <w:rFonts w:ascii="Menlo" w:hAnsi="Menlo" w:cs="Menlo"/>
          <w:b w:val="0"/>
          <w:i w:val="0"/>
          <w:color w:val="5A5A60"/>
          <w:sz w:val="16"/>
          <w:spacing w:val="16"/>
        </w:rPr>
        <w:t>Submitted to the SPU Tech Creative Learning Awards 2569</w:t>
      </w:r>
    </w:p>
    <w:p>
      <w:r>
        <w:br w:type="page"/>
      </w:r>
    </w:p>
    <w:p>
      <w:pPr>
        <w:spacing w:after="140" w:line="324" w:lineRule="auto"/>
      </w:pPr>
      <w:r>
        <w:rPr>
          <w:rFonts w:ascii="Avenir Next" w:hAnsi="Avenir Next" w:cs="Avenir Next"/>
          <w:b w:val="0"/>
          <w:i w:val="0"/>
          <w:color w:val="000000"/>
          <w:sz w:val="25"/>
        </w:rPr>
        <w:t>Teacher's Manual · v1.0</w:t>
      </w:r>
    </w:p>
    <w:p>
      <w:pPr>
        <w:spacing w:after="140" w:line="324" w:lineRule="auto"/>
      </w:pPr>
      <w:r>
        <w:rPr>
          <w:rFonts w:ascii="Avenir Next" w:hAnsi="Avenir Next" w:cs="Avenir Next"/>
          <w:b w:val="0"/>
          <w:i w:val="0"/>
          <w:color w:val="000000"/>
          <w:sz w:val="25"/>
        </w:rPr>
        <w:t>คู่มือครูสำหรับการใช้งานแพลตฟอร์ม FUTUREPROOF — แนวทางการสอน การประเมินผล และการตรวจสอบเชิงทฤษฎีสำหรับคณะกรรมการตัดสิน</w:t>
      </w:r>
    </w:p>
    <w:p>
      <w:pPr>
        <w:spacing w:after="40"/>
      </w:pPr>
      <w:r>
        <w:rPr>
          <w:rFonts w:ascii="Menlo" w:hAnsi="Menlo" w:cs="Sukhumvit Set" w:eastAsia="Sukhumvit Set"/>
          <w:b w:val="0"/>
          <w:i w:val="0"/>
          <w:color w:val="9C6F1C"/>
          <w:sz w:val="18"/>
          <w:spacing w:val="32"/>
        </w:rPr>
        <w:t>PURPOSE · จุดมุ่งหมายของคู่มือ</w:t>
      </w:r>
    </w:p>
    <w:p>
      <w:pPr>
        <w:spacing w:after="140" w:line="324" w:lineRule="auto"/>
      </w:pPr>
      <w:r>
        <w:rPr>
          <w:rFonts w:ascii="Avenir Next" w:hAnsi="Avenir Next" w:cs="Avenir Next"/>
          <w:b w:val="0"/>
          <w:i w:val="0"/>
          <w:color w:val="000000"/>
          <w:sz w:val="25"/>
        </w:rPr>
        <w:t xml:space="preserve">This manual serves two readers at once: </w:t>
      </w:r>
      <w:r>
        <w:rPr>
          <w:rFonts w:ascii="Avenir Next" w:hAnsi="Avenir Next" w:cs="Avenir Next"/>
          <w:b/>
          <w:i w:val="0"/>
          <w:color w:val="000000"/>
          <w:sz w:val="25"/>
        </w:rPr>
        <w:t>teachers</w:t>
      </w:r>
      <w:r>
        <w:rPr>
          <w:rFonts w:ascii="Avenir Next" w:hAnsi="Avenir Next" w:cs="Avenir Next"/>
          <w:b w:val="0"/>
          <w:i w:val="0"/>
          <w:color w:val="000000"/>
          <w:sz w:val="25"/>
        </w:rPr>
        <w:t xml:space="preserve"> who want to onboard a class and run the platform with confidence, and </w:t>
      </w:r>
      <w:r>
        <w:rPr>
          <w:rFonts w:ascii="Avenir Next" w:hAnsi="Avenir Next" w:cs="Avenir Next"/>
          <w:b/>
          <w:i w:val="0"/>
          <w:color w:val="000000"/>
          <w:sz w:val="25"/>
        </w:rPr>
        <w:t>competition judges</w:t>
      </w:r>
      <w:r>
        <w:rPr>
          <w:rFonts w:ascii="Avenir Next" w:hAnsi="Avenir Next" w:cs="Avenir Next"/>
          <w:b w:val="0"/>
          <w:i w:val="0"/>
          <w:color w:val="000000"/>
          <w:sz w:val="25"/>
        </w:rPr>
        <w:t xml:space="preserve"> who need to audit the architecture and the pedagogical claims behind it. Every chapter is written so either audience can read it cold and answer their own first question.</w:t>
      </w:r>
    </w:p>
    <w:p>
      <w:pPr>
        <w:spacing w:after="40"/>
      </w:pPr>
      <w:r>
        <w:rPr>
          <w:rFonts w:ascii="Menlo" w:hAnsi="Menlo" w:cs="Sukhumvit Set" w:eastAsia="Sukhumvit Set"/>
          <w:b w:val="0"/>
          <w:i w:val="0"/>
          <w:color w:val="9C6F1C"/>
          <w:sz w:val="18"/>
          <w:spacing w:val="32"/>
        </w:rPr>
        <w:t>PEDAGOGICAL SPINE · กระดูกสันหลังทฤษฎี</w:t>
      </w:r>
    </w:p>
    <w:p>
      <w:pPr>
        <w:spacing w:after="140" w:line="324" w:lineRule="auto"/>
      </w:pPr>
      <w:r>
        <w:rPr>
          <w:rFonts w:ascii="Avenir Next" w:hAnsi="Avenir Next" w:cs="Avenir Next"/>
          <w:b/>
          <w:i w:val="0"/>
          <w:color w:val="000000"/>
          <w:sz w:val="25"/>
        </w:rPr>
        <w:t>PICRAT</w:t>
      </w:r>
      <w:r>
        <w:rPr>
          <w:rFonts w:ascii="Avenir Next" w:hAnsi="Avenir Next" w:cs="Avenir Next"/>
          <w:b w:val="0"/>
          <w:i w:val="0"/>
          <w:color w:val="000000"/>
          <w:sz w:val="25"/>
        </w:rPr>
        <w:t xml:space="preserve"> (Kimmons, Graham &amp; West 2020) · </w:t>
      </w:r>
      <w:r>
        <w:rPr>
          <w:rFonts w:ascii="Avenir Next" w:hAnsi="Avenir Next" w:cs="Avenir Next"/>
          <w:b/>
          <w:i w:val="0"/>
          <w:color w:val="000000"/>
          <w:sz w:val="25"/>
        </w:rPr>
        <w:t>AI-TPACK</w:t>
      </w:r>
      <w:r>
        <w:rPr>
          <w:rFonts w:ascii="Avenir Next" w:hAnsi="Avenir Next" w:cs="Avenir Next"/>
          <w:b w:val="0"/>
          <w:i w:val="0"/>
          <w:color w:val="000000"/>
          <w:sz w:val="25"/>
        </w:rPr>
        <w:t xml:space="preserve"> (Mishra &amp; Koehler, extended) · Bloom's Revised Taxonomy · CAST UDL 3.0 · Krashen i+1 · Vygotsky ZPD · Lave &amp; Wenger Situated Cognition · Hattie Visible Learning · Mayer CTML · UNESCO ESD</w:t>
      </w:r>
    </w:p>
    <w:p>
      <w:pPr>
        <w:spacing w:before="320" w:after="140"/>
        <w:pBdr>
          <w:bottom w:val="single" w:sz="6" w:space="4" w:color="C9A961"/>
        </w:pBdr>
      </w:pPr>
      <w:r>
        <w:rPr>
          <w:rFonts w:ascii="Baskerville" w:hAnsi="Baskerville" w:cs="Baskerville"/>
          <w:b w:val="0"/>
          <w:i w:val="0"/>
          <w:color w:val="9C6F1C"/>
          <w:sz w:val="33"/>
        </w:rPr>
        <w:t>In this manual</w:t>
      </w:r>
    </w:p>
    <w:p>
      <w:pPr>
        <w:spacing w:after="140" w:line="324" w:lineRule="auto"/>
      </w:pPr>
      <w:r>
        <w:rPr>
          <w:rFonts w:ascii="Avenir Next" w:hAnsi="Avenir Next" w:cs="Avenir Next"/>
          <w:b w:val="0"/>
          <w:i w:val="0"/>
          <w:color w:val="000000"/>
          <w:sz w:val="25"/>
        </w:rPr>
        <w:t>สารบัญ</w:t>
      </w:r>
    </w:p>
    <w:p>
      <w:pPr>
        <w:spacing w:before="320" w:after="140"/>
        <w:pBdr>
          <w:bottom w:val="single" w:sz="6" w:space="4" w:color="C9A961"/>
        </w:pBdr>
      </w:pPr>
      <w:r>
        <w:rPr>
          <w:rFonts w:ascii="Baskerville" w:hAnsi="Baskerville" w:cs="Baskerville"/>
          <w:b w:val="0"/>
          <w:i w:val="0"/>
          <w:color w:val="9C6F1C"/>
          <w:sz w:val="33"/>
        </w:rPr>
        <w:t>How to read this manual</w:t>
      </w:r>
    </w:p>
    <w:p>
      <w:pPr>
        <w:spacing w:after="140" w:line="324" w:lineRule="auto"/>
      </w:pPr>
      <w:r>
        <w:rPr>
          <w:rFonts w:ascii="Avenir Next" w:hAnsi="Avenir Next" w:cs="Avenir Next"/>
          <w:b w:val="0"/>
          <w:i w:val="0"/>
          <w:color w:val="000000"/>
          <w:sz w:val="25"/>
        </w:rPr>
        <w:t>วิธีอ่านคู่มือเล่มนี้</w:t>
      </w:r>
    </w:p>
    <w:p>
      <w:pPr>
        <w:spacing w:after="140" w:line="324" w:lineRule="auto"/>
      </w:pPr>
      <w:r>
        <w:rPr>
          <w:rFonts w:ascii="Avenir Next" w:hAnsi="Avenir Next" w:cs="Avenir Next"/>
          <w:b w:val="0"/>
          <w:i w:val="0"/>
          <w:color w:val="000000"/>
          <w:sz w:val="25"/>
        </w:rPr>
        <w:t>Two audiences are served by this single document. Read selectively — every chapter is self-contained, and the chapter opener tells you what's inside before you commit.</w:t>
      </w:r>
    </w:p>
    <w:p>
      <w:pPr>
        <w:spacing w:before="320" w:after="140"/>
        <w:pBdr>
          <w:bottom w:val="single" w:sz="6" w:space="4" w:color="C9A961"/>
        </w:pBdr>
      </w:pPr>
      <w:r>
        <w:rPr>
          <w:rFonts w:ascii="Baskerville" w:hAnsi="Baskerville" w:cs="Baskerville"/>
          <w:b w:val="0"/>
          <w:i w:val="0"/>
          <w:color w:val="9C6F1C"/>
          <w:sz w:val="33"/>
        </w:rPr>
        <w:t>Who this manual is for</w:t>
      </w:r>
    </w:p>
    <w:p>
      <w:pPr>
        <w:spacing w:after="140" w:line="324" w:lineRule="auto"/>
      </w:pPr>
      <w:r>
        <w:rPr>
          <w:rFonts w:ascii="Avenir Next" w:hAnsi="Avenir Next" w:cs="Avenir Next"/>
          <w:b w:val="0"/>
          <w:i w:val="0"/>
          <w:color w:val="000000"/>
          <w:sz w:val="25"/>
        </w:rPr>
        <w:t>This manual addresses two readers with overlapping but distinct concerns:</w:t>
      </w:r>
    </w:p>
    <w:p>
      <w:pPr>
        <w:pStyle w:val="ListBullet"/>
        <w:spacing w:after="60" w:line="312" w:lineRule="auto"/>
      </w:pPr>
      <w:r>
        <w:rPr>
          <w:rFonts w:ascii="Avenir Next" w:hAnsi="Avenir Next" w:cs="Avenir Next"/>
          <w:b w:val="0"/>
          <w:i w:val="0"/>
          <w:color w:val="000000"/>
          <w:sz w:val="25"/>
        </w:rPr>
        <w:t>Teachers who will run FUTUREPROOF in a real classroom — what to do before, during, and after the course. The operational chapters (5, 7, 8, 10) are written for you. Time-to-first-class: ~ 90 minutes of reading + 30 minutes of setup.</w:t>
      </w:r>
    </w:p>
    <w:p>
      <w:pPr>
        <w:pStyle w:val="ListBullet"/>
        <w:spacing w:after="60" w:line="312" w:lineRule="auto"/>
      </w:pPr>
      <w:r>
        <w:rPr>
          <w:rFonts w:ascii="Avenir Next" w:hAnsi="Avenir Next" w:cs="Avenir Next"/>
          <w:b w:val="0"/>
          <w:i w:val="0"/>
          <w:color w:val="000000"/>
          <w:sz w:val="25"/>
        </w:rPr>
        <w:t>Competition judges and academic reviewers who need to audit the pedagogical claims, the AI–human boundary, and the architectural decisions. The theory chapters (3, 4) and rubric summaries (11) are written for you. Time-to-confident-assessment: ~ 45 minutes of reading.</w:t>
      </w:r>
    </w:p>
    <w:p>
      <w:pPr>
        <w:spacing w:before="320" w:after="140"/>
        <w:pBdr>
          <w:bottom w:val="single" w:sz="6" w:space="4" w:color="C9A961"/>
        </w:pBdr>
      </w:pPr>
      <w:r>
        <w:rPr>
          <w:rFonts w:ascii="Baskerville" w:hAnsi="Baskerville" w:cs="Baskerville"/>
          <w:b w:val="0"/>
          <w:i w:val="0"/>
          <w:color w:val="9C6F1C"/>
          <w:sz w:val="33"/>
        </w:rPr>
        <w:t>Reading paths</w:t>
      </w:r>
    </w:p>
    <w:tbl>
      <w:tblPr>
        <w:tblW w:type="auto" w:w="0"/>
        <w:jc w:val="left"/>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4706"/>
        <w:gridCol w:w="4706"/>
      </w:tblGrid>
      <w:tr>
        <w:tc>
          <w:tcPr>
            <w:tcW w:type="dxa" w:w="4706"/>
            <w:shd w:val="clear" w:color="auto" w:fill="F4F1EA"/>
          </w:tcPr>
          <w:p>
            <w:pPr>
              <w:spacing w:after="20"/>
            </w:pPr>
            <w:r>
              <w:rPr>
                <w:rFonts w:ascii="Menlo" w:hAnsi="Menlo" w:cs="Menlo"/>
                <w:b/>
                <w:i w:val="0"/>
                <w:color w:val="9C6F1C"/>
                <w:sz w:val="16"/>
                <w:spacing w:val="16"/>
              </w:rPr>
              <w:t>IF YOU ARE…</w:t>
            </w:r>
          </w:p>
        </w:tc>
        <w:tc>
          <w:tcPr>
            <w:tcW w:type="dxa" w:w="4706"/>
            <w:shd w:val="clear" w:color="auto" w:fill="F4F1EA"/>
          </w:tcPr>
          <w:p>
            <w:pPr>
              <w:spacing w:after="20"/>
            </w:pPr>
            <w:r>
              <w:rPr>
                <w:rFonts w:ascii="Menlo" w:hAnsi="Menlo" w:cs="Menlo"/>
                <w:b/>
                <w:i w:val="0"/>
                <w:color w:val="9C6F1C"/>
                <w:sz w:val="16"/>
                <w:spacing w:val="16"/>
              </w:rPr>
              <w:t>READ IN THIS ORDER</w:t>
            </w:r>
          </w:p>
        </w:tc>
      </w:tr>
      <w:tr>
        <w:tc>
          <w:tcPr>
            <w:tcW w:type="dxa" w:w="4706"/>
          </w:tcPr>
          <w:p>
            <w:pPr>
              <w:spacing w:after="20" w:line="300" w:lineRule="auto"/>
            </w:pPr>
            <w:r>
              <w:rPr>
                <w:rFonts w:ascii="Avenir Next" w:hAnsi="Avenir Next" w:cs="Avenir Next"/>
                <w:b w:val="0"/>
                <w:i w:val="0"/>
                <w:color w:val="000000"/>
                <w:sz w:val="21"/>
              </w:rPr>
              <w:t>A teacher new to FUTUREPROOF</w:t>
            </w:r>
          </w:p>
        </w:tc>
        <w:tc>
          <w:tcPr>
            <w:tcW w:type="dxa" w:w="4706"/>
          </w:tcPr>
          <w:p>
            <w:pPr>
              <w:spacing w:after="20" w:line="300" w:lineRule="auto"/>
            </w:pPr>
            <w:r>
              <w:rPr>
                <w:rFonts w:ascii="Avenir Next" w:hAnsi="Avenir Next" w:cs="Avenir Next"/>
                <w:b w:val="0"/>
                <w:i w:val="0"/>
                <w:color w:val="000000"/>
                <w:sz w:val="21"/>
              </w:rPr>
              <w:t>Chapters 2 → 5 → 6 → 7 → 10 → 13 (skip 3 / 4 first pass)</w:t>
            </w:r>
          </w:p>
        </w:tc>
      </w:tr>
      <w:tr>
        <w:tc>
          <w:tcPr>
            <w:tcW w:type="dxa" w:w="4706"/>
          </w:tcPr>
          <w:p>
            <w:pPr>
              <w:spacing w:after="20" w:line="300" w:lineRule="auto"/>
            </w:pPr>
            <w:r>
              <w:rPr>
                <w:rFonts w:ascii="Avenir Next" w:hAnsi="Avenir Next" w:cs="Avenir Next"/>
                <w:b w:val="0"/>
                <w:i w:val="0"/>
                <w:color w:val="000000"/>
                <w:sz w:val="21"/>
              </w:rPr>
              <w:t>A teacher with class already onboarded</w:t>
            </w:r>
          </w:p>
        </w:tc>
        <w:tc>
          <w:tcPr>
            <w:tcW w:type="dxa" w:w="4706"/>
          </w:tcPr>
          <w:p>
            <w:pPr>
              <w:spacing w:after="20" w:line="300" w:lineRule="auto"/>
            </w:pPr>
            <w:r>
              <w:rPr>
                <w:rFonts w:ascii="Avenir Next" w:hAnsi="Avenir Next" w:cs="Avenir Next"/>
                <w:b w:val="0"/>
                <w:i w:val="0"/>
                <w:color w:val="000000"/>
                <w:sz w:val="21"/>
              </w:rPr>
              <w:t>Chapters 7 → 8 → 10 → 11</w:t>
            </w:r>
          </w:p>
        </w:tc>
      </w:tr>
      <w:tr>
        <w:tc>
          <w:tcPr>
            <w:tcW w:type="dxa" w:w="4706"/>
          </w:tcPr>
          <w:p>
            <w:pPr>
              <w:spacing w:after="20" w:line="300" w:lineRule="auto"/>
            </w:pPr>
            <w:r>
              <w:rPr>
                <w:rFonts w:ascii="Avenir Next" w:hAnsi="Avenir Next" w:cs="Avenir Next"/>
                <w:b w:val="0"/>
                <w:i w:val="0"/>
                <w:color w:val="000000"/>
                <w:sz w:val="21"/>
              </w:rPr>
              <w:t>A competition judge</w:t>
            </w:r>
          </w:p>
        </w:tc>
        <w:tc>
          <w:tcPr>
            <w:tcW w:type="dxa" w:w="4706"/>
          </w:tcPr>
          <w:p>
            <w:pPr>
              <w:spacing w:after="20" w:line="300" w:lineRule="auto"/>
            </w:pPr>
            <w:r>
              <w:rPr>
                <w:rFonts w:ascii="Avenir Next" w:hAnsi="Avenir Next" w:cs="Avenir Next"/>
                <w:b w:val="0"/>
                <w:i w:val="0"/>
                <w:color w:val="000000"/>
                <w:sz w:val="21"/>
              </w:rPr>
              <w:t>Chapters 2 → 3 → 4 → 8 → 11 → cover-page of any Rubric PDF</w:t>
            </w:r>
          </w:p>
        </w:tc>
      </w:tr>
      <w:tr>
        <w:tc>
          <w:tcPr>
            <w:tcW w:type="dxa" w:w="4706"/>
          </w:tcPr>
          <w:p>
            <w:pPr>
              <w:spacing w:after="20" w:line="300" w:lineRule="auto"/>
            </w:pPr>
            <w:r>
              <w:rPr>
                <w:rFonts w:ascii="Avenir Next" w:hAnsi="Avenir Next" w:cs="Avenir Next"/>
                <w:b w:val="0"/>
                <w:i w:val="0"/>
                <w:color w:val="000000"/>
                <w:sz w:val="21"/>
              </w:rPr>
              <w:t>An academic reviewer / researcher</w:t>
            </w:r>
          </w:p>
        </w:tc>
        <w:tc>
          <w:tcPr>
            <w:tcW w:type="dxa" w:w="4706"/>
          </w:tcPr>
          <w:p>
            <w:pPr>
              <w:spacing w:after="20" w:line="300" w:lineRule="auto"/>
            </w:pPr>
            <w:r>
              <w:rPr>
                <w:rFonts w:ascii="Avenir Next" w:hAnsi="Avenir Next" w:cs="Avenir Next"/>
                <w:b w:val="0"/>
                <w:i w:val="0"/>
                <w:color w:val="000000"/>
                <w:sz w:val="21"/>
              </w:rPr>
              <w:t>Chapters 3 → 4 → 5 → 8 → 11 → DPIA appendix</w:t>
            </w:r>
          </w:p>
        </w:tc>
      </w:tr>
    </w:tbl>
    <w:p>
      <w:pPr>
        <w:spacing w:before="320" w:after="140"/>
        <w:pBdr>
          <w:bottom w:val="single" w:sz="6" w:space="4" w:color="C9A961"/>
        </w:pBdr>
      </w:pPr>
      <w:r>
        <w:rPr>
          <w:rFonts w:ascii="Baskerville" w:hAnsi="Baskerville" w:cs="Baskerville"/>
          <w:b w:val="0"/>
          <w:i w:val="0"/>
          <w:color w:val="9C6F1C"/>
          <w:sz w:val="33"/>
        </w:rPr>
        <w:t>Conventions</w:t>
      </w:r>
    </w:p>
    <w:p>
      <w:pPr>
        <w:spacing w:after="140" w:line="324" w:lineRule="auto"/>
      </w:pPr>
      <w:r>
        <w:rPr>
          <w:rFonts w:ascii="Avenir Next" w:hAnsi="Avenir Next" w:cs="Avenir Next"/>
          <w:b w:val="0"/>
          <w:i w:val="0"/>
          <w:color w:val="000000"/>
          <w:sz w:val="25"/>
        </w:rPr>
        <w:t>Thai gloss</w:t>
      </w:r>
    </w:p>
    <w:p>
      <w:pPr>
        <w:spacing w:after="140" w:line="324" w:lineRule="auto"/>
      </w:pPr>
      <w:r>
        <w:rPr>
          <w:rFonts w:ascii="Avenir Next" w:hAnsi="Avenir Next" w:cs="Avenir Next"/>
          <w:b w:val="0"/>
          <w:i w:val="0"/>
          <w:color w:val="000000"/>
          <w:sz w:val="25"/>
        </w:rPr>
        <w:t>All chapter and section heads carry an italic Thai parallel. Technical terms (PICRAT, AI-TPACK, CEFR, CTML) are left untranslated by convention — Thai academics use these terms in their original form.</w:t>
      </w:r>
    </w:p>
    <w:p>
      <w:pPr>
        <w:spacing w:after="140" w:line="324" w:lineRule="auto"/>
      </w:pPr>
      <w:r>
        <w:rPr>
          <w:rFonts w:ascii="Avenir Next" w:hAnsi="Avenir Next" w:cs="Avenir Next"/>
          <w:b w:val="0"/>
          <w:i w:val="0"/>
          <w:color w:val="000000"/>
          <w:sz w:val="25"/>
        </w:rPr>
        <w:t>Callouts</w:t>
      </w:r>
    </w:p>
    <w:p>
      <w:pPr>
        <w:spacing w:after="140" w:line="324" w:lineRule="auto"/>
      </w:pPr>
      <w:r>
        <w:rPr>
          <w:rFonts w:ascii="Avenir Next" w:hAnsi="Avenir Next" w:cs="Avenir Next"/>
          <w:b w:val="0"/>
          <w:i w:val="0"/>
          <w:color w:val="000000"/>
          <w:sz w:val="25"/>
        </w:rPr>
        <w:t>Gold callouts surface practical tips. Crimson callouts surface load-bearing rules — break these and you break the pedagogy. Teal callouts speak directly to competition judges.</w:t>
      </w:r>
    </w:p>
    <w:p>
      <w:pPr>
        <w:spacing w:after="140" w:line="324" w:lineRule="auto"/>
      </w:pPr>
      <w:r>
        <w:rPr>
          <w:rFonts w:ascii="Avenir Next" w:hAnsi="Avenir Next" w:cs="Avenir Next"/>
          <w:b w:val="0"/>
          <w:i w:val="0"/>
          <w:color w:val="000000"/>
          <w:sz w:val="25"/>
        </w:rPr>
        <w:t>Screenshot reservations</w:t>
      </w:r>
    </w:p>
    <w:p>
      <w:pPr>
        <w:spacing w:after="140" w:line="324" w:lineRule="auto"/>
      </w:pPr>
      <w:r>
        <w:rPr>
          <w:rFonts w:ascii="Avenir Next" w:hAnsi="Avenir Next" w:cs="Avenir Next"/>
          <w:b w:val="0"/>
          <w:i w:val="0"/>
          <w:color w:val="000000"/>
          <w:sz w:val="25"/>
        </w:rPr>
        <w:t>Dashed gold boxes mark where a screenshot of the live platform will appear in the print edition. The web edition links to a high-resolution version of each.</w:t>
      </w:r>
    </w:p>
    <w:p>
      <w:pPr>
        <w:spacing w:after="140" w:line="324" w:lineRule="auto"/>
      </w:pPr>
      <w:r>
        <w:rPr>
          <w:rFonts w:ascii="Avenir Next" w:hAnsi="Avenir Next" w:cs="Avenir Next"/>
          <w:b w:val="0"/>
          <w:i w:val="0"/>
          <w:color w:val="000000"/>
          <w:sz w:val="25"/>
        </w:rPr>
        <w:t>Cross-references</w:t>
      </w:r>
    </w:p>
    <w:p>
      <w:pPr>
        <w:spacing w:after="140" w:line="324" w:lineRule="auto"/>
      </w:pPr>
      <w:r>
        <w:rPr>
          <w:rFonts w:ascii="Avenir Next" w:hAnsi="Avenir Next" w:cs="Avenir Next"/>
          <w:b w:val="0"/>
          <w:i w:val="0"/>
          <w:color w:val="000000"/>
          <w:sz w:val="25"/>
        </w:rPr>
        <w:t>"See Rubric A §3" refers to chapter, section, or paragraph in another document in the FUTUREPROOF submission package.</w:t>
      </w:r>
    </w:p>
    <w:p>
      <w:pPr>
        <w:spacing w:after="140" w:line="324" w:lineRule="auto"/>
      </w:pPr>
      <w:r>
        <w:rPr>
          <w:rFonts w:ascii="Avenir Next" w:hAnsi="Avenir Next" w:cs="Avenir Next"/>
          <w:b w:val="0"/>
          <w:i w:val="0"/>
          <w:color w:val="000000"/>
          <w:sz w:val="25"/>
        </w:rPr>
        <w:t>A note on language The platform itself operates in English. Thai appears only in navigation labels, consent forms, and accessibility helpers — never in mission content, dossier text, or AI scoring. This is by design (see Chapter 3 §3.4 on Krashen i+1). The Teacher's Manual carries Thai parallel headings because teachers are bilingual professionals, not learners in the sense the platform addresses.</w:t>
      </w:r>
    </w:p>
    <w:p>
      <w:pPr>
        <w:spacing w:before="320" w:after="140"/>
        <w:pBdr>
          <w:bottom w:val="single" w:sz="6" w:space="4" w:color="C9A961"/>
        </w:pBdr>
      </w:pPr>
      <w:r>
        <w:rPr>
          <w:rFonts w:ascii="Baskerville" w:hAnsi="Baskerville" w:cs="Baskerville"/>
          <w:b w:val="0"/>
          <w:i w:val="0"/>
          <w:color w:val="9C6F1C"/>
          <w:sz w:val="33"/>
        </w:rPr>
        <w:t>At a glance</w:t>
      </w:r>
    </w:p>
    <w:p>
      <w:pPr>
        <w:spacing w:after="140" w:line="324" w:lineRule="auto"/>
      </w:pPr>
      <w:r>
        <w:rPr>
          <w:rFonts w:ascii="Avenir Next" w:hAnsi="Avenir Next" w:cs="Avenir Next"/>
          <w:b w:val="0"/>
          <w:i w:val="0"/>
          <w:color w:val="000000"/>
          <w:sz w:val="25"/>
        </w:rPr>
        <w:t>ภาพรวมแบบเร็ว</w:t>
      </w:r>
    </w:p>
    <w:p>
      <w:pPr>
        <w:spacing w:after="140" w:line="324" w:lineRule="auto"/>
      </w:pPr>
      <w:r>
        <w:rPr>
          <w:rFonts w:ascii="Avenir Next" w:hAnsi="Avenir Next" w:cs="Avenir Next"/>
          <w:b w:val="0"/>
          <w:i w:val="0"/>
          <w:color w:val="000000"/>
          <w:sz w:val="25"/>
        </w:rPr>
        <w:t>Two pages. The fastest possible orientation. If you read nothing else, read this.</w:t>
      </w:r>
    </w:p>
    <w:p>
      <w:pPr>
        <w:spacing w:before="320" w:after="140"/>
        <w:pBdr>
          <w:bottom w:val="single" w:sz="6" w:space="4" w:color="C9A961"/>
        </w:pBdr>
      </w:pPr>
      <w:r>
        <w:rPr>
          <w:rFonts w:ascii="Baskerville" w:hAnsi="Baskerville" w:cs="Baskerville"/>
          <w:b w:val="0"/>
          <w:i w:val="0"/>
          <w:color w:val="9C6F1C"/>
          <w:sz w:val="33"/>
        </w:rPr>
        <w:t>One paragraph</w:t>
      </w:r>
    </w:p>
    <w:p>
      <w:pPr>
        <w:spacing w:after="140" w:line="324" w:lineRule="auto"/>
      </w:pPr>
      <w:r>
        <w:rPr>
          <w:rFonts w:ascii="Avenir Next" w:hAnsi="Avenir Next" w:cs="Avenir Next"/>
          <w:b w:val="0"/>
          <w:i w:val="0"/>
          <w:color w:val="000000"/>
          <w:sz w:val="25"/>
        </w:rPr>
        <w:t xml:space="preserve">FUTUREPROOF is a self-contained AI-scaffolded web platform that sends advanced Thai undergraduates on </w:t>
      </w:r>
      <w:r>
        <w:rPr>
          <w:rFonts w:ascii="Avenir Next" w:hAnsi="Avenir Next" w:cs="Avenir Next"/>
          <w:b/>
          <w:i w:val="0"/>
          <w:color w:val="000000"/>
          <w:sz w:val="25"/>
        </w:rPr>
        <w:t>six adaptive missions across Thailand</w:t>
      </w:r>
      <w:r>
        <w:rPr>
          <w:rFonts w:ascii="Avenir Next" w:hAnsi="Avenir Next" w:cs="Avenir Next"/>
          <w:b w:val="0"/>
          <w:i w:val="0"/>
          <w:color w:val="000000"/>
          <w:sz w:val="25"/>
        </w:rPr>
        <w:t xml:space="preserve">, each anchored to a UN Sustainable Development Goal. Every mission runs the same </w:t>
      </w:r>
      <w:r>
        <w:rPr>
          <w:rFonts w:ascii="Avenir Next" w:hAnsi="Avenir Next" w:cs="Avenir Next"/>
          <w:b/>
          <w:i w:val="0"/>
          <w:color w:val="000000"/>
          <w:sz w:val="25"/>
        </w:rPr>
        <w:t>five-stage arc</w:t>
      </w:r>
      <w:r>
        <w:rPr>
          <w:rFonts w:ascii="Avenir Next" w:hAnsi="Avenir Next" w:cs="Avenir Next"/>
          <w:b w:val="0"/>
          <w:i w:val="0"/>
          <w:color w:val="000000"/>
          <w:sz w:val="25"/>
        </w:rPr>
        <w:t xml:space="preserve"> — BRIEF → PROBE → DECIDE → ACT → DEBRIEF — and is scored by an AI Judge against an auditable rubric. Clearing all six awards six SDG Keystones and unlocks </w:t>
      </w:r>
      <w:r>
        <w:rPr>
          <w:rFonts w:ascii="Avenir Next" w:hAnsi="Avenir Next" w:cs="Avenir Next"/>
          <w:b/>
          <w:i w:val="0"/>
          <w:color w:val="000000"/>
          <w:sz w:val="25"/>
        </w:rPr>
        <w:t>Voice for Change</w:t>
      </w:r>
      <w:r>
        <w:rPr>
          <w:rFonts w:ascii="Avenir Next" w:hAnsi="Avenir Next" w:cs="Avenir Next"/>
          <w:b w:val="0"/>
          <w:i w:val="0"/>
          <w:color w:val="000000"/>
          <w:sz w:val="25"/>
        </w:rPr>
        <w:t>, the multimodal capstone proposal addressed to a real Thai audience. Throughout, an in-app Socratic field mentor (Mr Compass) provides language scaffolding within strict guardrails. The teacher remains the summative grader; the AI handles the formative scale.</w:t>
      </w:r>
    </w:p>
    <w:p>
      <w:pPr>
        <w:spacing w:before="320" w:after="140"/>
        <w:pBdr>
          <w:bottom w:val="single" w:sz="6" w:space="4" w:color="C9A961"/>
        </w:pBdr>
      </w:pPr>
      <w:r>
        <w:rPr>
          <w:rFonts w:ascii="Baskerville" w:hAnsi="Baskerville" w:cs="Baskerville"/>
          <w:b w:val="0"/>
          <w:i w:val="0"/>
          <w:color w:val="9C6F1C"/>
          <w:sz w:val="33"/>
        </w:rPr>
        <w:t>Key facts</w:t>
      </w:r>
    </w:p>
    <w:p>
      <w:pPr>
        <w:spacing w:after="140" w:line="324" w:lineRule="auto"/>
      </w:pPr>
      <w:r>
        <w:rPr>
          <w:rFonts w:ascii="Avenir Next" w:hAnsi="Avenir Next" w:cs="Avenir Next"/>
          <w:b w:val="0"/>
          <w:i w:val="0"/>
          <w:color w:val="000000"/>
          <w:sz w:val="25"/>
        </w:rPr>
        <w:t>Course context</w:t>
      </w:r>
    </w:p>
    <w:p>
      <w:pPr>
        <w:spacing w:after="140" w:line="324" w:lineRule="auto"/>
      </w:pPr>
      <w:r>
        <w:rPr>
          <w:rFonts w:ascii="Avenir Next" w:hAnsi="Avenir Next" w:cs="Avenir Next"/>
          <w:b w:val="0"/>
          <w:i w:val="0"/>
          <w:color w:val="000000"/>
          <w:sz w:val="25"/>
        </w:rPr>
        <w:t>LALA109 · English for Digital Communication Skills · Faculty of Liberal Arts, Mahidol University · elective, advanced undergraduate (CEFR B1+ floor).</w:t>
      </w:r>
    </w:p>
    <w:p>
      <w:pPr>
        <w:spacing w:after="140" w:line="324" w:lineRule="auto"/>
      </w:pPr>
      <w:r>
        <w:rPr>
          <w:rFonts w:ascii="Avenir Next" w:hAnsi="Avenir Next" w:cs="Avenir Next"/>
          <w:b w:val="0"/>
          <w:i w:val="0"/>
          <w:color w:val="000000"/>
          <w:sz w:val="25"/>
        </w:rPr>
        <w:t>Cohort size</w:t>
      </w:r>
    </w:p>
    <w:p>
      <w:pPr>
        <w:spacing w:after="140" w:line="324" w:lineRule="auto"/>
      </w:pPr>
      <w:r>
        <w:rPr>
          <w:rFonts w:ascii="Avenir Next" w:hAnsi="Avenir Next" w:cs="Avenir Next"/>
          <w:b w:val="0"/>
          <w:i w:val="0"/>
          <w:color w:val="000000"/>
          <w:sz w:val="25"/>
        </w:rPr>
        <w:t>Up to 50 students per section × 6 sections = 300 max per term.</w:t>
      </w:r>
    </w:p>
    <w:p>
      <w:pPr>
        <w:spacing w:after="140" w:line="324" w:lineRule="auto"/>
      </w:pPr>
      <w:r>
        <w:rPr>
          <w:rFonts w:ascii="Avenir Next" w:hAnsi="Avenir Next" w:cs="Avenir Next"/>
          <w:b w:val="0"/>
          <w:i w:val="0"/>
          <w:color w:val="000000"/>
          <w:sz w:val="25"/>
        </w:rPr>
        <w:t>Term length</w:t>
      </w:r>
    </w:p>
    <w:p>
      <w:pPr>
        <w:spacing w:after="140" w:line="324" w:lineRule="auto"/>
      </w:pPr>
      <w:r>
        <w:rPr>
          <w:rFonts w:ascii="Avenir Next" w:hAnsi="Avenir Next" w:cs="Avenir Next"/>
          <w:b w:val="0"/>
          <w:i w:val="0"/>
          <w:color w:val="000000"/>
          <w:sz w:val="25"/>
        </w:rPr>
        <w:t>15 weeks · 3 in-class hours + 6 async hours per week.</w:t>
      </w:r>
    </w:p>
    <w:p>
      <w:pPr>
        <w:spacing w:after="140" w:line="324" w:lineRule="auto"/>
      </w:pPr>
      <w:r>
        <w:rPr>
          <w:rFonts w:ascii="Avenir Next" w:hAnsi="Avenir Next" w:cs="Avenir Next"/>
          <w:b w:val="0"/>
          <w:i w:val="0"/>
          <w:color w:val="000000"/>
          <w:sz w:val="25"/>
        </w:rPr>
        <w:t>Tech stack</w:t>
      </w:r>
    </w:p>
    <w:p>
      <w:pPr>
        <w:spacing w:after="140" w:line="324" w:lineRule="auto"/>
      </w:pPr>
      <w:r>
        <w:rPr>
          <w:rFonts w:ascii="Avenir Next" w:hAnsi="Avenir Next" w:cs="Avenir Next"/>
          <w:b w:val="0"/>
          <w:i w:val="0"/>
          <w:color w:val="000000"/>
          <w:sz w:val="25"/>
        </w:rPr>
        <w:t>HTML5 + Tailwind CSS + vanilla JS · Firebase (auth, Realtime DB, Storage) · Anthropic Claude API · Stability.ai for avatars · Netlify hosting.</w:t>
      </w:r>
    </w:p>
    <w:p>
      <w:pPr>
        <w:spacing w:after="140" w:line="324" w:lineRule="auto"/>
      </w:pPr>
      <w:r>
        <w:rPr>
          <w:rFonts w:ascii="Avenir Next" w:hAnsi="Avenir Next" w:cs="Avenir Next"/>
          <w:b w:val="0"/>
          <w:i w:val="0"/>
          <w:color w:val="000000"/>
          <w:sz w:val="25"/>
        </w:rPr>
        <w:t>First semester of use</w:t>
      </w:r>
    </w:p>
    <w:p>
      <w:pPr>
        <w:spacing w:after="140" w:line="324" w:lineRule="auto"/>
      </w:pPr>
      <w:r>
        <w:rPr>
          <w:rFonts w:ascii="Avenir Next" w:hAnsi="Avenir Next" w:cs="Avenir Next"/>
          <w:b w:val="0"/>
          <w:i w:val="0"/>
          <w:color w:val="000000"/>
          <w:sz w:val="25"/>
        </w:rPr>
        <w:t>Semester 1, Academic Year 2569 (Aug 2026).</w:t>
      </w:r>
    </w:p>
    <w:p>
      <w:pPr>
        <w:spacing w:before="320" w:after="140"/>
        <w:pBdr>
          <w:bottom w:val="single" w:sz="6" w:space="4" w:color="C9A961"/>
        </w:pBdr>
      </w:pPr>
      <w:r>
        <w:rPr>
          <w:rFonts w:ascii="Baskerville" w:hAnsi="Baskerville" w:cs="Baskerville"/>
          <w:b w:val="0"/>
          <w:i w:val="0"/>
          <w:color w:val="9C6F1C"/>
          <w:sz w:val="33"/>
        </w:rPr>
        <w:t>The pedagogical spine, one sentence each</w:t>
      </w:r>
    </w:p>
    <w:p>
      <w:pPr>
        <w:pStyle w:val="ListBullet"/>
        <w:spacing w:after="60" w:line="312" w:lineRule="auto"/>
      </w:pPr>
      <w:r>
        <w:rPr>
          <w:rFonts w:ascii="Avenir Next" w:hAnsi="Avenir Next" w:cs="Avenir Next"/>
          <w:b w:val="0"/>
          <w:i w:val="0"/>
          <w:color w:val="000000"/>
          <w:sz w:val="25"/>
        </w:rPr>
        <w:t>PICRAT — every mission lives in the Interactive-Amplifies cell or above; the capstone lives in Creative-Transforms.</w:t>
      </w:r>
    </w:p>
    <w:p>
      <w:pPr>
        <w:pStyle w:val="ListBullet"/>
        <w:spacing w:after="60" w:line="312" w:lineRule="auto"/>
      </w:pPr>
      <w:r>
        <w:rPr>
          <w:rFonts w:ascii="Avenir Next" w:hAnsi="Avenir Next" w:cs="Avenir Next"/>
          <w:b w:val="0"/>
          <w:i w:val="0"/>
          <w:color w:val="000000"/>
          <w:sz w:val="25"/>
        </w:rPr>
        <w:t>AI-TPACK — AI handles consistency at scale (formative feedback, dossier tiering, language coaching); the teacher handles authority (summative grade, intervention judgment, cultural authenticity).</w:t>
      </w:r>
    </w:p>
    <w:p>
      <w:pPr>
        <w:pStyle w:val="ListBullet"/>
        <w:spacing w:after="60" w:line="312" w:lineRule="auto"/>
      </w:pPr>
      <w:r>
        <w:rPr>
          <w:rFonts w:ascii="Avenir Next" w:hAnsi="Avenir Next" w:cs="Avenir Next"/>
          <w:b w:val="0"/>
          <w:i w:val="0"/>
          <w:color w:val="000000"/>
          <w:sz w:val="25"/>
        </w:rPr>
        <w:t>Three learning theories — Behaviorism (token economy), Cognitivism (5-stage chunking + CTML capstone), Social Constructivism (3-role asymmetric teams + Hall of Voices).</w:t>
      </w:r>
    </w:p>
    <w:p>
      <w:pPr>
        <w:spacing w:before="320" w:after="140"/>
        <w:pBdr>
          <w:bottom w:val="single" w:sz="6" w:space="4" w:color="C9A961"/>
        </w:pBdr>
      </w:pPr>
      <w:r>
        <w:rPr>
          <w:rFonts w:ascii="Baskerville" w:hAnsi="Baskerville" w:cs="Baskerville"/>
          <w:b w:val="0"/>
          <w:i w:val="0"/>
          <w:color w:val="9C6F1C"/>
          <w:sz w:val="33"/>
        </w:rPr>
        <w:t>What the judge sees at first glance</w:t>
      </w:r>
    </w:p>
    <w:p>
      <w:pPr>
        <w:spacing w:after="140" w:line="324" w:lineRule="auto"/>
      </w:pPr>
      <w:r>
        <w:rPr>
          <w:rFonts w:ascii="Avenir Next" w:hAnsi="Avenir Next" w:cs="Avenir Next"/>
          <w:b w:val="0"/>
          <w:i w:val="0"/>
          <w:color w:val="000000"/>
          <w:sz w:val="25"/>
        </w:rPr>
        <w:t>Home screen · Thailand Journey Hand-illustrated map of Thailand with six numbered mission pins. Top status bar shows the learner's tokens, integrity meter, and current rank.</w:t>
      </w:r>
    </w:p>
    <w:p>
      <w:pPr>
        <w:spacing w:after="140" w:line="324" w:lineRule="auto"/>
      </w:pPr>
      <w:r>
        <w:rPr>
          <w:rFonts w:ascii="Avenir Next" w:hAnsi="Avenir Next" w:cs="Avenir Next"/>
          <w:b w:val="0"/>
          <w:i w:val="0"/>
          <w:color w:val="000000"/>
          <w:sz w:val="25"/>
        </w:rPr>
        <w:t>futureproof-sdgs-lab.netlify.app/journey · 1920×1080 · capture date TBD</w:t>
      </w:r>
    </w:p>
    <w:p>
      <w:pPr>
        <w:spacing w:after="140" w:line="324" w:lineRule="auto"/>
      </w:pPr>
      <w:r>
        <w:rPr>
          <w:rFonts w:ascii="Avenir Next" w:hAnsi="Avenir Next" w:cs="Avenir Next"/>
          <w:b w:val="0"/>
          <w:i w:val="0"/>
          <w:color w:val="000000"/>
          <w:sz w:val="25"/>
        </w:rPr>
        <w:t>For the judge Every claim in this manual is anchored to a feature you can verify in the live platform. Where the manual cites "Mr Compass," you can open Mr Compass. Where it cites "AI Judges," you can read the actual scoring output on the Final Task screen. The platform is the proof of the manual.</w:t>
      </w:r>
    </w:p>
    <w:p>
      <w:pPr>
        <w:spacing w:before="320" w:after="140"/>
        <w:pBdr>
          <w:bottom w:val="single" w:sz="6" w:space="4" w:color="C9A961"/>
        </w:pBdr>
      </w:pPr>
      <w:r>
        <w:rPr>
          <w:rFonts w:ascii="Baskerville" w:hAnsi="Baskerville" w:cs="Baskerville"/>
          <w:b w:val="0"/>
          <w:i w:val="0"/>
          <w:color w:val="9C6F1C"/>
          <w:sz w:val="33"/>
        </w:rPr>
        <w:t>Pedagogical foundations</w:t>
      </w:r>
    </w:p>
    <w:p>
      <w:pPr>
        <w:spacing w:after="140" w:line="324" w:lineRule="auto"/>
      </w:pPr>
      <w:r>
        <w:rPr>
          <w:rFonts w:ascii="Avenir Next" w:hAnsi="Avenir Next" w:cs="Avenir Next"/>
          <w:b w:val="0"/>
          <w:i w:val="0"/>
          <w:color w:val="000000"/>
          <w:sz w:val="25"/>
        </w:rPr>
        <w:t>รากฐานเชิงทฤษฎี</w:t>
      </w:r>
    </w:p>
    <w:p>
      <w:pPr>
        <w:spacing w:after="140" w:line="324" w:lineRule="auto"/>
      </w:pPr>
      <w:r>
        <w:rPr>
          <w:rFonts w:ascii="Avenir Next" w:hAnsi="Avenir Next" w:cs="Avenir Next"/>
          <w:b w:val="0"/>
          <w:i w:val="0"/>
          <w:color w:val="000000"/>
          <w:sz w:val="25"/>
        </w:rPr>
        <w:t>Two frameworks are load-bearing — remove either and the platform collapses. Nine more are supporting frameworks that fill in the specifics.</w:t>
      </w:r>
    </w:p>
    <w:p>
      <w:pPr>
        <w:spacing w:before="320" w:after="140"/>
        <w:pBdr>
          <w:bottom w:val="single" w:sz="6" w:space="4" w:color="C9A961"/>
        </w:pBdr>
      </w:pPr>
      <w:r>
        <w:rPr>
          <w:rFonts w:ascii="Baskerville" w:hAnsi="Baskerville" w:cs="Baskerville"/>
          <w:b w:val="0"/>
          <w:i w:val="0"/>
          <w:color w:val="9C6F1C"/>
          <w:sz w:val="33"/>
        </w:rPr>
        <w:t>The two load-bearing frameworks</w:t>
      </w:r>
    </w:p>
    <w:p>
      <w:pPr>
        <w:spacing w:after="140" w:line="324" w:lineRule="auto"/>
      </w:pPr>
      <w:r>
        <w:rPr>
          <w:rFonts w:ascii="Avenir Next" w:hAnsi="Avenir Next" w:cs="Avenir Next"/>
          <w:b w:val="0"/>
          <w:i w:val="0"/>
          <w:color w:val="000000"/>
          <w:sz w:val="25"/>
        </w:rPr>
        <w:t xml:space="preserve">Most ed-tech platforms cite a long list of frameworks decoratively. FUTUREPROOF declares </w:t>
      </w:r>
      <w:r>
        <w:rPr>
          <w:rFonts w:ascii="Avenir Next" w:hAnsi="Avenir Next" w:cs="Avenir Next"/>
          <w:b/>
          <w:i w:val="0"/>
          <w:color w:val="000000"/>
          <w:sz w:val="25"/>
        </w:rPr>
        <w:t>two as load-bearing</w:t>
      </w:r>
      <w:r>
        <w:rPr>
          <w:rFonts w:ascii="Avenir Next" w:hAnsi="Avenir Next" w:cs="Avenir Next"/>
          <w:b w:val="0"/>
          <w:i w:val="0"/>
          <w:color w:val="000000"/>
          <w:sz w:val="25"/>
        </w:rPr>
        <w:t xml:space="preserve"> — they govern every design decision, and removing either would collapse the pedagogical architecture.</w:t>
      </w:r>
    </w:p>
    <w:p>
      <w:pPr>
        <w:spacing w:before="200" w:after="60"/>
      </w:pPr>
      <w:r>
        <w:rPr>
          <w:rFonts w:ascii="Baskerville" w:hAnsi="Baskerville" w:cs="Baskerville"/>
          <w:b/>
          <w:i w:val="0"/>
          <w:color w:val="000000"/>
          <w:sz w:val="27"/>
        </w:rPr>
        <w:t>PICRAT · the position on the matrix</w:t>
      </w:r>
    </w:p>
    <w:p>
      <w:pPr>
        <w:spacing w:after="140" w:line="324" w:lineRule="auto"/>
      </w:pPr>
      <w:r>
        <w:rPr>
          <w:rFonts w:ascii="Avenir Next" w:hAnsi="Avenir Next" w:cs="Avenir Next"/>
          <w:b w:val="0"/>
          <w:i w:val="0"/>
          <w:color w:val="000000"/>
          <w:sz w:val="25"/>
        </w:rPr>
        <w:t xml:space="preserve">Kimmons, Graham &amp; West (2020) plot any educational technology on a 3 × 3 matrix: the learner's relationship to the technology (Passive · Interactive · Creative) by the technology's relationship to traditional practice (Replaces · Amplifies · Transforms). FUTUREPROOF targets </w:t>
      </w:r>
      <w:r>
        <w:rPr>
          <w:rFonts w:ascii="Avenir Next" w:hAnsi="Avenir Next" w:cs="Avenir Next"/>
          <w:b/>
          <w:i w:val="0"/>
          <w:color w:val="000000"/>
          <w:sz w:val="25"/>
        </w:rPr>
        <w:t>Interactive-Amplifies as the floor</w:t>
      </w:r>
      <w:r>
        <w:rPr>
          <w:rFonts w:ascii="Avenir Next" w:hAnsi="Avenir Next" w:cs="Avenir Next"/>
          <w:b w:val="0"/>
          <w:i w:val="0"/>
          <w:color w:val="000000"/>
          <w:sz w:val="25"/>
        </w:rPr>
        <w:t xml:space="preserve"> for every regional mission, and </w:t>
      </w:r>
      <w:r>
        <w:rPr>
          <w:rFonts w:ascii="Avenir Next" w:hAnsi="Avenir Next" w:cs="Avenir Next"/>
          <w:b/>
          <w:i w:val="0"/>
          <w:color w:val="000000"/>
          <w:sz w:val="25"/>
        </w:rPr>
        <w:t>Creative-Transforms</w:t>
      </w:r>
      <w:r>
        <w:rPr>
          <w:rFonts w:ascii="Avenir Next" w:hAnsi="Avenir Next" w:cs="Avenir Next"/>
          <w:b w:val="0"/>
          <w:i w:val="0"/>
          <w:color w:val="000000"/>
          <w:sz w:val="25"/>
        </w:rPr>
        <w:t xml:space="preserve"> for the Voice for Change capstone.</w:t>
      </w:r>
    </w:p>
    <w:p>
      <w:pPr>
        <w:spacing w:after="140" w:line="324" w:lineRule="auto"/>
      </w:pPr>
      <w:r>
        <w:rPr>
          <w:rFonts w:ascii="Avenir Next" w:hAnsi="Avenir Next" w:cs="Avenir Next"/>
          <w:b w:val="0"/>
          <w:i w:val="0"/>
          <w:color w:val="000000"/>
          <w:sz w:val="25"/>
        </w:rPr>
        <w:t>Practically: a mission that could be replaced by reading a textbook + answering a quiz lives in Passive-Replaces and is rejected at design review. A mission where the learner generates a defensible decision under a real trade-off lives at Interactive-Amplifies. A capstone where the learner creates a multimodal artifact addressed to a real audience lives at Creative-Transforms.</w:t>
      </w:r>
    </w:p>
    <w:p>
      <w:pPr>
        <w:spacing w:after="140" w:line="324" w:lineRule="auto"/>
      </w:pPr>
      <w:r>
        <w:rPr>
          <w:rFonts w:ascii="Avenir Next" w:hAnsi="Avenir Next" w:cs="Avenir Next"/>
          <w:b w:val="0"/>
          <w:i w:val="0"/>
          <w:color w:val="000000"/>
          <w:sz w:val="25"/>
        </w:rPr>
        <w:t>Load-bearing rule No feature ships if it sits in Passive-Replaces. This is the auditable test, and it has cut features from the design twice during development. See Reconstruction Master §2 for the rejected-features list.</w:t>
      </w:r>
    </w:p>
    <w:p>
      <w:pPr>
        <w:spacing w:before="200" w:after="60"/>
      </w:pPr>
      <w:r>
        <w:rPr>
          <w:rFonts w:ascii="Baskerville" w:hAnsi="Baskerville" w:cs="Baskerville"/>
          <w:b/>
          <w:i w:val="0"/>
          <w:color w:val="000000"/>
          <w:sz w:val="27"/>
        </w:rPr>
        <w:t>AI-TPACK · the boundary</w:t>
      </w:r>
    </w:p>
    <w:p>
      <w:pPr>
        <w:spacing w:after="140" w:line="324" w:lineRule="auto"/>
      </w:pPr>
      <w:r>
        <w:rPr>
          <w:rFonts w:ascii="Avenir Next" w:hAnsi="Avenir Next" w:cs="Avenir Next"/>
          <w:b w:val="0"/>
          <w:i w:val="0"/>
          <w:color w:val="000000"/>
          <w:sz w:val="25"/>
        </w:rPr>
        <w:t xml:space="preserve">Mishra and Koehler's original TPACK framework asked which knowledge a teacher needs to teach with technology. The AI-extended version asks something sharper: </w:t>
      </w:r>
      <w:r>
        <w:rPr>
          <w:rFonts w:ascii="Avenir Next" w:hAnsi="Avenir Next" w:cs="Avenir Next"/>
          <w:b/>
          <w:i w:val="0"/>
          <w:color w:val="000000"/>
          <w:sz w:val="25"/>
        </w:rPr>
        <w:t>what does the AI handle and what does the human handle</w:t>
      </w:r>
      <w:r>
        <w:rPr>
          <w:rFonts w:ascii="Avenir Next" w:hAnsi="Avenir Next" w:cs="Avenir Next"/>
          <w:b w:val="0"/>
          <w:i w:val="0"/>
          <w:color w:val="000000"/>
          <w:sz w:val="25"/>
        </w:rPr>
        <w:t>, and why is that boundary the right one?</w:t>
      </w:r>
    </w:p>
    <w:tbl>
      <w:tblPr>
        <w:tblW w:type="auto" w:w="0"/>
        <w:jc w:val="left"/>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4706"/>
        <w:gridCol w:w="4706"/>
      </w:tblGrid>
      <w:tr>
        <w:tc>
          <w:tcPr>
            <w:tcW w:type="dxa" w:w="4706"/>
            <w:shd w:val="clear" w:color="auto" w:fill="F4F1EA"/>
          </w:tcPr>
          <w:p>
            <w:pPr>
              <w:spacing w:after="20"/>
            </w:pPr>
            <w:r>
              <w:rPr>
                <w:rFonts w:ascii="Menlo" w:hAnsi="Menlo" w:cs="Menlo"/>
                <w:b/>
                <w:i w:val="0"/>
                <w:color w:val="9C6F1C"/>
                <w:sz w:val="16"/>
                <w:spacing w:val="16"/>
              </w:rPr>
              <w:t>WHAT AI HANDLES</w:t>
            </w:r>
          </w:p>
        </w:tc>
        <w:tc>
          <w:tcPr>
            <w:tcW w:type="dxa" w:w="4706"/>
            <w:shd w:val="clear" w:color="auto" w:fill="F4F1EA"/>
          </w:tcPr>
          <w:p>
            <w:pPr>
              <w:spacing w:after="20"/>
            </w:pPr>
            <w:r>
              <w:rPr>
                <w:rFonts w:ascii="Menlo" w:hAnsi="Menlo" w:cs="Menlo"/>
                <w:b/>
                <w:i w:val="0"/>
                <w:color w:val="9C6F1C"/>
                <w:sz w:val="16"/>
                <w:spacing w:val="16"/>
              </w:rPr>
              <w:t>WHAT THE HUMAN (TEACHER / LEARNER) HANDLES</w:t>
            </w:r>
          </w:p>
        </w:tc>
      </w:tr>
      <w:tr>
        <w:tc>
          <w:tcPr>
            <w:tcW w:type="dxa" w:w="4706"/>
          </w:tcPr>
          <w:p>
            <w:pPr>
              <w:spacing w:after="20" w:line="300" w:lineRule="auto"/>
            </w:pPr>
            <w:r>
              <w:rPr>
                <w:rFonts w:ascii="Avenir Next" w:hAnsi="Avenir Next" w:cs="Avenir Next"/>
                <w:b w:val="0"/>
                <w:i w:val="0"/>
                <w:color w:val="000000"/>
                <w:sz w:val="21"/>
              </w:rPr>
              <w:t>Formative scoring at scale (Rubric B)</w:t>
            </w:r>
          </w:p>
        </w:tc>
        <w:tc>
          <w:tcPr>
            <w:tcW w:type="dxa" w:w="4706"/>
          </w:tcPr>
          <w:p>
            <w:pPr>
              <w:spacing w:after="20" w:line="300" w:lineRule="auto"/>
            </w:pPr>
            <w:r>
              <w:rPr>
                <w:rFonts w:ascii="Avenir Next" w:hAnsi="Avenir Next" w:cs="Avenir Next"/>
                <w:b w:val="0"/>
                <w:i w:val="0"/>
                <w:color w:val="000000"/>
                <w:sz w:val="21"/>
              </w:rPr>
              <w:t>Summative grading (Rubric A)</w:t>
            </w:r>
          </w:p>
        </w:tc>
      </w:tr>
      <w:tr>
        <w:tc>
          <w:tcPr>
            <w:tcW w:type="dxa" w:w="4706"/>
          </w:tcPr>
          <w:p>
            <w:pPr>
              <w:spacing w:after="20" w:line="300" w:lineRule="auto"/>
            </w:pPr>
            <w:r>
              <w:rPr>
                <w:rFonts w:ascii="Avenir Next" w:hAnsi="Avenir Next" w:cs="Avenir Next"/>
                <w:b w:val="0"/>
                <w:i w:val="0"/>
                <w:color w:val="000000"/>
                <w:sz w:val="21"/>
              </w:rPr>
              <w:t>Dossier reading at three CEFR tiers</w:t>
            </w:r>
          </w:p>
        </w:tc>
        <w:tc>
          <w:tcPr>
            <w:tcW w:type="dxa" w:w="4706"/>
          </w:tcPr>
          <w:p>
            <w:pPr>
              <w:spacing w:after="20" w:line="300" w:lineRule="auto"/>
            </w:pPr>
            <w:r>
              <w:rPr>
                <w:rFonts w:ascii="Avenir Next" w:hAnsi="Avenir Next" w:cs="Avenir Next"/>
                <w:b w:val="0"/>
                <w:i w:val="0"/>
                <w:color w:val="000000"/>
                <w:sz w:val="21"/>
              </w:rPr>
              <w:t>Cultural authenticity vetting of dossier facts</w:t>
            </w:r>
          </w:p>
        </w:tc>
      </w:tr>
      <w:tr>
        <w:tc>
          <w:tcPr>
            <w:tcW w:type="dxa" w:w="4706"/>
          </w:tcPr>
          <w:p>
            <w:pPr>
              <w:spacing w:after="20" w:line="300" w:lineRule="auto"/>
            </w:pPr>
            <w:r>
              <w:rPr>
                <w:rFonts w:ascii="Avenir Next" w:hAnsi="Avenir Next" w:cs="Avenir Next"/>
                <w:b w:val="0"/>
                <w:i w:val="0"/>
                <w:color w:val="000000"/>
                <w:sz w:val="21"/>
              </w:rPr>
              <w:t>Real-time language coaching (Mr Compass)</w:t>
            </w:r>
          </w:p>
        </w:tc>
        <w:tc>
          <w:tcPr>
            <w:tcW w:type="dxa" w:w="4706"/>
          </w:tcPr>
          <w:p>
            <w:pPr>
              <w:spacing w:after="20" w:line="300" w:lineRule="auto"/>
            </w:pPr>
            <w:r>
              <w:rPr>
                <w:rFonts w:ascii="Avenir Next" w:hAnsi="Avenir Next" w:cs="Avenir Next"/>
                <w:b w:val="0"/>
                <w:i w:val="0"/>
                <w:color w:val="000000"/>
                <w:sz w:val="21"/>
              </w:rPr>
              <w:t>Intervention judgment when a team is stuck</w:t>
            </w:r>
          </w:p>
        </w:tc>
      </w:tr>
      <w:tr>
        <w:tc>
          <w:tcPr>
            <w:tcW w:type="dxa" w:w="4706"/>
          </w:tcPr>
          <w:p>
            <w:pPr>
              <w:spacing w:after="20" w:line="300" w:lineRule="auto"/>
            </w:pPr>
            <w:r>
              <w:rPr>
                <w:rFonts w:ascii="Avenir Next" w:hAnsi="Avenir Next" w:cs="Avenir Next"/>
                <w:b w:val="0"/>
                <w:i w:val="0"/>
                <w:color w:val="000000"/>
                <w:sz w:val="21"/>
              </w:rPr>
              <w:t>Consistency across 300 learners</w:t>
            </w:r>
          </w:p>
        </w:tc>
        <w:tc>
          <w:tcPr>
            <w:tcW w:type="dxa" w:w="4706"/>
          </w:tcPr>
          <w:p>
            <w:pPr>
              <w:spacing w:after="20" w:line="300" w:lineRule="auto"/>
            </w:pPr>
            <w:r>
              <w:rPr>
                <w:rFonts w:ascii="Avenir Next" w:hAnsi="Avenir Next" w:cs="Avenir Next"/>
                <w:b w:val="0"/>
                <w:i w:val="0"/>
                <w:color w:val="000000"/>
                <w:sz w:val="21"/>
              </w:rPr>
              <w:t>The voice of the learner in the capstone</w:t>
            </w:r>
          </w:p>
        </w:tc>
      </w:tr>
      <w:tr>
        <w:tc>
          <w:tcPr>
            <w:tcW w:type="dxa" w:w="4706"/>
          </w:tcPr>
          <w:p>
            <w:pPr>
              <w:spacing w:after="20" w:line="300" w:lineRule="auto"/>
            </w:pPr>
            <w:r>
              <w:rPr>
                <w:rFonts w:ascii="Avenir Next" w:hAnsi="Avenir Next" w:cs="Avenir Next"/>
                <w:b w:val="0"/>
                <w:i w:val="0"/>
                <w:color w:val="000000"/>
                <w:sz w:val="21"/>
              </w:rPr>
              <w:t>Counter-position generation (DECIDE stage)</w:t>
            </w:r>
          </w:p>
        </w:tc>
        <w:tc>
          <w:tcPr>
            <w:tcW w:type="dxa" w:w="4706"/>
          </w:tcPr>
          <w:p>
            <w:pPr>
              <w:spacing w:after="20" w:line="300" w:lineRule="auto"/>
            </w:pPr>
            <w:r>
              <w:rPr>
                <w:rFonts w:ascii="Avenir Next" w:hAnsi="Avenir Next" w:cs="Avenir Next"/>
                <w:b w:val="0"/>
                <w:i w:val="0"/>
                <w:color w:val="000000"/>
                <w:sz w:val="21"/>
              </w:rPr>
              <w:t>Ethical arbitration of the trade-off itself</w:t>
            </w:r>
          </w:p>
        </w:tc>
      </w:tr>
    </w:tbl>
    <w:p>
      <w:pPr>
        <w:spacing w:after="140" w:line="324" w:lineRule="auto"/>
      </w:pPr>
      <w:r>
        <w:rPr>
          <w:rFonts w:ascii="Avenir Next" w:hAnsi="Avenir Next" w:cs="Avenir Next"/>
          <w:b w:val="0"/>
          <w:i w:val="0"/>
          <w:color w:val="000000"/>
          <w:sz w:val="25"/>
        </w:rPr>
        <w:t>Load-bearing rule AI never gives content answers about the SDG topic. AI never overturns the teacher's summative grade. The capstone (Voice for Change) is graded human-only. Mr Compass redirects content questions back to the team. These are not aspirations — they are enforced in the system prompts and the platform UX.</w:t>
      </w:r>
    </w:p>
    <w:p>
      <w:pPr>
        <w:spacing w:before="320" w:after="140"/>
        <w:pBdr>
          <w:bottom w:val="single" w:sz="6" w:space="4" w:color="C9A961"/>
        </w:pBdr>
      </w:pPr>
      <w:r>
        <w:rPr>
          <w:rFonts w:ascii="Baskerville" w:hAnsi="Baskerville" w:cs="Baskerville"/>
          <w:b w:val="0"/>
          <w:i w:val="0"/>
          <w:color w:val="9C6F1C"/>
          <w:sz w:val="33"/>
        </w:rPr>
        <w:t>The supporting frameworks (nine of them)</w:t>
      </w:r>
    </w:p>
    <w:p>
      <w:pPr>
        <w:spacing w:after="140" w:line="324" w:lineRule="auto"/>
      </w:pPr>
      <w:r>
        <w:rPr>
          <w:rFonts w:ascii="Avenir Next" w:hAnsi="Avenir Next" w:cs="Avenir Next"/>
          <w:b w:val="0"/>
          <w:i w:val="0"/>
          <w:color w:val="000000"/>
          <w:sz w:val="25"/>
        </w:rPr>
        <w:t>Bloom's Revised Taxonomy CAST UDL 3.0 Krashen i+1 Vygotsky ZPD Wood-Bruner-Ross Scaffolding Lave &amp; Wenger Situated Cognition Hattie Visible Learning Mayer CTML UNESCO ESD</w:t>
      </w:r>
    </w:p>
    <w:p>
      <w:pPr>
        <w:spacing w:after="140" w:line="324" w:lineRule="auto"/>
      </w:pPr>
      <w:r>
        <w:rPr>
          <w:rFonts w:ascii="Avenir Next" w:hAnsi="Avenir Next" w:cs="Avenir Next"/>
          <w:b w:val="0"/>
          <w:i w:val="0"/>
          <w:color w:val="000000"/>
          <w:sz w:val="25"/>
        </w:rPr>
        <w:t>Each of these fills in specifics that PICRAT and AI-TPACK demand. Bloom maps the cognitive level of each stage. CAST UDL governs the three submission lanes for Voice for Change. Krashen i+1 sets the reading-tier algorithm. Vygotsky ZPD justifies the deliberate confidence trap at DECIDE. Lave &amp; Wenger frames Hall of Voices as a Community of Practice. Hattie justifies the formative-feedback contract. Mayer CTML drives the multimodal capstone studio. UNESCO ESD provides the SDG content backbone.</w:t>
      </w:r>
    </w:p>
    <w:p>
      <w:pPr>
        <w:spacing w:before="320" w:after="140"/>
        <w:pBdr>
          <w:bottom w:val="single" w:sz="6" w:space="4" w:color="C9A961"/>
        </w:pBdr>
      </w:pPr>
      <w:r>
        <w:rPr>
          <w:rFonts w:ascii="Baskerville" w:hAnsi="Baskerville" w:cs="Baskerville"/>
          <w:b w:val="0"/>
          <w:i w:val="0"/>
          <w:color w:val="9C6F1C"/>
          <w:sz w:val="33"/>
        </w:rPr>
        <w:t>The auditable test</w:t>
      </w:r>
    </w:p>
    <w:p>
      <w:pPr>
        <w:spacing w:after="140" w:line="324" w:lineRule="auto"/>
      </w:pPr>
      <w:r>
        <w:rPr>
          <w:rFonts w:ascii="Avenir Next" w:hAnsi="Avenir Next" w:cs="Avenir Next"/>
          <w:b w:val="0"/>
          <w:i w:val="0"/>
          <w:color w:val="000000"/>
          <w:sz w:val="25"/>
        </w:rPr>
        <w:t>For any new feature, three questions are asked in order. If a feature fails any one, it is redesigned or rejected.</w:t>
      </w:r>
    </w:p>
    <w:p>
      <w:pPr>
        <w:pStyle w:val="ListBullet"/>
        <w:spacing w:after="60" w:line="312" w:lineRule="auto"/>
      </w:pPr>
      <w:r>
        <w:rPr>
          <w:rFonts w:ascii="Avenir Next" w:hAnsi="Avenir Next" w:cs="Avenir Next"/>
          <w:b w:val="0"/>
          <w:i w:val="0"/>
          <w:color w:val="000000"/>
          <w:sz w:val="25"/>
        </w:rPr>
        <w:t>PICRAT cell. Where does it sit? If Passive-Replaces, redesign.</w:t>
      </w:r>
    </w:p>
    <w:p>
      <w:pPr>
        <w:pStyle w:val="ListBullet"/>
        <w:spacing w:after="60" w:line="312" w:lineRule="auto"/>
      </w:pPr>
      <w:r>
        <w:rPr>
          <w:rFonts w:ascii="Avenir Next" w:hAnsi="Avenir Next" w:cs="Avenir Next"/>
          <w:b w:val="0"/>
          <w:i w:val="0"/>
          <w:color w:val="000000"/>
          <w:sz w:val="25"/>
        </w:rPr>
        <w:t>AI-TPACK boundary. Is the AI/human split defensible? If AI replaces judgment that should stay human, redesign.</w:t>
      </w:r>
    </w:p>
    <w:p>
      <w:pPr>
        <w:pStyle w:val="ListBullet"/>
        <w:spacing w:after="60" w:line="312" w:lineRule="auto"/>
      </w:pPr>
      <w:r>
        <w:rPr>
          <w:rFonts w:ascii="Avenir Next" w:hAnsi="Avenir Next" w:cs="Avenir Next"/>
          <w:b w:val="0"/>
          <w:i w:val="0"/>
          <w:color w:val="000000"/>
          <w:sz w:val="25"/>
        </w:rPr>
        <w:t>Supporting framework. Which of the nine justifies the specifics? If none, the feature is decoration — cut it.</w:t>
      </w:r>
    </w:p>
    <w:p>
      <w:pPr>
        <w:spacing w:after="140" w:line="324" w:lineRule="auto"/>
      </w:pPr>
      <w:r>
        <w:rPr>
          <w:rFonts w:ascii="Avenir Next" w:hAnsi="Avenir Next" w:cs="Avenir Next"/>
          <w:b w:val="0"/>
          <w:i w:val="0"/>
          <w:color w:val="000000"/>
          <w:sz w:val="25"/>
        </w:rPr>
        <w:t xml:space="preserve"> </w:t>
      </w:r>
      <w:r>
        <w:rPr>
          <w:rFonts w:ascii="Avenir Next" w:hAnsi="Avenir Next" w:cs="Avenir Next"/>
          <w:b w:val="0"/>
          <w:i w:val="0"/>
          <w:color w:val="000000"/>
          <w:sz w:val="25"/>
        </w:rPr>
        <w:t xml:space="preserve"> </w:t>
      </w:r>
      <w:r>
        <w:rPr>
          <w:rFonts w:ascii="Avenir Next" w:hAnsi="Avenir Next" w:cs="Avenir Next"/>
          <w:b w:val="0"/>
          <w:i w:val="0"/>
          <w:color w:val="000000"/>
          <w:sz w:val="25"/>
        </w:rPr>
        <w:t xml:space="preserve"> For the judge Ask any FUTUREPROOF feature this trio of questions. The platform's designers have answered them in writing for every shipped feature. If you spot one that fails the test, that is a fair finding and we want to know.</w:t>
      </w:r>
    </w:p>
    <w:p>
      <w:pPr>
        <w:spacing w:before="320" w:after="140"/>
        <w:pBdr>
          <w:bottom w:val="single" w:sz="6" w:space="4" w:color="C9A961"/>
        </w:pBdr>
      </w:pPr>
      <w:r>
        <w:rPr>
          <w:rFonts w:ascii="Baskerville" w:hAnsi="Baskerville" w:cs="Baskerville"/>
          <w:b w:val="0"/>
          <w:i w:val="0"/>
          <w:color w:val="9C6F1C"/>
          <w:sz w:val="33"/>
        </w:rPr>
        <w:t>Three learning theories, made operational</w:t>
      </w:r>
    </w:p>
    <w:p>
      <w:pPr>
        <w:spacing w:after="140" w:line="324" w:lineRule="auto"/>
      </w:pPr>
      <w:r>
        <w:rPr>
          <w:rFonts w:ascii="Avenir Next" w:hAnsi="Avenir Next" w:cs="Avenir Next"/>
          <w:b w:val="0"/>
          <w:i w:val="0"/>
          <w:color w:val="000000"/>
          <w:sz w:val="25"/>
        </w:rPr>
        <w:t>ทฤษฎีการเรียนรู้สามสำนักที่ปฏิบัติได้จริง</w:t>
      </w:r>
    </w:p>
    <w:p>
      <w:pPr>
        <w:spacing w:after="140" w:line="324" w:lineRule="auto"/>
      </w:pPr>
      <w:r>
        <w:rPr>
          <w:rFonts w:ascii="Avenir Next" w:hAnsi="Avenir Next" w:cs="Avenir Next"/>
          <w:b w:val="0"/>
          <w:i w:val="0"/>
          <w:color w:val="000000"/>
          <w:sz w:val="25"/>
        </w:rPr>
        <w:t>Behaviorism, Cognitivism, and Social Constructivism are the three classical schools every education faculty teaches. FUTUREPROOF doesn't just cite them — it maps each to specific platform features you can audit.</w:t>
      </w:r>
    </w:p>
    <w:p>
      <w:pPr>
        <w:spacing w:before="320" w:after="140"/>
        <w:pBdr>
          <w:bottom w:val="single" w:sz="6" w:space="4" w:color="C9A961"/>
        </w:pBdr>
      </w:pPr>
      <w:r>
        <w:rPr>
          <w:rFonts w:ascii="Baskerville" w:hAnsi="Baskerville" w:cs="Baskerville"/>
          <w:b w:val="0"/>
          <w:i w:val="0"/>
          <w:color w:val="9C6F1C"/>
          <w:sz w:val="33"/>
        </w:rPr>
        <w:t>Why this chapter exists</w:t>
      </w:r>
    </w:p>
    <w:p>
      <w:pPr>
        <w:spacing w:after="140" w:line="324" w:lineRule="auto"/>
      </w:pPr>
      <w:r>
        <w:rPr>
          <w:rFonts w:ascii="Avenir Next" w:hAnsi="Avenir Next" w:cs="Avenir Next"/>
          <w:b w:val="0"/>
          <w:i w:val="0"/>
          <w:color w:val="000000"/>
          <w:sz w:val="25"/>
        </w:rPr>
        <w:t xml:space="preserve">Most ed-tech submissions cite Vygotsky once and move on. The premise of FUTUREPROOF is that the three classical schools of learning theory — </w:t>
      </w:r>
      <w:r>
        <w:rPr>
          <w:rFonts w:ascii="Avenir Next" w:hAnsi="Avenir Next" w:cs="Avenir Next"/>
          <w:b/>
          <w:i w:val="0"/>
          <w:color w:val="000000"/>
          <w:sz w:val="25"/>
        </w:rPr>
        <w:t>Behaviorism, Cognitivism, Social Constructivism</w:t>
      </w:r>
      <w:r>
        <w:rPr>
          <w:rFonts w:ascii="Avenir Next" w:hAnsi="Avenir Next" w:cs="Avenir Next"/>
          <w:b w:val="0"/>
          <w:i w:val="0"/>
          <w:color w:val="000000"/>
          <w:sz w:val="25"/>
        </w:rPr>
        <w:t xml:space="preserve"> — are not in competition. They each model a different layer of how learners change. A well-designed platform operates all three simultaneously. This chapter shows which platform features execute each theory, so a judge or researcher can verify the claim feature by feature.</w:t>
      </w:r>
    </w:p>
    <w:p>
      <w:pPr>
        <w:spacing w:before="200" w:after="60"/>
      </w:pPr>
      <w:r>
        <w:rPr>
          <w:rFonts w:ascii="Baskerville" w:hAnsi="Baskerville" w:cs="Baskerville"/>
          <w:b/>
          <w:i w:val="0"/>
          <w:color w:val="000000"/>
          <w:sz w:val="27"/>
        </w:rPr>
        <w:t>Behaviorism · Skinner · Pavlov · Watson</w:t>
      </w:r>
    </w:p>
    <w:p>
      <w:pPr>
        <w:spacing w:after="140" w:line="324" w:lineRule="auto"/>
      </w:pPr>
      <w:r>
        <w:rPr>
          <w:rFonts w:ascii="Avenir Next" w:hAnsi="Avenir Next" w:cs="Avenir Next"/>
          <w:b w:val="0"/>
          <w:i w:val="0"/>
          <w:color w:val="000000"/>
          <w:sz w:val="25"/>
        </w:rPr>
        <w:t>พฤติกรรมนิยม</w:t>
      </w:r>
    </w:p>
    <w:p>
      <w:pPr>
        <w:pStyle w:val="ListBullet"/>
        <w:spacing w:after="60" w:line="312" w:lineRule="auto"/>
      </w:pPr>
      <w:r>
        <w:rPr>
          <w:rFonts w:ascii="Avenir Next" w:hAnsi="Avenir Next" w:cs="Avenir Next"/>
          <w:b w:val="0"/>
          <w:i w:val="0"/>
          <w:color w:val="000000"/>
          <w:sz w:val="25"/>
        </w:rPr>
        <w:t>Insight Token Economy — operant conditioning. Positive reinforcement +5…+25 for quality work; negative −5…−10 for weak reasoning.</w:t>
      </w:r>
    </w:p>
    <w:p>
      <w:pPr>
        <w:pStyle w:val="ListBullet"/>
        <w:spacing w:after="60" w:line="312" w:lineRule="auto"/>
      </w:pPr>
      <w:r>
        <w:rPr>
          <w:rFonts w:ascii="Avenir Next" w:hAnsi="Avenir Next" w:cs="Avenir Next"/>
          <w:b w:val="0"/>
          <w:i w:val="0"/>
          <w:color w:val="000000"/>
          <w:sz w:val="25"/>
        </w:rPr>
        <w:t>AI Judges (3 evaluators) — immediate formative feedback within seconds, completing the stimulus-response loop.</w:t>
      </w:r>
    </w:p>
    <w:p>
      <w:pPr>
        <w:pStyle w:val="ListBullet"/>
        <w:spacing w:after="60" w:line="312" w:lineRule="auto"/>
      </w:pPr>
      <w:r>
        <w:rPr>
          <w:rFonts w:ascii="Avenir Next" w:hAnsi="Avenir Next" w:cs="Avenir Next"/>
          <w:b w:val="0"/>
          <w:i w:val="0"/>
          <w:color w:val="000000"/>
          <w:sz w:val="25"/>
        </w:rPr>
        <w:t>Keystone Collection (6 dots) — variable-interval reinforcement schedule that sustains persistence across the term.</w:t>
      </w:r>
    </w:p>
    <w:p>
      <w:pPr>
        <w:pStyle w:val="ListBullet"/>
        <w:spacing w:after="60" w:line="312" w:lineRule="auto"/>
      </w:pPr>
      <w:r>
        <w:rPr>
          <w:rFonts w:ascii="Avenir Next" w:hAnsi="Avenir Next" w:cs="Avenir Next"/>
          <w:b w:val="0"/>
          <w:i w:val="0"/>
          <w:color w:val="000000"/>
          <w:sz w:val="25"/>
        </w:rPr>
        <w:t>Adaptive Reading Tiers — successive-approximation shaping (Tier 1 → 3) so the learner is always inside their response range.</w:t>
      </w:r>
    </w:p>
    <w:p>
      <w:pPr>
        <w:pStyle w:val="ListBullet"/>
        <w:spacing w:after="60" w:line="312" w:lineRule="auto"/>
      </w:pPr>
      <w:r>
        <w:rPr>
          <w:rFonts w:ascii="Avenir Next" w:hAnsi="Avenir Next" w:cs="Avenir Next"/>
          <w:b w:val="0"/>
          <w:i w:val="0"/>
          <w:color w:val="000000"/>
          <w:sz w:val="25"/>
        </w:rPr>
        <w:t>Verified Credentials — terminal reinforcer at capstone completion.</w:t>
      </w:r>
    </w:p>
    <w:p>
      <w:pPr>
        <w:spacing w:after="140" w:line="324" w:lineRule="auto"/>
      </w:pPr>
      <w:r>
        <w:rPr>
          <w:rFonts w:ascii="Avenir Next" w:hAnsi="Avenir Next" w:cs="Avenir Next"/>
          <w:b w:val="0"/>
          <w:i w:val="0"/>
          <w:color w:val="000000"/>
          <w:sz w:val="25"/>
        </w:rPr>
        <w:t xml:space="preserve"> </w:t>
      </w:r>
      <w:r>
        <w:rPr>
          <w:rFonts w:ascii="Avenir Next" w:hAnsi="Avenir Next" w:cs="Avenir Next"/>
          <w:b w:val="0"/>
          <w:i w:val="0"/>
          <w:color w:val="000000"/>
          <w:sz w:val="25"/>
        </w:rPr>
        <w:t xml:space="preserve"> </w:t>
      </w:r>
      <w:r>
        <w:rPr>
          <w:rFonts w:ascii="Avenir Next" w:hAnsi="Avenir Next" w:cs="Avenir Next"/>
          <w:b w:val="0"/>
          <w:i w:val="0"/>
          <w:color w:val="000000"/>
          <w:sz w:val="25"/>
        </w:rPr>
        <w:t xml:space="preserve"> </w:t>
      </w:r>
      <w:r>
        <w:rPr>
          <w:rFonts w:ascii="Avenir Next" w:hAnsi="Avenir Next" w:cs="Avenir Next"/>
          <w:b w:val="0"/>
          <w:i w:val="0"/>
          <w:color w:val="000000"/>
          <w:sz w:val="25"/>
        </w:rPr>
        <w:t xml:space="preserve"> </w:t>
      </w:r>
    </w:p>
    <w:p>
      <w:pPr>
        <w:spacing w:before="200" w:after="60"/>
      </w:pPr>
      <w:r>
        <w:rPr>
          <w:rFonts w:ascii="Baskerville" w:hAnsi="Baskerville" w:cs="Baskerville"/>
          <w:b/>
          <w:i w:val="0"/>
          <w:color w:val="000000"/>
          <w:sz w:val="27"/>
        </w:rPr>
        <w:t>Cognitivism · Bruner · Ausubel · Sweller · Mayer</w:t>
      </w:r>
    </w:p>
    <w:p>
      <w:pPr>
        <w:spacing w:after="140" w:line="324" w:lineRule="auto"/>
      </w:pPr>
      <w:r>
        <w:rPr>
          <w:rFonts w:ascii="Avenir Next" w:hAnsi="Avenir Next" w:cs="Avenir Next"/>
          <w:b w:val="0"/>
          <w:i w:val="0"/>
          <w:color w:val="000000"/>
          <w:sz w:val="25"/>
        </w:rPr>
        <w:t>ปัญญานิยม</w:t>
      </w:r>
    </w:p>
    <w:p>
      <w:pPr>
        <w:pStyle w:val="ListBullet"/>
        <w:spacing w:after="60" w:line="312" w:lineRule="auto"/>
      </w:pPr>
      <w:r>
        <w:rPr>
          <w:rFonts w:ascii="Avenir Next" w:hAnsi="Avenir Next" w:cs="Avenir Next"/>
          <w:b w:val="0"/>
          <w:i w:val="0"/>
          <w:color w:val="000000"/>
          <w:sz w:val="25"/>
        </w:rPr>
        <w:t>5-Stage Mission Arc — chunking for cognitive load (Sweller). Each stage exposes only what working memory needs now.</w:t>
      </w:r>
    </w:p>
    <w:p>
      <w:pPr>
        <w:pStyle w:val="ListBullet"/>
        <w:spacing w:after="60" w:line="312" w:lineRule="auto"/>
      </w:pPr>
      <w:r>
        <w:rPr>
          <w:rFonts w:ascii="Avenir Next" w:hAnsi="Avenir Next" w:cs="Avenir Next"/>
          <w:b w:val="0"/>
          <w:i w:val="0"/>
          <w:color w:val="000000"/>
          <w:sz w:val="25"/>
        </w:rPr>
        <w:t>Pre-Mission Brief — Ausubel's advance organizer. Three objectives + three outcomes + scoring criteria before content.</w:t>
      </w:r>
    </w:p>
    <w:p>
      <w:pPr>
        <w:pStyle w:val="ListBullet"/>
        <w:spacing w:after="60" w:line="312" w:lineRule="auto"/>
      </w:pPr>
      <w:r>
        <w:rPr>
          <w:rFonts w:ascii="Avenir Next" w:hAnsi="Avenir Next" w:cs="Avenir Next"/>
          <w:b w:val="0"/>
          <w:i w:val="0"/>
          <w:color w:val="000000"/>
          <w:sz w:val="25"/>
        </w:rPr>
        <w:t>Mission Dossier — externalized schema. Read-anytime popup during Decide &amp; Act reduces extraneous load.</w:t>
      </w:r>
    </w:p>
    <w:p>
      <w:pPr>
        <w:pStyle w:val="ListBullet"/>
        <w:spacing w:after="60" w:line="312" w:lineRule="auto"/>
      </w:pPr>
      <w:r>
        <w:rPr>
          <w:rFonts w:ascii="Avenir Next" w:hAnsi="Avenir Next" w:cs="Avenir Next"/>
          <w:b w:val="0"/>
          <w:i w:val="0"/>
          <w:color w:val="000000"/>
          <w:sz w:val="25"/>
        </w:rPr>
        <w:t>Voice for Change Studio — text + audio + image (Mayer CTML dual-coding).</w:t>
      </w:r>
    </w:p>
    <w:p>
      <w:pPr>
        <w:pStyle w:val="ListBullet"/>
        <w:spacing w:after="60" w:line="312" w:lineRule="auto"/>
      </w:pPr>
      <w:r>
        <w:rPr>
          <w:rFonts w:ascii="Avenir Next" w:hAnsi="Avenir Next" w:cs="Avenir Next"/>
          <w:b w:val="0"/>
          <w:i w:val="0"/>
          <w:color w:val="000000"/>
          <w:sz w:val="25"/>
        </w:rPr>
        <w:t>Integrity Meter &amp; Time Capsule — metacognitive monitor (Flavell).</w:t>
      </w:r>
    </w:p>
    <w:p>
      <w:pPr>
        <w:pStyle w:val="ListBullet"/>
        <w:spacing w:after="60" w:line="312" w:lineRule="auto"/>
      </w:pPr>
      <w:r>
        <w:rPr>
          <w:rFonts w:ascii="Avenir Next" w:hAnsi="Avenir Next" w:cs="Avenir Next"/>
          <w:b w:val="0"/>
          <w:i w:val="0"/>
          <w:color w:val="000000"/>
          <w:sz w:val="25"/>
        </w:rPr>
        <w:t>Consequence-aware decision branching — forces mental-model update (Bruner schema-construction).</w:t>
      </w:r>
    </w:p>
    <w:p>
      <w:pPr>
        <w:spacing w:after="140" w:line="324" w:lineRule="auto"/>
      </w:pPr>
      <w:r>
        <w:rPr>
          <w:rFonts w:ascii="Avenir Next" w:hAnsi="Avenir Next" w:cs="Avenir Next"/>
          <w:b w:val="0"/>
          <w:i w:val="0"/>
          <w:color w:val="000000"/>
          <w:sz w:val="25"/>
        </w:rPr>
        <w:t xml:space="preserve"> </w:t>
      </w:r>
      <w:r>
        <w:rPr>
          <w:rFonts w:ascii="Avenir Next" w:hAnsi="Avenir Next" w:cs="Avenir Next"/>
          <w:b w:val="0"/>
          <w:i w:val="0"/>
          <w:color w:val="000000"/>
          <w:sz w:val="25"/>
        </w:rPr>
        <w:t xml:space="preserve"> </w:t>
      </w:r>
      <w:r>
        <w:rPr>
          <w:rFonts w:ascii="Avenir Next" w:hAnsi="Avenir Next" w:cs="Avenir Next"/>
          <w:b w:val="0"/>
          <w:i w:val="0"/>
          <w:color w:val="000000"/>
          <w:sz w:val="25"/>
        </w:rPr>
        <w:t xml:space="preserve"> </w:t>
      </w:r>
      <w:r>
        <w:rPr>
          <w:rFonts w:ascii="Avenir Next" w:hAnsi="Avenir Next" w:cs="Avenir Next"/>
          <w:b w:val="0"/>
          <w:i w:val="0"/>
          <w:color w:val="000000"/>
          <w:sz w:val="25"/>
        </w:rPr>
        <w:t xml:space="preserve"> </w:t>
      </w:r>
      <w:r>
        <w:rPr>
          <w:rFonts w:ascii="Avenir Next" w:hAnsi="Avenir Next" w:cs="Avenir Next"/>
          <w:b w:val="0"/>
          <w:i w:val="0"/>
          <w:color w:val="000000"/>
          <w:sz w:val="25"/>
        </w:rPr>
        <w:t xml:space="preserve"> </w:t>
      </w:r>
    </w:p>
    <w:p>
      <w:pPr>
        <w:spacing w:before="200" w:after="60"/>
      </w:pPr>
      <w:r>
        <w:rPr>
          <w:rFonts w:ascii="Baskerville" w:hAnsi="Baskerville" w:cs="Baskerville"/>
          <w:b/>
          <w:i w:val="0"/>
          <w:color w:val="000000"/>
          <w:sz w:val="27"/>
        </w:rPr>
        <w:t>Social Constructivism · Vygotsky · Lave &amp; Wenger</w:t>
      </w:r>
    </w:p>
    <w:p>
      <w:pPr>
        <w:spacing w:after="140" w:line="324" w:lineRule="auto"/>
      </w:pPr>
      <w:r>
        <w:rPr>
          <w:rFonts w:ascii="Avenir Next" w:hAnsi="Avenir Next" w:cs="Avenir Next"/>
          <w:b w:val="0"/>
          <w:i w:val="0"/>
          <w:color w:val="000000"/>
          <w:sz w:val="25"/>
        </w:rPr>
        <w:t>การสร้างความรู้เชิงสังคม</w:t>
      </w:r>
    </w:p>
    <w:p>
      <w:pPr>
        <w:pStyle w:val="ListBullet"/>
        <w:spacing w:after="60" w:line="312" w:lineRule="auto"/>
      </w:pPr>
      <w:r>
        <w:rPr>
          <w:rFonts w:ascii="Avenir Next" w:hAnsi="Avenir Next" w:cs="Avenir Next"/>
          <w:b w:val="0"/>
          <w:i w:val="0"/>
          <w:color w:val="000000"/>
          <w:sz w:val="25"/>
        </w:rPr>
        <w:t>3-Role Asymmetric Team — Research Analyst, Comms Director, Ethics Officer; each sees different data. Forces co-construction in English.</w:t>
      </w:r>
    </w:p>
    <w:p>
      <w:pPr>
        <w:pStyle w:val="ListBullet"/>
        <w:spacing w:after="60" w:line="312" w:lineRule="auto"/>
      </w:pPr>
      <w:r>
        <w:rPr>
          <w:rFonts w:ascii="Avenir Next" w:hAnsi="Avenir Next" w:cs="Avenir Next"/>
          <w:b w:val="0"/>
          <w:i w:val="0"/>
          <w:color w:val="000000"/>
          <w:sz w:val="25"/>
        </w:rPr>
        <w:t>Mr Compass — More Knowledgeable Other within ZPD; Socratic, never content.</w:t>
      </w:r>
    </w:p>
    <w:p>
      <w:pPr>
        <w:pStyle w:val="ListBullet"/>
        <w:spacing w:after="60" w:line="312" w:lineRule="auto"/>
      </w:pPr>
      <w:r>
        <w:rPr>
          <w:rFonts w:ascii="Avenir Next" w:hAnsi="Avenir Next" w:cs="Avenir Next"/>
          <w:b w:val="0"/>
          <w:i w:val="0"/>
          <w:color w:val="000000"/>
          <w:sz w:val="25"/>
        </w:rPr>
        <w:t>NPC Stakeholder Interviews — situated learning in authentic Thai contexts (Lave &amp; Wenger).</w:t>
      </w:r>
    </w:p>
    <w:p>
      <w:pPr>
        <w:pStyle w:val="ListBullet"/>
        <w:spacing w:after="60" w:line="312" w:lineRule="auto"/>
      </w:pPr>
      <w:r>
        <w:rPr>
          <w:rFonts w:ascii="Avenir Next" w:hAnsi="Avenir Next" w:cs="Avenir Next"/>
          <w:b w:val="0"/>
          <w:i w:val="0"/>
          <w:color w:val="000000"/>
          <w:sz w:val="25"/>
        </w:rPr>
        <w:t>Hall of Voices — Community of Practice; peripheral → full participation.</w:t>
      </w:r>
    </w:p>
    <w:p>
      <w:pPr>
        <w:pStyle w:val="ListBullet"/>
        <w:spacing w:after="60" w:line="312" w:lineRule="auto"/>
      </w:pPr>
      <w:r>
        <w:rPr>
          <w:rFonts w:ascii="Avenir Next" w:hAnsi="Avenir Next" w:cs="Avenir Next"/>
          <w:b w:val="0"/>
          <w:i w:val="0"/>
          <w:color w:val="000000"/>
          <w:sz w:val="25"/>
        </w:rPr>
        <w:t>Peer Judges (Tier 2 of 4) — peer rubric exchange; social mediation.</w:t>
      </w:r>
    </w:p>
    <w:p>
      <w:pPr>
        <w:pStyle w:val="ListBullet"/>
        <w:spacing w:after="60" w:line="312" w:lineRule="auto"/>
      </w:pPr>
      <w:r>
        <w:rPr>
          <w:rFonts w:ascii="Avenir Next" w:hAnsi="Avenir Next" w:cs="Avenir Next"/>
          <w:b w:val="0"/>
          <w:i w:val="0"/>
          <w:color w:val="000000"/>
          <w:sz w:val="25"/>
        </w:rPr>
        <w:t>Stakeholder Dispatch videos — four real-Thai voices per mission, in-classroom co-construction.</w:t>
      </w:r>
    </w:p>
    <w:p>
      <w:pPr>
        <w:spacing w:after="140" w:line="324" w:lineRule="auto"/>
      </w:pPr>
      <w:r>
        <w:rPr>
          <w:rFonts w:ascii="Avenir Next" w:hAnsi="Avenir Next" w:cs="Avenir Next"/>
          <w:b w:val="0"/>
          <w:i w:val="0"/>
          <w:color w:val="000000"/>
          <w:sz w:val="25"/>
        </w:rPr>
        <w:t xml:space="preserve"> </w:t>
      </w:r>
      <w:r>
        <w:rPr>
          <w:rFonts w:ascii="Avenir Next" w:hAnsi="Avenir Next" w:cs="Avenir Next"/>
          <w:b w:val="0"/>
          <w:i w:val="0"/>
          <w:color w:val="000000"/>
          <w:sz w:val="25"/>
        </w:rPr>
        <w:t xml:space="preserve"> </w:t>
      </w:r>
      <w:r>
        <w:rPr>
          <w:rFonts w:ascii="Avenir Next" w:hAnsi="Avenir Next" w:cs="Avenir Next"/>
          <w:b w:val="0"/>
          <w:i w:val="0"/>
          <w:color w:val="000000"/>
          <w:sz w:val="25"/>
        </w:rPr>
        <w:t xml:space="preserve"> </w:t>
      </w:r>
      <w:r>
        <w:rPr>
          <w:rFonts w:ascii="Avenir Next" w:hAnsi="Avenir Next" w:cs="Avenir Next"/>
          <w:b w:val="0"/>
          <w:i w:val="0"/>
          <w:color w:val="000000"/>
          <w:sz w:val="25"/>
        </w:rPr>
        <w:t xml:space="preserve"> </w:t>
      </w:r>
      <w:r>
        <w:rPr>
          <w:rFonts w:ascii="Avenir Next" w:hAnsi="Avenir Next" w:cs="Avenir Next"/>
          <w:b w:val="0"/>
          <w:i w:val="0"/>
          <w:color w:val="000000"/>
          <w:sz w:val="25"/>
        </w:rPr>
        <w:t xml:space="preserve"> </w:t>
      </w:r>
    </w:p>
    <w:p>
      <w:pPr>
        <w:spacing w:before="320" w:after="140"/>
        <w:pBdr>
          <w:bottom w:val="single" w:sz="6" w:space="4" w:color="C9A961"/>
        </w:pBdr>
      </w:pPr>
      <w:r>
        <w:rPr>
          <w:rFonts w:ascii="Baskerville" w:hAnsi="Baskerville" w:cs="Baskerville"/>
          <w:b w:val="0"/>
          <w:i w:val="0"/>
          <w:color w:val="9C6F1C"/>
          <w:sz w:val="33"/>
        </w:rPr>
        <w:t>Why this matters for scoring</w:t>
      </w:r>
    </w:p>
    <w:p>
      <w:pPr>
        <w:spacing w:after="140" w:line="324" w:lineRule="auto"/>
      </w:pPr>
      <w:r>
        <w:rPr>
          <w:rFonts w:ascii="Avenir Next" w:hAnsi="Avenir Next" w:cs="Avenir Next"/>
          <w:b w:val="0"/>
          <w:i w:val="0"/>
          <w:color w:val="000000"/>
          <w:sz w:val="25"/>
        </w:rPr>
        <w:t>Thai education-innovation rubrics typically award their highest marks under "การออกแบบเชิงทฤษฎี" (theoretical design) when a submission can show operationalised theory — not just cited theory. Every row above names a platform feature you can click on. Every theorist is named. Every claim is auditable in under 60 seconds with a live platform open. That is the standard we hold ourselves to.</w:t>
      </w:r>
    </w:p>
    <w:p>
      <w:pPr>
        <w:spacing w:after="140" w:line="324" w:lineRule="auto"/>
      </w:pPr>
      <w:r>
        <w:rPr>
          <w:rFonts w:ascii="Avenir Next" w:hAnsi="Avenir Next" w:cs="Avenir Next"/>
          <w:b w:val="0"/>
          <w:i w:val="0"/>
          <w:color w:val="000000"/>
          <w:sz w:val="25"/>
        </w:rPr>
        <w:t>For the judge If any cell in the triptych appears to overstate what the platform does, please flag it. The architectural commitment is that every theory citation in this manual maps to a feature in the live build — not to a plan, not to a future roadmap.</w:t>
      </w:r>
    </w:p>
    <w:p>
      <w:pPr>
        <w:spacing w:before="320" w:after="140"/>
        <w:pBdr>
          <w:bottom w:val="single" w:sz="6" w:space="4" w:color="C9A961"/>
        </w:pBdr>
      </w:pPr>
      <w:r>
        <w:rPr>
          <w:rFonts w:ascii="Baskerville" w:hAnsi="Baskerville" w:cs="Baskerville"/>
          <w:b w:val="0"/>
          <w:i w:val="0"/>
          <w:color w:val="9C6F1C"/>
          <w:sz w:val="33"/>
        </w:rPr>
        <w:t>Portal architecture</w:t>
      </w:r>
    </w:p>
    <w:p>
      <w:pPr>
        <w:spacing w:after="140" w:line="324" w:lineRule="auto"/>
      </w:pPr>
      <w:r>
        <w:rPr>
          <w:rFonts w:ascii="Avenir Next" w:hAnsi="Avenir Next" w:cs="Avenir Next"/>
          <w:b w:val="0"/>
          <w:i w:val="0"/>
          <w:color w:val="000000"/>
          <w:sz w:val="25"/>
        </w:rPr>
        <w:t>สถาปัตยกรรมระบบ</w:t>
      </w:r>
    </w:p>
    <w:p>
      <w:pPr>
        <w:spacing w:after="140" w:line="324" w:lineRule="auto"/>
      </w:pPr>
      <w:r>
        <w:rPr>
          <w:rFonts w:ascii="Avenir Next" w:hAnsi="Avenir Next" w:cs="Avenir Next"/>
          <w:b w:val="0"/>
          <w:i w:val="0"/>
          <w:color w:val="000000"/>
          <w:sz w:val="25"/>
        </w:rPr>
        <w:t>Six layers, top to bottom. What runs where, what data flows where, and how the AI–human boundary is enforced at every layer.</w:t>
      </w:r>
    </w:p>
    <w:p>
      <w:pPr>
        <w:spacing w:before="320" w:after="140"/>
        <w:pBdr>
          <w:bottom w:val="single" w:sz="6" w:space="4" w:color="C9A961"/>
        </w:pBdr>
      </w:pPr>
      <w:r>
        <w:rPr>
          <w:rFonts w:ascii="Baskerville" w:hAnsi="Baskerville" w:cs="Baskerville"/>
          <w:b w:val="0"/>
          <w:i w:val="0"/>
          <w:color w:val="9C6F1C"/>
          <w:sz w:val="33"/>
        </w:rPr>
        <w:t>System layers</w:t>
      </w:r>
    </w:p>
    <w:p>
      <w:pPr>
        <w:spacing w:after="140" w:line="324" w:lineRule="auto"/>
      </w:pPr>
      <w:r>
        <w:rPr>
          <w:rFonts w:ascii="Avenir Next" w:hAnsi="Avenir Next" w:cs="Avenir Next"/>
          <w:b w:val="0"/>
          <w:i w:val="0"/>
          <w:color w:val="000000"/>
          <w:sz w:val="25"/>
        </w:rPr>
        <w:t>FUTUREPROOF · System Architecture</w:t>
      </w:r>
    </w:p>
    <w:p>
      <w:pPr>
        <w:spacing w:after="140" w:line="324" w:lineRule="auto"/>
      </w:pPr>
      <w:r>
        <w:rPr>
          <w:rFonts w:ascii="Avenir Next" w:hAnsi="Avenir Next" w:cs="Avenir Next"/>
          <w:b w:val="0"/>
          <w:i w:val="0"/>
          <w:color w:val="000000"/>
          <w:sz w:val="25"/>
        </w:rPr>
        <w:t>Presentation</w:t>
      </w:r>
    </w:p>
    <w:p>
      <w:pPr>
        <w:spacing w:after="140" w:line="324" w:lineRule="auto"/>
      </w:pPr>
      <w:r>
        <w:rPr>
          <w:rFonts w:ascii="Avenir Next" w:hAnsi="Avenir Next" w:cs="Avenir Next"/>
          <w:b w:val="0"/>
          <w:i w:val="0"/>
          <w:color w:val="000000"/>
          <w:sz w:val="25"/>
        </w:rPr>
        <w:t>Static HTML5 pages compiled with Tailwind CSS CLI (no CDN). Vanilla JavaScript ES2020+. Mobile-first responsive from 360 px upward. PWA-ready. Served from Netlify CDN.</w:t>
      </w:r>
    </w:p>
    <w:p>
      <w:pPr>
        <w:spacing w:after="140" w:line="324" w:lineRule="auto"/>
      </w:pPr>
      <w:r>
        <w:rPr>
          <w:rFonts w:ascii="Avenir Next" w:hAnsi="Avenir Next" w:cs="Avenir Next"/>
          <w:b w:val="0"/>
          <w:i w:val="0"/>
          <w:color w:val="000000"/>
          <w:sz w:val="25"/>
        </w:rPr>
        <w:t>Identity</w:t>
      </w:r>
    </w:p>
    <w:p>
      <w:pPr>
        <w:spacing w:after="140" w:line="324" w:lineRule="auto"/>
      </w:pPr>
      <w:r>
        <w:rPr>
          <w:rFonts w:ascii="Avenir Next" w:hAnsi="Avenir Next" w:cs="Avenir Next"/>
          <w:b w:val="0"/>
          <w:i w:val="0"/>
          <w:color w:val="000000"/>
          <w:sz w:val="25"/>
        </w:rPr>
        <w:t>Firebase Auth (email/password). Role flag on user profile: learner · teacher · admin. PDPA consent flags stored separately and gate any personal-data read.</w:t>
      </w:r>
    </w:p>
    <w:p>
      <w:pPr>
        <w:spacing w:after="140" w:line="324" w:lineRule="auto"/>
      </w:pPr>
      <w:r>
        <w:rPr>
          <w:rFonts w:ascii="Avenir Next" w:hAnsi="Avenir Next" w:cs="Avenir Next"/>
          <w:b w:val="0"/>
          <w:i w:val="0"/>
          <w:color w:val="000000"/>
          <w:sz w:val="25"/>
        </w:rPr>
        <w:t>Data</w:t>
      </w:r>
    </w:p>
    <w:p>
      <w:pPr>
        <w:spacing w:after="140" w:line="324" w:lineRule="auto"/>
      </w:pPr>
      <w:r>
        <w:rPr>
          <w:rFonts w:ascii="Avenir Next" w:hAnsi="Avenir Next" w:cs="Avenir Next"/>
          <w:b w:val="0"/>
          <w:i w:val="0"/>
          <w:color w:val="000000"/>
          <w:sz w:val="25"/>
        </w:rPr>
        <w:t>Firebase Realtime Database — learner profiles, decision logs, token balances, Keystone state, consent flags. Firebase Storage — avatar images, Voice for Change uploads, audio recordings. Security rules in firebase-rules.json enforce per-user write access.</w:t>
      </w:r>
    </w:p>
    <w:p>
      <w:pPr>
        <w:spacing w:after="140" w:line="324" w:lineRule="auto"/>
      </w:pPr>
      <w:r>
        <w:rPr>
          <w:rFonts w:ascii="Avenir Next" w:hAnsi="Avenir Next" w:cs="Avenir Next"/>
          <w:b w:val="0"/>
          <w:i w:val="0"/>
          <w:color w:val="000000"/>
          <w:sz w:val="25"/>
        </w:rPr>
        <w:t>AI proxy</w:t>
      </w:r>
    </w:p>
    <w:p>
      <w:pPr>
        <w:spacing w:after="140" w:line="324" w:lineRule="auto"/>
      </w:pPr>
      <w:r>
        <w:rPr>
          <w:rFonts w:ascii="Avenir Next" w:hAnsi="Avenir Next" w:cs="Avenir Next"/>
          <w:b w:val="0"/>
          <w:i w:val="0"/>
          <w:color w:val="000000"/>
          <w:sz w:val="25"/>
        </w:rPr>
        <w:t>Netlify Functions wrap Anthropic Claude API (Sonnet) and Stability.ai. API keys live in Netlify env vars — never reach the browser. Per-call rate-limiting and per-user daily quotas.</w:t>
      </w:r>
    </w:p>
    <w:p>
      <w:pPr>
        <w:spacing w:after="140" w:line="324" w:lineRule="auto"/>
      </w:pPr>
      <w:r>
        <w:rPr>
          <w:rFonts w:ascii="Avenir Next" w:hAnsi="Avenir Next" w:cs="Avenir Next"/>
          <w:b w:val="0"/>
          <w:i w:val="0"/>
          <w:color w:val="000000"/>
          <w:sz w:val="25"/>
        </w:rPr>
        <w:t>Pedagogy</w:t>
      </w:r>
    </w:p>
    <w:p>
      <w:pPr>
        <w:spacing w:after="140" w:line="324" w:lineRule="auto"/>
      </w:pPr>
      <w:r>
        <w:rPr>
          <w:rFonts w:ascii="Avenir Next" w:hAnsi="Avenir Next" w:cs="Avenir Next"/>
          <w:b w:val="0"/>
          <w:i w:val="0"/>
          <w:color w:val="000000"/>
          <w:sz w:val="25"/>
        </w:rPr>
        <w:t>System prompts encode Rubric B logic (AI Judges) and Field Mentor guardrails. Every AI return includes a mandatory growthEdge — null fails validation and the call retries.</w:t>
      </w:r>
    </w:p>
    <w:p>
      <w:pPr>
        <w:spacing w:after="140" w:line="324" w:lineRule="auto"/>
      </w:pPr>
      <w:r>
        <w:rPr>
          <w:rFonts w:ascii="Avenir Next" w:hAnsi="Avenir Next" w:cs="Avenir Next"/>
          <w:b w:val="0"/>
          <w:i w:val="0"/>
          <w:color w:val="000000"/>
          <w:sz w:val="25"/>
        </w:rPr>
        <w:t>Content</w:t>
      </w:r>
    </w:p>
    <w:p>
      <w:pPr>
        <w:spacing w:after="140" w:line="324" w:lineRule="auto"/>
      </w:pPr>
      <w:r>
        <w:rPr>
          <w:rFonts w:ascii="Avenir Next" w:hAnsi="Avenir Next" w:cs="Avenir Next"/>
          <w:b w:val="0"/>
          <w:i w:val="0"/>
          <w:color w:val="000000"/>
          <w:sz w:val="25"/>
        </w:rPr>
        <w:t>Six SDG scenarios stored as immutable production masters in /scenarios/. Each scenario carries the dossier at three CEFR tiers, four stakeholder dispatch videos, the AI Judge scoring criteria, and the regional trade-off statement.</w:t>
      </w:r>
    </w:p>
    <w:p>
      <w:pPr>
        <w:spacing w:before="320" w:after="140"/>
        <w:pBdr>
          <w:bottom w:val="single" w:sz="6" w:space="4" w:color="C9A961"/>
        </w:pBdr>
      </w:pPr>
      <w:r>
        <w:rPr>
          <w:rFonts w:ascii="Baskerville" w:hAnsi="Baskerville" w:cs="Baskerville"/>
          <w:b w:val="0"/>
          <w:i w:val="0"/>
          <w:color w:val="9C6F1C"/>
          <w:sz w:val="33"/>
        </w:rPr>
        <w:t>Data flows</w:t>
      </w:r>
    </w:p>
    <w:p>
      <w:pPr>
        <w:pStyle w:val="ListBullet"/>
        <w:spacing w:after="60" w:line="312" w:lineRule="auto"/>
      </w:pPr>
      <w:r>
        <w:rPr>
          <w:rFonts w:ascii="Avenir Next" w:hAnsi="Avenir Next" w:cs="Avenir Next"/>
          <w:b w:val="0"/>
          <w:i w:val="0"/>
          <w:color w:val="000000"/>
          <w:sz w:val="25"/>
        </w:rPr>
        <w:t>Sign-up → consent. PDPA consent recorded before any personal data write. The readiness check is hard-gated: it will not run and writes nothing until consent is granted.</w:t>
      </w:r>
    </w:p>
    <w:p>
      <w:pPr>
        <w:pStyle w:val="ListBullet"/>
        <w:spacing w:after="60" w:line="312" w:lineRule="auto"/>
      </w:pPr>
      <w:r>
        <w:rPr>
          <w:rFonts w:ascii="Avenir Next" w:hAnsi="Avenir Next" w:cs="Avenir Next"/>
          <w:b w:val="0"/>
          <w:i w:val="0"/>
          <w:color w:val="000000"/>
          <w:sz w:val="25"/>
        </w:rPr>
        <w:t>Readiness check → reading tier. Diagnostic sets the learner's CEFR tier (1, 2, or 3). Dossiers are served at the learner's tier; audio is never tiered.</w:t>
      </w:r>
    </w:p>
    <w:p>
      <w:pPr>
        <w:pStyle w:val="ListBullet"/>
        <w:spacing w:after="60" w:line="312" w:lineRule="auto"/>
      </w:pPr>
      <w:r>
        <w:rPr>
          <w:rFonts w:ascii="Avenir Next" w:hAnsi="Avenir Next" w:cs="Avenir Next"/>
          <w:b w:val="0"/>
          <w:i w:val="0"/>
          <w:color w:val="000000"/>
          <w:sz w:val="25"/>
        </w:rPr>
        <w:t>Mission decision → AI Judge → token award. Each decision call goes to Claude through the Netlify proxy with the Rubric B system prompt; the response includes scores per criterion, a growthEdge string, and a token delta.</w:t>
      </w:r>
    </w:p>
    <w:p>
      <w:pPr>
        <w:pStyle w:val="ListBullet"/>
        <w:spacing w:after="60" w:line="312" w:lineRule="auto"/>
      </w:pPr>
      <w:r>
        <w:rPr>
          <w:rFonts w:ascii="Avenir Next" w:hAnsi="Avenir Next" w:cs="Avenir Next"/>
          <w:b w:val="0"/>
          <w:i w:val="0"/>
          <w:color w:val="000000"/>
          <w:sz w:val="25"/>
        </w:rPr>
        <w:t>Keystone award. When the mission composite passes the threshold, the Keystone is awarded (idempotent — re-running cannot double-award).</w:t>
      </w:r>
    </w:p>
    <w:p>
      <w:pPr>
        <w:pStyle w:val="ListBullet"/>
        <w:spacing w:after="60" w:line="312" w:lineRule="auto"/>
      </w:pPr>
      <w:r>
        <w:rPr>
          <w:rFonts w:ascii="Avenir Next" w:hAnsi="Avenir Next" w:cs="Avenir Next"/>
          <w:b w:val="0"/>
          <w:i w:val="0"/>
          <w:color w:val="000000"/>
          <w:sz w:val="25"/>
        </w:rPr>
        <w:t>Capstone unlock. Six Keystones unlocks Voice for Change. Teacher overrides are logged with reason for audit.</w:t>
      </w:r>
    </w:p>
    <w:p>
      <w:pPr>
        <w:pStyle w:val="ListBullet"/>
        <w:spacing w:after="60" w:line="312" w:lineRule="auto"/>
      </w:pPr>
      <w:r>
        <w:rPr>
          <w:rFonts w:ascii="Avenir Next" w:hAnsi="Avenir Next" w:cs="Avenir Next"/>
          <w:b w:val="0"/>
          <w:i w:val="0"/>
          <w:color w:val="000000"/>
          <w:sz w:val="25"/>
        </w:rPr>
        <w:t>Hall of Voices curation. Capstone publication requires a second, explicit, withdrawable consent — separate from PDPA consent and revocable any time from My Data.</w:t>
      </w:r>
    </w:p>
    <w:p>
      <w:pPr>
        <w:spacing w:before="320" w:after="140"/>
        <w:pBdr>
          <w:bottom w:val="single" w:sz="6" w:space="4" w:color="C9A961"/>
        </w:pBdr>
      </w:pPr>
      <w:r>
        <w:rPr>
          <w:rFonts w:ascii="Baskerville" w:hAnsi="Baskerville" w:cs="Baskerville"/>
          <w:b w:val="0"/>
          <w:i w:val="0"/>
          <w:color w:val="9C6F1C"/>
          <w:sz w:val="33"/>
        </w:rPr>
        <w:t>Why the architecture matters for compliance</w:t>
      </w:r>
    </w:p>
    <w:p>
      <w:pPr>
        <w:spacing w:after="140" w:line="324" w:lineRule="auto"/>
      </w:pPr>
      <w:r>
        <w:rPr>
          <w:rFonts w:ascii="Avenir Next" w:hAnsi="Avenir Next" w:cs="Avenir Next"/>
          <w:b w:val="0"/>
          <w:i w:val="0"/>
          <w:color w:val="000000"/>
          <w:sz w:val="25"/>
        </w:rPr>
        <w:t>Three architectural choices carry compliance weight that competition judges will look for:</w:t>
      </w:r>
    </w:p>
    <w:p>
      <w:pPr>
        <w:pStyle w:val="ListBullet"/>
        <w:spacing w:after="60" w:line="312" w:lineRule="auto"/>
      </w:pPr>
      <w:r>
        <w:rPr>
          <w:rFonts w:ascii="Avenir Next" w:hAnsi="Avenir Next" w:cs="Avenir Next"/>
          <w:b w:val="0"/>
          <w:i w:val="0"/>
          <w:color w:val="000000"/>
          <w:sz w:val="25"/>
        </w:rPr>
        <w:t>API keys never in the browser. Every AI call goes through a Netlify Function. Inspect the page source; you will find no Anthropic key.</w:t>
      </w:r>
    </w:p>
    <w:p>
      <w:pPr>
        <w:pStyle w:val="ListBullet"/>
        <w:spacing w:after="60" w:line="312" w:lineRule="auto"/>
      </w:pPr>
      <w:r>
        <w:rPr>
          <w:rFonts w:ascii="Avenir Next" w:hAnsi="Avenir Next" w:cs="Avenir Next"/>
          <w:b w:val="0"/>
          <w:i w:val="0"/>
          <w:color w:val="000000"/>
          <w:sz w:val="25"/>
        </w:rPr>
        <w:t>Granular consent flags. Photo, voice, decision-history, public-showcase — each is a separate flag, separately revocable. PDPA's data-subject-access-request workflow is a built-in screen, not a manual process.</w:t>
      </w:r>
    </w:p>
    <w:p>
      <w:pPr>
        <w:pStyle w:val="ListBullet"/>
        <w:spacing w:after="60" w:line="312" w:lineRule="auto"/>
      </w:pPr>
      <w:r>
        <w:rPr>
          <w:rFonts w:ascii="Avenir Next" w:hAnsi="Avenir Next" w:cs="Avenir Next"/>
          <w:b w:val="0"/>
          <w:i w:val="0"/>
          <w:color w:val="000000"/>
          <w:sz w:val="25"/>
        </w:rPr>
        <w:t>90-day auto-deletion. Personal data tombstones after 90 days post-course; pseudonymized analytics survive for research.</w:t>
      </w:r>
    </w:p>
    <w:p>
      <w:pPr>
        <w:spacing w:after="140" w:line="324" w:lineRule="auto"/>
      </w:pPr>
      <w:r>
        <w:rPr>
          <w:rFonts w:ascii="Avenir Next" w:hAnsi="Avenir Next" w:cs="Avenir Next"/>
          <w:b w:val="0"/>
          <w:i w:val="0"/>
          <w:color w:val="000000"/>
          <w:sz w:val="25"/>
        </w:rPr>
        <w:t xml:space="preserve"> </w:t>
      </w:r>
      <w:r>
        <w:rPr>
          <w:rFonts w:ascii="Avenir Next" w:hAnsi="Avenir Next" w:cs="Avenir Next"/>
          <w:b w:val="0"/>
          <w:i w:val="0"/>
          <w:color w:val="000000"/>
          <w:sz w:val="25"/>
        </w:rPr>
        <w:t xml:space="preserve"> </w:t>
      </w:r>
      <w:r>
        <w:rPr>
          <w:rFonts w:ascii="Avenir Next" w:hAnsi="Avenir Next" w:cs="Avenir Next"/>
          <w:b w:val="0"/>
          <w:i w:val="0"/>
          <w:color w:val="000000"/>
          <w:sz w:val="25"/>
        </w:rPr>
        <w:t xml:space="preserve"> Admin Dashboard · Architecture overview The seven-module Admin Command Platform: User Management, Mission Architect, Analytics, Content Moderation, PDPA Center, System Configuration, Hall of Voices Curator.</w:t>
      </w:r>
    </w:p>
    <w:p>
      <w:pPr>
        <w:spacing w:after="140" w:line="324" w:lineRule="auto"/>
      </w:pPr>
      <w:r>
        <w:rPr>
          <w:rFonts w:ascii="Avenir Next" w:hAnsi="Avenir Next" w:cs="Avenir Next"/>
          <w:b w:val="0"/>
          <w:i w:val="0"/>
          <w:color w:val="000000"/>
          <w:sz w:val="25"/>
        </w:rPr>
        <w:t>futureproof-sdgs-lab.netlify.app/admin · capture date TBD</w:t>
      </w:r>
    </w:p>
    <w:p>
      <w:pPr>
        <w:spacing w:before="320" w:after="140"/>
        <w:pBdr>
          <w:bottom w:val="single" w:sz="6" w:space="4" w:color="C9A961"/>
        </w:pBdr>
      </w:pPr>
      <w:r>
        <w:rPr>
          <w:rFonts w:ascii="Baskerville" w:hAnsi="Baskerville" w:cs="Baskerville"/>
          <w:b w:val="0"/>
          <w:i w:val="0"/>
          <w:color w:val="9C6F1C"/>
          <w:sz w:val="33"/>
        </w:rPr>
        <w:t>The Thailand Journey · six missions</w:t>
      </w:r>
    </w:p>
    <w:p>
      <w:pPr>
        <w:spacing w:after="140" w:line="324" w:lineRule="auto"/>
      </w:pPr>
      <w:r>
        <w:rPr>
          <w:rFonts w:ascii="Avenir Next" w:hAnsi="Avenir Next" w:cs="Avenir Next"/>
          <w:b w:val="0"/>
          <w:i w:val="0"/>
          <w:color w:val="000000"/>
          <w:sz w:val="25"/>
        </w:rPr>
        <w:t>การเดินทาง ๖ ภูมิภาค ๖ SDG</w:t>
      </w:r>
    </w:p>
    <w:p>
      <w:pPr>
        <w:spacing w:after="140" w:line="324" w:lineRule="auto"/>
      </w:pPr>
      <w:r>
        <w:rPr>
          <w:rFonts w:ascii="Avenir Next" w:hAnsi="Avenir Next" w:cs="Avenir Next"/>
          <w:b w:val="0"/>
          <w:i w:val="0"/>
          <w:color w:val="000000"/>
          <w:sz w:val="25"/>
        </w:rPr>
        <w:t>One country, six regions, six trade-offs. Each mission anchors a different SDG to a real Thai context. Learners may take them in any order; clearing all six unlocks the capstone.</w:t>
      </w:r>
    </w:p>
    <w:p>
      <w:pPr>
        <w:spacing w:before="320" w:after="140"/>
        <w:pBdr>
          <w:bottom w:val="single" w:sz="6" w:space="4" w:color="C9A961"/>
        </w:pBdr>
      </w:pPr>
      <w:r>
        <w:rPr>
          <w:rFonts w:ascii="Baskerville" w:hAnsi="Baskerville" w:cs="Baskerville"/>
          <w:b w:val="0"/>
          <w:i w:val="0"/>
          <w:color w:val="9C6F1C"/>
          <w:sz w:val="33"/>
        </w:rPr>
        <w:t>Why six, not seventeen</w:t>
      </w:r>
    </w:p>
    <w:p>
      <w:pPr>
        <w:spacing w:after="140" w:line="324" w:lineRule="auto"/>
      </w:pPr>
      <w:r>
        <w:rPr>
          <w:rFonts w:ascii="Avenir Next" w:hAnsi="Avenir Next" w:cs="Avenir Next"/>
          <w:b w:val="0"/>
          <w:i w:val="0"/>
          <w:color w:val="000000"/>
          <w:sz w:val="25"/>
        </w:rPr>
        <w:t>The UN has 17 Sustainable Development Goals. Why does FUTUREPROOF run six? Because six is the maximum a 15-week term can carry at the depth we insist on. Each mission has been authored to production-master depth — real Thai stakeholder names, real trade-offs, vetted illustrative ranges, four-voice dispatch videos. A 17-SDG version would be a mile wide and an inch deep. The roadmap (Chapter 13) describes how the platform scales to 17 once a partner faculty wants to commission additional regions.</w:t>
      </w:r>
    </w:p>
    <w:p>
      <w:pPr>
        <w:spacing w:after="140" w:line="324" w:lineRule="auto"/>
      </w:pPr>
      <w:r>
        <w:rPr>
          <w:rFonts w:ascii="Avenir Next" w:hAnsi="Avenir Next" w:cs="Avenir Next"/>
          <w:b w:val="0"/>
          <w:i w:val="0"/>
          <w:color w:val="000000"/>
          <w:sz w:val="25"/>
        </w:rPr>
        <w:t>The Thailand Journey screen Hand-illustrated map of Thailand with six pinned missions. Earned Keystones light gold; unearned ones remain ink-line. The compass-rose in the upper right indicates the learner's current direction of travel.</w:t>
      </w:r>
    </w:p>
    <w:p>
      <w:pPr>
        <w:spacing w:after="140" w:line="324" w:lineRule="auto"/>
      </w:pPr>
      <w:r>
        <w:rPr>
          <w:rFonts w:ascii="Avenir Next" w:hAnsi="Avenir Next" w:cs="Avenir Next"/>
          <w:b w:val="0"/>
          <w:i w:val="0"/>
          <w:color w:val="000000"/>
          <w:sz w:val="25"/>
        </w:rPr>
        <w:t>futureproof-sdgs-lab.netlify.app/journey · 1920×1080 · capture date TBD</w:t>
      </w:r>
    </w:p>
    <w:p>
      <w:pPr>
        <w:spacing w:before="320" w:after="140"/>
        <w:pBdr>
          <w:bottom w:val="single" w:sz="6" w:space="4" w:color="C9A961"/>
        </w:pBdr>
      </w:pPr>
      <w:r>
        <w:rPr>
          <w:rFonts w:ascii="Baskerville" w:hAnsi="Baskerville" w:cs="Baskerville"/>
          <w:b w:val="0"/>
          <w:i w:val="0"/>
          <w:color w:val="9C6F1C"/>
          <w:sz w:val="33"/>
        </w:rPr>
        <w:t>The six missions at a glance</w:t>
      </w:r>
    </w:p>
    <w:p>
      <w:pPr>
        <w:spacing w:after="140" w:line="324" w:lineRule="auto"/>
      </w:pPr>
      <w:r>
        <w:rPr>
          <w:rFonts w:ascii="Avenir Next" w:hAnsi="Avenir Next" w:cs="Avenir Next"/>
          <w:b w:val="0"/>
          <w:i w:val="0"/>
          <w:color w:val="000000"/>
          <w:sz w:val="25"/>
        </w:rPr>
        <w:t>01 North · Chiang Mai SDG 13 · CLIMATE</w:t>
      </w:r>
    </w:p>
    <w:p>
      <w:pPr>
        <w:spacing w:after="140" w:line="324" w:lineRule="auto"/>
      </w:pPr>
      <w:r>
        <w:rPr>
          <w:rFonts w:ascii="Avenir Next" w:hAnsi="Avenir Next" w:cs="Avenir Next"/>
          <w:b w:val="0"/>
          <w:i w:val="0"/>
          <w:color w:val="000000"/>
          <w:sz w:val="25"/>
        </w:rPr>
        <w:t>The Burning Season</w:t>
      </w:r>
    </w:p>
    <w:p>
      <w:pPr>
        <w:spacing w:after="140" w:line="324" w:lineRule="auto"/>
      </w:pPr>
      <w:r>
        <w:rPr>
          <w:rFonts w:ascii="Avenir Next" w:hAnsi="Avenir Next" w:cs="Avenir Next"/>
          <w:b w:val="0"/>
          <w:i w:val="0"/>
          <w:color w:val="000000"/>
          <w:sz w:val="25"/>
        </w:rPr>
        <w:t>Clean air vs. agricultural livelihood — when burning is the cheapest pre-monsoon land clearance, who pays the cost of clear lungs?</w:t>
      </w:r>
    </w:p>
    <w:p>
      <w:pPr>
        <w:spacing w:after="140" w:line="324" w:lineRule="auto"/>
      </w:pPr>
      <w:r>
        <w:rPr>
          <w:rFonts w:ascii="Avenir Next" w:hAnsi="Avenir Next" w:cs="Avenir Next"/>
          <w:b w:val="0"/>
          <w:i w:val="0"/>
          <w:color w:val="000000"/>
          <w:sz w:val="25"/>
        </w:rPr>
        <w:t>Authentic context</w:t>
      </w:r>
    </w:p>
    <w:p>
      <w:pPr>
        <w:spacing w:after="140" w:line="324" w:lineRule="auto"/>
      </w:pPr>
      <w:r>
        <w:rPr>
          <w:rFonts w:ascii="Avenir Next" w:hAnsi="Avenir Next" w:cs="Avenir Next"/>
          <w:b w:val="0"/>
          <w:i w:val="0"/>
          <w:color w:val="000000"/>
          <w:sz w:val="25"/>
        </w:rPr>
        <w:t>Hill farmers, urban respiratory clinics, Mae Hong Son provincial government, ASEAN haze treaty.</w:t>
      </w:r>
    </w:p>
    <w:p>
      <w:pPr>
        <w:spacing w:after="140" w:line="324" w:lineRule="auto"/>
      </w:pPr>
      <w:r>
        <w:rPr>
          <w:rFonts w:ascii="Avenir Next" w:hAnsi="Avenir Next" w:cs="Avenir Next"/>
          <w:b w:val="0"/>
          <w:i w:val="0"/>
          <w:color w:val="000000"/>
          <w:sz w:val="25"/>
        </w:rPr>
        <w:t>Bloom focus</w:t>
      </w:r>
    </w:p>
    <w:p>
      <w:pPr>
        <w:spacing w:after="140" w:line="324" w:lineRule="auto"/>
      </w:pPr>
      <w:r>
        <w:rPr>
          <w:rFonts w:ascii="Avenir Next" w:hAnsi="Avenir Next" w:cs="Avenir Next"/>
          <w:b w:val="0"/>
          <w:i w:val="0"/>
          <w:color w:val="000000"/>
          <w:sz w:val="25"/>
        </w:rPr>
        <w:t>Evaluate · Apply</w:t>
      </w:r>
    </w:p>
    <w:p>
      <w:pPr>
        <w:spacing w:after="140" w:line="324" w:lineRule="auto"/>
      </w:pPr>
      <w:r>
        <w:rPr>
          <w:rFonts w:ascii="Avenir Next" w:hAnsi="Avenir Next" w:cs="Avenir Next"/>
          <w:b w:val="0"/>
          <w:i w:val="0"/>
          <w:color w:val="000000"/>
          <w:sz w:val="25"/>
        </w:rPr>
        <w:t>Key dossier figures</w:t>
      </w:r>
    </w:p>
    <w:p>
      <w:pPr>
        <w:spacing w:after="140" w:line="324" w:lineRule="auto"/>
      </w:pPr>
      <w:r>
        <w:rPr>
          <w:rFonts w:ascii="Avenir Next" w:hAnsi="Avenir Next" w:cs="Avenir Next"/>
          <w:b w:val="0"/>
          <w:i w:val="0"/>
          <w:color w:val="000000"/>
          <w:sz w:val="25"/>
        </w:rPr>
        <w:t>PM2.5 readings, GISTDA hotspot maps, crop-residue tonnage estimates.</w:t>
      </w:r>
    </w:p>
    <w:p>
      <w:pPr>
        <w:spacing w:after="140" w:line="324" w:lineRule="auto"/>
      </w:pPr>
      <w:r>
        <w:rPr>
          <w:rFonts w:ascii="Avenir Next" w:hAnsi="Avenir Next" w:cs="Avenir Next"/>
          <w:b w:val="0"/>
          <w:i w:val="0"/>
          <w:color w:val="000000"/>
          <w:sz w:val="25"/>
        </w:rPr>
        <w:t>Counter-position</w:t>
      </w:r>
    </w:p>
    <w:p>
      <w:pPr>
        <w:spacing w:after="140" w:line="324" w:lineRule="auto"/>
      </w:pPr>
      <w:r>
        <w:rPr>
          <w:rFonts w:ascii="Avenir Next" w:hAnsi="Avenir Next" w:cs="Avenir Next"/>
          <w:b w:val="0"/>
          <w:i w:val="0"/>
          <w:color w:val="000000"/>
          <w:sz w:val="25"/>
        </w:rPr>
        <w:t>"A ban without alternatives criminalises poverty."</w:t>
      </w:r>
    </w:p>
    <w:p>
      <w:pPr>
        <w:spacing w:after="140" w:line="324" w:lineRule="auto"/>
      </w:pPr>
      <w:r>
        <w:rPr>
          <w:rFonts w:ascii="Avenir Next" w:hAnsi="Avenir Next" w:cs="Avenir Next"/>
          <w:b w:val="0"/>
          <w:i w:val="0"/>
          <w:color w:val="000000"/>
          <w:sz w:val="25"/>
        </w:rPr>
        <w:t>02 Northeast · Khon Kaen SDG 6 · WATER</w:t>
      </w:r>
    </w:p>
    <w:p>
      <w:pPr>
        <w:spacing w:after="140" w:line="324" w:lineRule="auto"/>
      </w:pPr>
      <w:r>
        <w:rPr>
          <w:rFonts w:ascii="Avenir Next" w:hAnsi="Avenir Next" w:cs="Avenir Next"/>
          <w:b w:val="0"/>
          <w:i w:val="0"/>
          <w:color w:val="000000"/>
          <w:sz w:val="25"/>
        </w:rPr>
        <w:t>The Aquifer Below</w:t>
      </w:r>
    </w:p>
    <w:p>
      <w:pPr>
        <w:spacing w:after="140" w:line="324" w:lineRule="auto"/>
      </w:pPr>
      <w:r>
        <w:rPr>
          <w:rFonts w:ascii="Avenir Next" w:hAnsi="Avenir Next" w:cs="Avenir Next"/>
          <w:b w:val="0"/>
          <w:i w:val="0"/>
          <w:color w:val="000000"/>
          <w:sz w:val="25"/>
        </w:rPr>
        <w:t>Today's water vs. the next generation's water — when the aquifer takes decades to refill and rice farming takes it in months, what does fairness mean across time?</w:t>
      </w:r>
    </w:p>
    <w:p>
      <w:pPr>
        <w:spacing w:after="140" w:line="324" w:lineRule="auto"/>
      </w:pPr>
      <w:r>
        <w:rPr>
          <w:rFonts w:ascii="Avenir Next" w:hAnsi="Avenir Next" w:cs="Avenir Next"/>
          <w:b w:val="0"/>
          <w:i w:val="0"/>
          <w:color w:val="000000"/>
          <w:sz w:val="25"/>
        </w:rPr>
        <w:t>Authentic context</w:t>
      </w:r>
    </w:p>
    <w:p>
      <w:pPr>
        <w:spacing w:after="140" w:line="324" w:lineRule="auto"/>
      </w:pPr>
      <w:r>
        <w:rPr>
          <w:rFonts w:ascii="Avenir Next" w:hAnsi="Avenir Next" w:cs="Avenir Next"/>
          <w:b w:val="0"/>
          <w:i w:val="0"/>
          <w:color w:val="000000"/>
          <w:sz w:val="25"/>
        </w:rPr>
        <w:t>Smallholder rice farmers, Royal Irrigation Department, Khon Kaen Hospital, downstream Lao villages.</w:t>
      </w:r>
    </w:p>
    <w:p>
      <w:pPr>
        <w:spacing w:after="140" w:line="324" w:lineRule="auto"/>
      </w:pPr>
      <w:r>
        <w:rPr>
          <w:rFonts w:ascii="Avenir Next" w:hAnsi="Avenir Next" w:cs="Avenir Next"/>
          <w:b w:val="0"/>
          <w:i w:val="0"/>
          <w:color w:val="000000"/>
          <w:sz w:val="25"/>
        </w:rPr>
        <w:t>Bloom focus</w:t>
      </w:r>
    </w:p>
    <w:p>
      <w:pPr>
        <w:spacing w:after="140" w:line="324" w:lineRule="auto"/>
      </w:pPr>
      <w:r>
        <w:rPr>
          <w:rFonts w:ascii="Avenir Next" w:hAnsi="Avenir Next" w:cs="Avenir Next"/>
          <w:b w:val="0"/>
          <w:i w:val="0"/>
          <w:color w:val="000000"/>
          <w:sz w:val="25"/>
        </w:rPr>
        <w:t>Analyze · Evaluate</w:t>
      </w:r>
    </w:p>
    <w:p>
      <w:pPr>
        <w:spacing w:after="140" w:line="324" w:lineRule="auto"/>
      </w:pPr>
      <w:r>
        <w:rPr>
          <w:rFonts w:ascii="Avenir Next" w:hAnsi="Avenir Next" w:cs="Avenir Next"/>
          <w:b w:val="0"/>
          <w:i w:val="0"/>
          <w:color w:val="000000"/>
          <w:sz w:val="25"/>
        </w:rPr>
        <w:t>Key dossier figures</w:t>
      </w:r>
    </w:p>
    <w:p>
      <w:pPr>
        <w:spacing w:after="140" w:line="324" w:lineRule="auto"/>
      </w:pPr>
      <w:r>
        <w:rPr>
          <w:rFonts w:ascii="Avenir Next" w:hAnsi="Avenir Next" w:cs="Avenir Next"/>
          <w:b w:val="0"/>
          <w:i w:val="0"/>
          <w:color w:val="000000"/>
          <w:sz w:val="25"/>
        </w:rPr>
        <w:t>Aquifer recharge rates, well-depth survey ranges, paddy water-footprint estimates.</w:t>
      </w:r>
    </w:p>
    <w:p>
      <w:pPr>
        <w:spacing w:after="140" w:line="324" w:lineRule="auto"/>
      </w:pPr>
      <w:r>
        <w:rPr>
          <w:rFonts w:ascii="Avenir Next" w:hAnsi="Avenir Next" w:cs="Avenir Next"/>
          <w:b w:val="0"/>
          <w:i w:val="0"/>
          <w:color w:val="000000"/>
          <w:sz w:val="25"/>
        </w:rPr>
        <w:t>Counter-position</w:t>
      </w:r>
    </w:p>
    <w:p>
      <w:pPr>
        <w:spacing w:after="140" w:line="324" w:lineRule="auto"/>
      </w:pPr>
      <w:r>
        <w:rPr>
          <w:rFonts w:ascii="Avenir Next" w:hAnsi="Avenir Next" w:cs="Avenir Next"/>
          <w:b w:val="0"/>
          <w:i w:val="0"/>
          <w:color w:val="000000"/>
          <w:sz w:val="25"/>
        </w:rPr>
        <w:t>"This generation's poverty is a justice claim too."</w:t>
      </w:r>
    </w:p>
    <w:p>
      <w:pPr>
        <w:spacing w:after="140" w:line="324" w:lineRule="auto"/>
      </w:pPr>
      <w:r>
        <w:rPr>
          <w:rFonts w:ascii="Avenir Next" w:hAnsi="Avenir Next" w:cs="Avenir Next"/>
          <w:b w:val="0"/>
          <w:i w:val="0"/>
          <w:color w:val="000000"/>
          <w:sz w:val="25"/>
        </w:rPr>
        <w:t>03 Central · Bangkok SDG 11 · CITIES</w:t>
      </w:r>
    </w:p>
    <w:p>
      <w:pPr>
        <w:spacing w:after="140" w:line="324" w:lineRule="auto"/>
      </w:pPr>
      <w:r>
        <w:rPr>
          <w:rFonts w:ascii="Avenir Next" w:hAnsi="Avenir Next" w:cs="Avenir Next"/>
          <w:b w:val="0"/>
          <w:i w:val="0"/>
          <w:color w:val="000000"/>
          <w:sz w:val="25"/>
        </w:rPr>
        <w:t>The Klong and the City</w:t>
      </w:r>
    </w:p>
    <w:p>
      <w:pPr>
        <w:spacing w:after="140" w:line="324" w:lineRule="auto"/>
      </w:pPr>
      <w:r>
        <w:rPr>
          <w:rFonts w:ascii="Avenir Next" w:hAnsi="Avenir Next" w:cs="Avenir Next"/>
          <w:b w:val="0"/>
          <w:i w:val="0"/>
          <w:color w:val="000000"/>
          <w:sz w:val="25"/>
        </w:rPr>
        <w:t>Flood defence vs. canal-side tenure — when concrete embankments save the central city, what happens to the canal communities that have lived there for generations?</w:t>
      </w:r>
    </w:p>
    <w:p>
      <w:pPr>
        <w:spacing w:after="140" w:line="324" w:lineRule="auto"/>
      </w:pPr>
      <w:r>
        <w:rPr>
          <w:rFonts w:ascii="Avenir Next" w:hAnsi="Avenir Next" w:cs="Avenir Next"/>
          <w:b w:val="0"/>
          <w:i w:val="0"/>
          <w:color w:val="000000"/>
          <w:sz w:val="25"/>
        </w:rPr>
        <w:t>Authentic context</w:t>
      </w:r>
    </w:p>
    <w:p>
      <w:pPr>
        <w:spacing w:after="140" w:line="324" w:lineRule="auto"/>
      </w:pPr>
      <w:r>
        <w:rPr>
          <w:rFonts w:ascii="Avenir Next" w:hAnsi="Avenir Next" w:cs="Avenir Next"/>
          <w:b w:val="0"/>
          <w:i w:val="0"/>
          <w:color w:val="000000"/>
          <w:sz w:val="25"/>
        </w:rPr>
        <w:t>BMA flood engineers, Khlong Toey community, Department of City Planning, riparian heritage advocates.</w:t>
      </w:r>
    </w:p>
    <w:p>
      <w:pPr>
        <w:spacing w:after="140" w:line="324" w:lineRule="auto"/>
      </w:pPr>
      <w:r>
        <w:rPr>
          <w:rFonts w:ascii="Avenir Next" w:hAnsi="Avenir Next" w:cs="Avenir Next"/>
          <w:b w:val="0"/>
          <w:i w:val="0"/>
          <w:color w:val="000000"/>
          <w:sz w:val="25"/>
        </w:rPr>
        <w:t>Bloom focus</w:t>
      </w:r>
    </w:p>
    <w:p>
      <w:pPr>
        <w:spacing w:after="140" w:line="324" w:lineRule="auto"/>
      </w:pPr>
      <w:r>
        <w:rPr>
          <w:rFonts w:ascii="Avenir Next" w:hAnsi="Avenir Next" w:cs="Avenir Next"/>
          <w:b w:val="0"/>
          <w:i w:val="0"/>
          <w:color w:val="000000"/>
          <w:sz w:val="25"/>
        </w:rPr>
        <w:t>Analyze · Apply</w:t>
      </w:r>
    </w:p>
    <w:p>
      <w:pPr>
        <w:spacing w:after="140" w:line="324" w:lineRule="auto"/>
      </w:pPr>
      <w:r>
        <w:rPr>
          <w:rFonts w:ascii="Avenir Next" w:hAnsi="Avenir Next" w:cs="Avenir Next"/>
          <w:b w:val="0"/>
          <w:i w:val="0"/>
          <w:color w:val="000000"/>
          <w:sz w:val="25"/>
        </w:rPr>
        <w:t>Key dossier figures</w:t>
      </w:r>
    </w:p>
    <w:p>
      <w:pPr>
        <w:spacing w:after="140" w:line="324" w:lineRule="auto"/>
      </w:pPr>
      <w:r>
        <w:rPr>
          <w:rFonts w:ascii="Avenir Next" w:hAnsi="Avenir Next" w:cs="Avenir Next"/>
          <w:b w:val="0"/>
          <w:i w:val="0"/>
          <w:color w:val="000000"/>
          <w:sz w:val="25"/>
        </w:rPr>
        <w:t>2011 flood data, urban-density gradients, tenure-displacement counts.</w:t>
      </w:r>
    </w:p>
    <w:p>
      <w:pPr>
        <w:spacing w:after="140" w:line="324" w:lineRule="auto"/>
      </w:pPr>
      <w:r>
        <w:rPr>
          <w:rFonts w:ascii="Avenir Next" w:hAnsi="Avenir Next" w:cs="Avenir Next"/>
          <w:b w:val="0"/>
          <w:i w:val="0"/>
          <w:color w:val="000000"/>
          <w:sz w:val="25"/>
        </w:rPr>
        <w:t>Counter-position</w:t>
      </w:r>
    </w:p>
    <w:p>
      <w:pPr>
        <w:spacing w:after="140" w:line="324" w:lineRule="auto"/>
      </w:pPr>
      <w:r>
        <w:rPr>
          <w:rFonts w:ascii="Avenir Next" w:hAnsi="Avenir Next" w:cs="Avenir Next"/>
          <w:b w:val="0"/>
          <w:i w:val="0"/>
          <w:color w:val="000000"/>
          <w:sz w:val="25"/>
        </w:rPr>
        <w:t>"Saving the centre is a defensible utilitarian choice."</w:t>
      </w:r>
    </w:p>
    <w:p>
      <w:pPr>
        <w:spacing w:after="140" w:line="324" w:lineRule="auto"/>
      </w:pPr>
      <w:r>
        <w:rPr>
          <w:rFonts w:ascii="Avenir Next" w:hAnsi="Avenir Next" w:cs="Avenir Next"/>
          <w:b w:val="0"/>
          <w:i w:val="0"/>
          <w:color w:val="000000"/>
          <w:sz w:val="25"/>
        </w:rPr>
        <w:t>04 West · Tak / Mae Sot SDG 4 · EDUCATION</w:t>
      </w:r>
    </w:p>
    <w:p>
      <w:pPr>
        <w:spacing w:after="140" w:line="324" w:lineRule="auto"/>
      </w:pPr>
      <w:r>
        <w:rPr>
          <w:rFonts w:ascii="Avenir Next" w:hAnsi="Avenir Next" w:cs="Avenir Next"/>
          <w:b w:val="0"/>
          <w:i w:val="0"/>
          <w:color w:val="000000"/>
          <w:sz w:val="25"/>
        </w:rPr>
        <w:t>The Children at the Border</w:t>
      </w:r>
    </w:p>
    <w:p>
      <w:pPr>
        <w:spacing w:after="140" w:line="324" w:lineRule="auto"/>
      </w:pPr>
      <w:r>
        <w:rPr>
          <w:rFonts w:ascii="Avenir Next" w:hAnsi="Avenir Next" w:cs="Avenir Next"/>
          <w:b w:val="0"/>
          <w:i w:val="0"/>
          <w:color w:val="000000"/>
          <w:sz w:val="25"/>
        </w:rPr>
        <w:t>National curriculum vs. cross-border continuity — when migrant children need recognized credentials but the home-country curriculum is unavailable, whose education system steps in?</w:t>
      </w:r>
    </w:p>
    <w:p>
      <w:pPr>
        <w:spacing w:after="140" w:line="324" w:lineRule="auto"/>
      </w:pPr>
      <w:r>
        <w:rPr>
          <w:rFonts w:ascii="Avenir Next" w:hAnsi="Avenir Next" w:cs="Avenir Next"/>
          <w:b w:val="0"/>
          <w:i w:val="0"/>
          <w:color w:val="000000"/>
          <w:sz w:val="25"/>
        </w:rPr>
        <w:t>Authentic context</w:t>
      </w:r>
    </w:p>
    <w:p>
      <w:pPr>
        <w:spacing w:after="140" w:line="324" w:lineRule="auto"/>
      </w:pPr>
      <w:r>
        <w:rPr>
          <w:rFonts w:ascii="Avenir Next" w:hAnsi="Avenir Next" w:cs="Avenir Next"/>
          <w:b w:val="0"/>
          <w:i w:val="0"/>
          <w:color w:val="000000"/>
          <w:sz w:val="25"/>
        </w:rPr>
        <w:t>Migrant learning centres (MLCs), Thai MOE, UNHCR, Myanmar community elders.</w:t>
      </w:r>
    </w:p>
    <w:p>
      <w:pPr>
        <w:spacing w:after="140" w:line="324" w:lineRule="auto"/>
      </w:pPr>
      <w:r>
        <w:rPr>
          <w:rFonts w:ascii="Avenir Next" w:hAnsi="Avenir Next" w:cs="Avenir Next"/>
          <w:b w:val="0"/>
          <w:i w:val="0"/>
          <w:color w:val="000000"/>
          <w:sz w:val="25"/>
        </w:rPr>
        <w:t>Bloom focus</w:t>
      </w:r>
    </w:p>
    <w:p>
      <w:pPr>
        <w:spacing w:after="140" w:line="324" w:lineRule="auto"/>
      </w:pPr>
      <w:r>
        <w:rPr>
          <w:rFonts w:ascii="Avenir Next" w:hAnsi="Avenir Next" w:cs="Avenir Next"/>
          <w:b w:val="0"/>
          <w:i w:val="0"/>
          <w:color w:val="000000"/>
          <w:sz w:val="25"/>
        </w:rPr>
        <w:t>Understand · Evaluate</w:t>
      </w:r>
    </w:p>
    <w:p>
      <w:pPr>
        <w:spacing w:after="140" w:line="324" w:lineRule="auto"/>
      </w:pPr>
      <w:r>
        <w:rPr>
          <w:rFonts w:ascii="Avenir Next" w:hAnsi="Avenir Next" w:cs="Avenir Next"/>
          <w:b w:val="0"/>
          <w:i w:val="0"/>
          <w:color w:val="000000"/>
          <w:sz w:val="25"/>
        </w:rPr>
        <w:t>Key dossier figures</w:t>
      </w:r>
    </w:p>
    <w:p>
      <w:pPr>
        <w:spacing w:after="140" w:line="324" w:lineRule="auto"/>
      </w:pPr>
      <w:r>
        <w:rPr>
          <w:rFonts w:ascii="Avenir Next" w:hAnsi="Avenir Next" w:cs="Avenir Next"/>
          <w:b w:val="0"/>
          <w:i w:val="0"/>
          <w:color w:val="000000"/>
          <w:sz w:val="25"/>
        </w:rPr>
        <w:t>MLC enrolment estimates, dropout-to-work transitions, credential-recognition pathway data.</w:t>
      </w:r>
    </w:p>
    <w:p>
      <w:pPr>
        <w:spacing w:after="140" w:line="324" w:lineRule="auto"/>
      </w:pPr>
      <w:r>
        <w:rPr>
          <w:rFonts w:ascii="Avenir Next" w:hAnsi="Avenir Next" w:cs="Avenir Next"/>
          <w:b w:val="0"/>
          <w:i w:val="0"/>
          <w:color w:val="000000"/>
          <w:sz w:val="25"/>
        </w:rPr>
        <w:t>Counter-position</w:t>
      </w:r>
    </w:p>
    <w:p>
      <w:pPr>
        <w:spacing w:after="140" w:line="324" w:lineRule="auto"/>
      </w:pPr>
      <w:r>
        <w:rPr>
          <w:rFonts w:ascii="Avenir Next" w:hAnsi="Avenir Next" w:cs="Avenir Next"/>
          <w:b w:val="0"/>
          <w:i w:val="0"/>
          <w:color w:val="000000"/>
          <w:sz w:val="25"/>
        </w:rPr>
        <w:t>"Sovereignty over curriculum is a defensible state interest."</w:t>
      </w:r>
    </w:p>
    <w:p>
      <w:pPr>
        <w:spacing w:after="140" w:line="324" w:lineRule="auto"/>
      </w:pPr>
      <w:r>
        <w:rPr>
          <w:rFonts w:ascii="Avenir Next" w:hAnsi="Avenir Next" w:cs="Avenir Next"/>
          <w:b w:val="0"/>
          <w:i w:val="0"/>
          <w:color w:val="000000"/>
          <w:sz w:val="25"/>
        </w:rPr>
        <w:t>05 East · EEC Fringe SDG 3 · HEALTH</w:t>
      </w:r>
    </w:p>
    <w:p>
      <w:pPr>
        <w:spacing w:after="140" w:line="324" w:lineRule="auto"/>
      </w:pPr>
      <w:r>
        <w:rPr>
          <w:rFonts w:ascii="Avenir Next" w:hAnsi="Avenir Next" w:cs="Avenir Next"/>
          <w:b w:val="0"/>
          <w:i w:val="0"/>
          <w:color w:val="000000"/>
          <w:sz w:val="25"/>
        </w:rPr>
        <w:t>The Village Left Behind</w:t>
      </w:r>
    </w:p>
    <w:p>
      <w:pPr>
        <w:spacing w:after="140" w:line="324" w:lineRule="auto"/>
      </w:pPr>
      <w:r>
        <w:rPr>
          <w:rFonts w:ascii="Avenir Next" w:hAnsi="Avenir Next" w:cs="Avenir Next"/>
          <w:b w:val="0"/>
          <w:i w:val="0"/>
          <w:color w:val="000000"/>
          <w:sz w:val="25"/>
        </w:rPr>
        <w:t>Industrial growth vs. community health — when the Eastern Economic Corridor brings jobs but also air-quality and water-quality stress to neighbouring villages, what does "shared prosperity" mean?</w:t>
      </w:r>
    </w:p>
    <w:p>
      <w:pPr>
        <w:spacing w:after="140" w:line="324" w:lineRule="auto"/>
      </w:pPr>
      <w:r>
        <w:rPr>
          <w:rFonts w:ascii="Avenir Next" w:hAnsi="Avenir Next" w:cs="Avenir Next"/>
          <w:b w:val="0"/>
          <w:i w:val="0"/>
          <w:color w:val="000000"/>
          <w:sz w:val="25"/>
        </w:rPr>
        <w:t>Authentic context</w:t>
      </w:r>
    </w:p>
    <w:p>
      <w:pPr>
        <w:spacing w:after="140" w:line="324" w:lineRule="auto"/>
      </w:pPr>
      <w:r>
        <w:rPr>
          <w:rFonts w:ascii="Avenir Next" w:hAnsi="Avenir Next" w:cs="Avenir Next"/>
          <w:b w:val="0"/>
          <w:i w:val="0"/>
          <w:color w:val="000000"/>
          <w:sz w:val="25"/>
        </w:rPr>
        <w:t>EEC Office, Mab Ta Phut Hospital, fishing-village leaders, Rayong public health.</w:t>
      </w:r>
    </w:p>
    <w:p>
      <w:pPr>
        <w:spacing w:after="140" w:line="324" w:lineRule="auto"/>
      </w:pPr>
      <w:r>
        <w:rPr>
          <w:rFonts w:ascii="Avenir Next" w:hAnsi="Avenir Next" w:cs="Avenir Next"/>
          <w:b w:val="0"/>
          <w:i w:val="0"/>
          <w:color w:val="000000"/>
          <w:sz w:val="25"/>
        </w:rPr>
        <w:t>Bloom focus</w:t>
      </w:r>
    </w:p>
    <w:p>
      <w:pPr>
        <w:spacing w:after="140" w:line="324" w:lineRule="auto"/>
      </w:pPr>
      <w:r>
        <w:rPr>
          <w:rFonts w:ascii="Avenir Next" w:hAnsi="Avenir Next" w:cs="Avenir Next"/>
          <w:b w:val="0"/>
          <w:i w:val="0"/>
          <w:color w:val="000000"/>
          <w:sz w:val="25"/>
        </w:rPr>
        <w:t>Analyze · Apply</w:t>
      </w:r>
    </w:p>
    <w:p>
      <w:pPr>
        <w:spacing w:after="140" w:line="324" w:lineRule="auto"/>
      </w:pPr>
      <w:r>
        <w:rPr>
          <w:rFonts w:ascii="Avenir Next" w:hAnsi="Avenir Next" w:cs="Avenir Next"/>
          <w:b w:val="0"/>
          <w:i w:val="0"/>
          <w:color w:val="000000"/>
          <w:sz w:val="25"/>
        </w:rPr>
        <w:t>Key dossier figures</w:t>
      </w:r>
    </w:p>
    <w:p>
      <w:pPr>
        <w:spacing w:after="140" w:line="324" w:lineRule="auto"/>
      </w:pPr>
      <w:r>
        <w:rPr>
          <w:rFonts w:ascii="Avenir Next" w:hAnsi="Avenir Next" w:cs="Avenir Next"/>
          <w:b w:val="0"/>
          <w:i w:val="0"/>
          <w:color w:val="000000"/>
          <w:sz w:val="25"/>
        </w:rPr>
        <w:t>VOC emission ranges, hospital-admission patterns, jobs-vs-relocation surveys.</w:t>
      </w:r>
    </w:p>
    <w:p>
      <w:pPr>
        <w:spacing w:after="140" w:line="324" w:lineRule="auto"/>
      </w:pPr>
      <w:r>
        <w:rPr>
          <w:rFonts w:ascii="Avenir Next" w:hAnsi="Avenir Next" w:cs="Avenir Next"/>
          <w:b w:val="0"/>
          <w:i w:val="0"/>
          <w:color w:val="000000"/>
          <w:sz w:val="25"/>
        </w:rPr>
        <w:t>Counter-position</w:t>
      </w:r>
    </w:p>
    <w:p>
      <w:pPr>
        <w:spacing w:after="140" w:line="324" w:lineRule="auto"/>
      </w:pPr>
      <w:r>
        <w:rPr>
          <w:rFonts w:ascii="Avenir Next" w:hAnsi="Avenir Next" w:cs="Avenir Next"/>
          <w:b w:val="0"/>
          <w:i w:val="0"/>
          <w:color w:val="000000"/>
          <w:sz w:val="25"/>
        </w:rPr>
        <w:t>"Growth that funds public health is itself a health investment."</w:t>
      </w:r>
    </w:p>
    <w:p>
      <w:pPr>
        <w:spacing w:after="140" w:line="324" w:lineRule="auto"/>
      </w:pPr>
      <w:r>
        <w:rPr>
          <w:rFonts w:ascii="Avenir Next" w:hAnsi="Avenir Next" w:cs="Avenir Next"/>
          <w:b w:val="0"/>
          <w:i w:val="0"/>
          <w:color w:val="000000"/>
          <w:sz w:val="25"/>
        </w:rPr>
        <w:t>06 South · Andaman SDG 14 · OCEAN</w:t>
      </w:r>
    </w:p>
    <w:p>
      <w:pPr>
        <w:spacing w:after="140" w:line="324" w:lineRule="auto"/>
      </w:pPr>
      <w:r>
        <w:rPr>
          <w:rFonts w:ascii="Avenir Next" w:hAnsi="Avenir Next" w:cs="Avenir Next"/>
          <w:b w:val="0"/>
          <w:i w:val="0"/>
          <w:color w:val="000000"/>
          <w:sz w:val="25"/>
        </w:rPr>
        <w:t>The Reef and the Tide</w:t>
      </w:r>
    </w:p>
    <w:p>
      <w:pPr>
        <w:spacing w:after="140" w:line="324" w:lineRule="auto"/>
      </w:pPr>
      <w:r>
        <w:rPr>
          <w:rFonts w:ascii="Avenir Next" w:hAnsi="Avenir Next" w:cs="Avenir Next"/>
          <w:b w:val="0"/>
          <w:i w:val="0"/>
          <w:color w:val="000000"/>
          <w:sz w:val="25"/>
        </w:rPr>
        <w:t>Tourism revenue vs. marine recovery — when a temporary closure of a famous reef would let coral recover but cost thousands of livelihoods, who decides and on what time horizon?</w:t>
      </w:r>
    </w:p>
    <w:p>
      <w:pPr>
        <w:spacing w:after="140" w:line="324" w:lineRule="auto"/>
      </w:pPr>
      <w:r>
        <w:rPr>
          <w:rFonts w:ascii="Avenir Next" w:hAnsi="Avenir Next" w:cs="Avenir Next"/>
          <w:b w:val="0"/>
          <w:i w:val="0"/>
          <w:color w:val="000000"/>
          <w:sz w:val="25"/>
        </w:rPr>
        <w:t>Authentic context</w:t>
      </w:r>
    </w:p>
    <w:p>
      <w:pPr>
        <w:spacing w:after="140" w:line="324" w:lineRule="auto"/>
      </w:pPr>
      <w:r>
        <w:rPr>
          <w:rFonts w:ascii="Avenir Next" w:hAnsi="Avenir Next" w:cs="Avenir Next"/>
          <w:b w:val="0"/>
          <w:i w:val="0"/>
          <w:color w:val="000000"/>
          <w:sz w:val="25"/>
        </w:rPr>
        <w:t>Department of Marine and Coastal Resources, Phi Phi tour operators, marine biologists, hotel SME associations.</w:t>
      </w:r>
    </w:p>
    <w:p>
      <w:pPr>
        <w:spacing w:after="140" w:line="324" w:lineRule="auto"/>
      </w:pPr>
      <w:r>
        <w:rPr>
          <w:rFonts w:ascii="Avenir Next" w:hAnsi="Avenir Next" w:cs="Avenir Next"/>
          <w:b w:val="0"/>
          <w:i w:val="0"/>
          <w:color w:val="000000"/>
          <w:sz w:val="25"/>
        </w:rPr>
        <w:t>Bloom focus</w:t>
      </w:r>
    </w:p>
    <w:p>
      <w:pPr>
        <w:spacing w:after="140" w:line="324" w:lineRule="auto"/>
      </w:pPr>
      <w:r>
        <w:rPr>
          <w:rFonts w:ascii="Avenir Next" w:hAnsi="Avenir Next" w:cs="Avenir Next"/>
          <w:b w:val="0"/>
          <w:i w:val="0"/>
          <w:color w:val="000000"/>
          <w:sz w:val="25"/>
        </w:rPr>
        <w:t>Evaluate · Create</w:t>
      </w:r>
    </w:p>
    <w:p>
      <w:pPr>
        <w:spacing w:after="140" w:line="324" w:lineRule="auto"/>
      </w:pPr>
      <w:r>
        <w:rPr>
          <w:rFonts w:ascii="Avenir Next" w:hAnsi="Avenir Next" w:cs="Avenir Next"/>
          <w:b w:val="0"/>
          <w:i w:val="0"/>
          <w:color w:val="000000"/>
          <w:sz w:val="25"/>
        </w:rPr>
        <w:t>Key dossier figures</w:t>
      </w:r>
    </w:p>
    <w:p>
      <w:pPr>
        <w:spacing w:after="140" w:line="324" w:lineRule="auto"/>
      </w:pPr>
      <w:r>
        <w:rPr>
          <w:rFonts w:ascii="Avenir Next" w:hAnsi="Avenir Next" w:cs="Avenir Next"/>
          <w:b w:val="0"/>
          <w:i w:val="0"/>
          <w:color w:val="000000"/>
          <w:sz w:val="25"/>
        </w:rPr>
        <w:t>Coral cover %, visitor counts, livelihood-impact ranges.</w:t>
      </w:r>
    </w:p>
    <w:p>
      <w:pPr>
        <w:spacing w:after="140" w:line="324" w:lineRule="auto"/>
      </w:pPr>
      <w:r>
        <w:rPr>
          <w:rFonts w:ascii="Avenir Next" w:hAnsi="Avenir Next" w:cs="Avenir Next"/>
          <w:b w:val="0"/>
          <w:i w:val="0"/>
          <w:color w:val="000000"/>
          <w:sz w:val="25"/>
        </w:rPr>
        <w:t>Counter-position</w:t>
      </w:r>
    </w:p>
    <w:p>
      <w:pPr>
        <w:spacing w:after="140" w:line="324" w:lineRule="auto"/>
      </w:pPr>
      <w:r>
        <w:rPr>
          <w:rFonts w:ascii="Avenir Next" w:hAnsi="Avenir Next" w:cs="Avenir Next"/>
          <w:b w:val="0"/>
          <w:i w:val="0"/>
          <w:color w:val="000000"/>
          <w:sz w:val="25"/>
        </w:rPr>
        <w:t>"Permanent closure punishes the community for tourist behaviour."</w:t>
      </w:r>
    </w:p>
    <w:p>
      <w:pPr>
        <w:spacing w:after="140" w:line="324" w:lineRule="auto"/>
      </w:pPr>
      <w:r>
        <w:rPr>
          <w:rFonts w:ascii="Avenir Next" w:hAnsi="Avenir Next" w:cs="Avenir Next"/>
          <w:b w:val="0"/>
          <w:i w:val="0"/>
          <w:color w:val="000000"/>
          <w:sz w:val="25"/>
        </w:rPr>
        <w:t>Authoring discipline Every dossier figure is from a published Thai source (NESDB, GISTDA, DMCR, MOE, etc.) or is presented as an illustrative range rather than a precise number. The platform does not fabricate statistics. The four stakeholder dispatch videos per mission feature real-Thai voice actors performing real-context monologues authored from publicly-available stakeholder statements.</w:t>
      </w:r>
    </w:p>
    <w:p>
      <w:pPr>
        <w:spacing w:before="320" w:after="140"/>
        <w:pBdr>
          <w:bottom w:val="single" w:sz="6" w:space="4" w:color="C9A961"/>
        </w:pBdr>
      </w:pPr>
      <w:r>
        <w:rPr>
          <w:rFonts w:ascii="Baskerville" w:hAnsi="Baskerville" w:cs="Baskerville"/>
          <w:b w:val="0"/>
          <w:i w:val="0"/>
          <w:color w:val="9C6F1C"/>
          <w:sz w:val="33"/>
        </w:rPr>
        <w:t>The 5-stage mission arc</w:t>
      </w:r>
    </w:p>
    <w:p>
      <w:pPr>
        <w:spacing w:after="140" w:line="324" w:lineRule="auto"/>
      </w:pPr>
      <w:r>
        <w:rPr>
          <w:rFonts w:ascii="Avenir Next" w:hAnsi="Avenir Next" w:cs="Avenir Next"/>
          <w:b w:val="0"/>
          <w:i w:val="0"/>
          <w:color w:val="000000"/>
          <w:sz w:val="25"/>
        </w:rPr>
        <w:t>วงจรการเรียนรู้ ๕ ระยะ</w:t>
      </w:r>
    </w:p>
    <w:p>
      <w:pPr>
        <w:spacing w:after="140" w:line="324" w:lineRule="auto"/>
      </w:pPr>
      <w:r>
        <w:rPr>
          <w:rFonts w:ascii="Avenir Next" w:hAnsi="Avenir Next" w:cs="Avenir Next"/>
          <w:b w:val="0"/>
          <w:i w:val="0"/>
          <w:color w:val="000000"/>
          <w:sz w:val="25"/>
        </w:rPr>
        <w:t>Every mission, every region, runs the same arc. The structure is a mastery spiral — not a linear textbook chapter — and each stage is anchored to a level of Bloom's revised taxonomy.</w:t>
      </w:r>
    </w:p>
    <w:p>
      <w:pPr>
        <w:spacing w:before="320" w:after="140"/>
        <w:pBdr>
          <w:bottom w:val="single" w:sz="6" w:space="4" w:color="C9A961"/>
        </w:pBdr>
      </w:pPr>
      <w:r>
        <w:rPr>
          <w:rFonts w:ascii="Baskerville" w:hAnsi="Baskerville" w:cs="Baskerville"/>
          <w:b w:val="0"/>
          <w:i w:val="0"/>
          <w:color w:val="9C6F1C"/>
          <w:sz w:val="33"/>
        </w:rPr>
        <w:t>The arc, end to end</w:t>
      </w:r>
    </w:p>
    <w:p>
      <w:pPr>
        <w:spacing w:after="140" w:line="324" w:lineRule="auto"/>
      </w:pPr>
      <w:r>
        <w:rPr>
          <w:rFonts w:ascii="Avenir Next" w:hAnsi="Avenir Next" w:cs="Avenir Next"/>
          <w:b w:val="0"/>
          <w:i w:val="0"/>
          <w:color w:val="000000"/>
          <w:sz w:val="25"/>
        </w:rPr>
        <w:t>BRIEF</w:t>
      </w:r>
    </w:p>
    <w:p>
      <w:pPr>
        <w:spacing w:after="140" w:line="324" w:lineRule="auto"/>
      </w:pPr>
      <w:r>
        <w:rPr>
          <w:rFonts w:ascii="Avenir Next" w:hAnsi="Avenir Next" w:cs="Avenir Next"/>
          <w:b w:val="0"/>
          <w:i w:val="0"/>
          <w:color w:val="000000"/>
          <w:sz w:val="25"/>
        </w:rPr>
        <w:t>Remember / Understand</w:t>
      </w:r>
    </w:p>
    <w:p>
      <w:pPr>
        <w:spacing w:after="140" w:line="324" w:lineRule="auto"/>
      </w:pPr>
      <w:r>
        <w:rPr>
          <w:rFonts w:ascii="Avenir Next" w:hAnsi="Avenir Next" w:cs="Avenir Next"/>
          <w:b w:val="0"/>
          <w:i w:val="0"/>
          <w:color w:val="000000"/>
          <w:sz w:val="25"/>
        </w:rPr>
        <w:t>absorb the situation</w:t>
      </w:r>
    </w:p>
    <w:p>
      <w:pPr>
        <w:spacing w:after="140" w:line="324" w:lineRule="auto"/>
      </w:pPr>
      <w:r>
        <w:rPr>
          <w:rFonts w:ascii="Avenir Next" w:hAnsi="Avenir Next" w:cs="Avenir Next"/>
          <w:b w:val="0"/>
          <w:i w:val="0"/>
          <w:color w:val="000000"/>
          <w:sz w:val="25"/>
        </w:rPr>
        <w:t>PROBE</w:t>
      </w:r>
    </w:p>
    <w:p>
      <w:pPr>
        <w:spacing w:after="140" w:line="324" w:lineRule="auto"/>
      </w:pPr>
      <w:r>
        <w:rPr>
          <w:rFonts w:ascii="Avenir Next" w:hAnsi="Avenir Next" w:cs="Avenir Next"/>
          <w:b w:val="0"/>
          <w:i w:val="0"/>
          <w:color w:val="000000"/>
          <w:sz w:val="25"/>
        </w:rPr>
        <w:t>Analyze</w:t>
      </w:r>
    </w:p>
    <w:p>
      <w:pPr>
        <w:spacing w:after="140" w:line="324" w:lineRule="auto"/>
      </w:pPr>
      <w:r>
        <w:rPr>
          <w:rFonts w:ascii="Avenir Next" w:hAnsi="Avenir Next" w:cs="Avenir Next"/>
          <w:b w:val="0"/>
          <w:i w:val="0"/>
          <w:color w:val="000000"/>
          <w:sz w:val="25"/>
        </w:rPr>
        <w:t>question the sources</w:t>
      </w:r>
    </w:p>
    <w:p>
      <w:pPr>
        <w:spacing w:after="140" w:line="324" w:lineRule="auto"/>
      </w:pPr>
      <w:r>
        <w:rPr>
          <w:rFonts w:ascii="Avenir Next" w:hAnsi="Avenir Next" w:cs="Avenir Next"/>
          <w:b w:val="0"/>
          <w:i w:val="0"/>
          <w:color w:val="000000"/>
          <w:sz w:val="25"/>
        </w:rPr>
        <w:t>DECIDE</w:t>
      </w:r>
    </w:p>
    <w:p>
      <w:pPr>
        <w:spacing w:after="140" w:line="324" w:lineRule="auto"/>
      </w:pPr>
      <w:r>
        <w:rPr>
          <w:rFonts w:ascii="Avenir Next" w:hAnsi="Avenir Next" w:cs="Avenir Next"/>
          <w:b w:val="0"/>
          <w:i w:val="0"/>
          <w:color w:val="000000"/>
          <w:sz w:val="25"/>
        </w:rPr>
        <w:t>Evaluate</w:t>
      </w:r>
    </w:p>
    <w:p>
      <w:pPr>
        <w:spacing w:after="140" w:line="324" w:lineRule="auto"/>
      </w:pPr>
      <w:r>
        <w:rPr>
          <w:rFonts w:ascii="Avenir Next" w:hAnsi="Avenir Next" w:cs="Avenir Next"/>
          <w:b w:val="0"/>
          <w:i w:val="0"/>
          <w:color w:val="000000"/>
          <w:sz w:val="25"/>
        </w:rPr>
        <w:t>choose under trade-off</w:t>
      </w:r>
    </w:p>
    <w:p>
      <w:pPr>
        <w:spacing w:after="140" w:line="324" w:lineRule="auto"/>
      </w:pPr>
      <w:r>
        <w:rPr>
          <w:rFonts w:ascii="Avenir Next" w:hAnsi="Avenir Next" w:cs="Avenir Next"/>
          <w:b w:val="0"/>
          <w:i w:val="0"/>
          <w:color w:val="000000"/>
          <w:sz w:val="25"/>
        </w:rPr>
        <w:t>ACT</w:t>
      </w:r>
    </w:p>
    <w:p>
      <w:pPr>
        <w:spacing w:after="140" w:line="324" w:lineRule="auto"/>
      </w:pPr>
      <w:r>
        <w:rPr>
          <w:rFonts w:ascii="Avenir Next" w:hAnsi="Avenir Next" w:cs="Avenir Next"/>
          <w:b w:val="0"/>
          <w:i w:val="0"/>
          <w:color w:val="000000"/>
          <w:sz w:val="25"/>
        </w:rPr>
        <w:t>Apply</w:t>
      </w:r>
    </w:p>
    <w:p>
      <w:pPr>
        <w:spacing w:after="140" w:line="324" w:lineRule="auto"/>
      </w:pPr>
      <w:r>
        <w:rPr>
          <w:rFonts w:ascii="Avenir Next" w:hAnsi="Avenir Next" w:cs="Avenir Next"/>
          <w:b w:val="0"/>
          <w:i w:val="0"/>
          <w:color w:val="000000"/>
          <w:sz w:val="25"/>
        </w:rPr>
        <w:t>communicate the decision</w:t>
      </w:r>
    </w:p>
    <w:p>
      <w:pPr>
        <w:spacing w:after="140" w:line="324" w:lineRule="auto"/>
      </w:pPr>
      <w:r>
        <w:rPr>
          <w:rFonts w:ascii="Avenir Next" w:hAnsi="Avenir Next" w:cs="Avenir Next"/>
          <w:b w:val="0"/>
          <w:i w:val="0"/>
          <w:color w:val="000000"/>
          <w:sz w:val="25"/>
        </w:rPr>
        <w:t>DEBRIEF</w:t>
      </w:r>
    </w:p>
    <w:p>
      <w:pPr>
        <w:spacing w:after="140" w:line="324" w:lineRule="auto"/>
      </w:pPr>
      <w:r>
        <w:rPr>
          <w:rFonts w:ascii="Avenir Next" w:hAnsi="Avenir Next" w:cs="Avenir Next"/>
          <w:b w:val="0"/>
          <w:i w:val="0"/>
          <w:color w:val="000000"/>
          <w:sz w:val="25"/>
        </w:rPr>
        <w:t>Metacognition</w:t>
      </w:r>
    </w:p>
    <w:p>
      <w:pPr>
        <w:spacing w:after="140" w:line="324" w:lineRule="auto"/>
      </w:pPr>
      <w:r>
        <w:rPr>
          <w:rFonts w:ascii="Avenir Next" w:hAnsi="Avenir Next" w:cs="Avenir Next"/>
          <w:b w:val="0"/>
          <w:i w:val="0"/>
          <w:color w:val="000000"/>
          <w:sz w:val="25"/>
        </w:rPr>
        <w:t>reflect on consequence</w:t>
      </w:r>
    </w:p>
    <w:p>
      <w:pPr>
        <w:spacing w:before="200" w:after="60"/>
      </w:pPr>
      <w:r>
        <w:rPr>
          <w:rFonts w:ascii="Baskerville" w:hAnsi="Baskerville" w:cs="Baskerville"/>
          <w:b/>
          <w:i w:val="0"/>
          <w:color w:val="000000"/>
          <w:sz w:val="27"/>
        </w:rPr>
        <w:t>BRIEF — absorb the situation</w:t>
      </w:r>
    </w:p>
    <w:p>
      <w:pPr>
        <w:spacing w:after="140" w:line="324" w:lineRule="auto"/>
      </w:pPr>
      <w:r>
        <w:rPr>
          <w:rFonts w:ascii="Avenir Next" w:hAnsi="Avenir Next" w:cs="Avenir Next"/>
          <w:b w:val="0"/>
          <w:i w:val="0"/>
          <w:color w:val="000000"/>
          <w:sz w:val="25"/>
        </w:rPr>
        <w:t>The mission opens with the dossier delivered at the learner's CEFR tier. Same facts, different language. Four stakeholder dispatch videos play in any order. The learner is expected to surface the tension and whose interests it pits — not just summarise.</w:t>
      </w:r>
    </w:p>
    <w:p>
      <w:pPr>
        <w:spacing w:before="200" w:after="60"/>
      </w:pPr>
      <w:r>
        <w:rPr>
          <w:rFonts w:ascii="Baskerville" w:hAnsi="Baskerville" w:cs="Baskerville"/>
          <w:b/>
          <w:i w:val="0"/>
          <w:color w:val="000000"/>
          <w:sz w:val="27"/>
        </w:rPr>
        <w:t>PROBE — question the sources</w:t>
      </w:r>
    </w:p>
    <w:p>
      <w:pPr>
        <w:spacing w:after="140" w:line="324" w:lineRule="auto"/>
      </w:pPr>
      <w:r>
        <w:rPr>
          <w:rFonts w:ascii="Avenir Next" w:hAnsi="Avenir Next" w:cs="Avenir Next"/>
          <w:b w:val="0"/>
          <w:i w:val="0"/>
          <w:color w:val="000000"/>
          <w:sz w:val="25"/>
        </w:rPr>
        <w:t>The learner is asked to evaluate source provenance (recency, methodology, conflict of interest) across the dossier. The AI Judge looks for whether the learner trusts the loudest voice or weighs provenance signals.</w:t>
      </w:r>
    </w:p>
    <w:p>
      <w:pPr>
        <w:spacing w:before="200" w:after="60"/>
      </w:pPr>
      <w:r>
        <w:rPr>
          <w:rFonts w:ascii="Baskerville" w:hAnsi="Baskerville" w:cs="Baskerville"/>
          <w:b/>
          <w:i w:val="0"/>
          <w:color w:val="000000"/>
          <w:sz w:val="27"/>
        </w:rPr>
        <w:t>DECIDE — choose under trade-off</w:t>
      </w:r>
    </w:p>
    <w:p>
      <w:pPr>
        <w:spacing w:after="140" w:line="324" w:lineRule="auto"/>
      </w:pPr>
      <w:r>
        <w:rPr>
          <w:rFonts w:ascii="Avenir Next" w:hAnsi="Avenir Next" w:cs="Avenir Next"/>
          <w:b w:val="0"/>
          <w:i w:val="0"/>
          <w:color w:val="000000"/>
          <w:sz w:val="25"/>
        </w:rPr>
        <w:t xml:space="preserve">The highest-stakes stage. A real trade-off is presented; the learner commits to a position with confidence calibration. A </w:t>
      </w:r>
      <w:r>
        <w:rPr>
          <w:rFonts w:ascii="Avenir Next" w:hAnsi="Avenir Next" w:cs="Avenir Next"/>
          <w:b/>
          <w:i w:val="0"/>
          <w:color w:val="000000"/>
          <w:sz w:val="25"/>
        </w:rPr>
        <w:t>deliberate confidence trap</w:t>
      </w:r>
      <w:r>
        <w:rPr>
          <w:rFonts w:ascii="Avenir Next" w:hAnsi="Avenir Next" w:cs="Avenir Next"/>
          <w:b w:val="0"/>
          <w:i w:val="0"/>
          <w:color w:val="000000"/>
          <w:sz w:val="25"/>
        </w:rPr>
        <w:t xml:space="preserve"> rewards calibrated humility and penalises overclaim — modelling intellectual humility in line with Vygotsky's productive struggle.</w:t>
      </w:r>
    </w:p>
    <w:p>
      <w:pPr>
        <w:spacing w:after="140" w:line="324" w:lineRule="auto"/>
      </w:pPr>
      <w:r>
        <w:rPr>
          <w:rFonts w:ascii="Avenir Next" w:hAnsi="Avenir Next" w:cs="Avenir Next"/>
          <w:b w:val="0"/>
          <w:i w:val="0"/>
          <w:color w:val="000000"/>
          <w:sz w:val="25"/>
        </w:rPr>
        <w:t>The confidence trap At DECIDE, the AI Judge does not score "correctness." It scores calibration. A learner who commits to a position with 100% confidence on weak evidence loses tokens; a learner who commits with 70% confidence and names the residual uncertainty scores higher. This is the most-asked-about feature by judges, and it is the architectural reason the platform does not collapse into "guess what the AI wants."</w:t>
      </w:r>
    </w:p>
    <w:p>
      <w:pPr>
        <w:spacing w:before="200" w:after="60"/>
      </w:pPr>
      <w:r>
        <w:rPr>
          <w:rFonts w:ascii="Baskerville" w:hAnsi="Baskerville" w:cs="Baskerville"/>
          <w:b/>
          <w:i w:val="0"/>
          <w:color w:val="000000"/>
          <w:sz w:val="27"/>
        </w:rPr>
        <w:t>ACT — communicate the decision</w:t>
      </w:r>
    </w:p>
    <w:p>
      <w:pPr>
        <w:spacing w:after="140" w:line="324" w:lineRule="auto"/>
      </w:pPr>
      <w:r>
        <w:rPr>
          <w:rFonts w:ascii="Avenir Next" w:hAnsi="Avenir Next" w:cs="Avenir Next"/>
          <w:b w:val="0"/>
          <w:i w:val="0"/>
          <w:color w:val="000000"/>
          <w:sz w:val="25"/>
        </w:rPr>
        <w:t>The learner writes (or speaks) the decision to a specified audience — sometimes a community elder, sometimes a hostile policy panel, sometimes a hesitant SME. The Bloom level is Apply because the same reasoning must be re-cast across registers.</w:t>
      </w:r>
    </w:p>
    <w:p>
      <w:pPr>
        <w:spacing w:before="200" w:after="60"/>
      </w:pPr>
      <w:r>
        <w:rPr>
          <w:rFonts w:ascii="Baskerville" w:hAnsi="Baskerville" w:cs="Baskerville"/>
          <w:b/>
          <w:i w:val="0"/>
          <w:color w:val="000000"/>
          <w:sz w:val="27"/>
        </w:rPr>
        <w:t>DEBRIEF — reflect on consequence</w:t>
      </w:r>
    </w:p>
    <w:p>
      <w:pPr>
        <w:spacing w:after="140" w:line="324" w:lineRule="auto"/>
      </w:pPr>
      <w:r>
        <w:rPr>
          <w:rFonts w:ascii="Avenir Next" w:hAnsi="Avenir Next" w:cs="Avenir Next"/>
          <w:b w:val="0"/>
          <w:i w:val="0"/>
          <w:color w:val="000000"/>
          <w:sz w:val="25"/>
        </w:rPr>
        <w:t>The strongest counter-position from PROBE returns, generated by the AI. The learner refines, refutes, or revises. Genuine revision scores higher than restatement. The DEBRIEF result drives the mission composite that awards the SDG Keystone.</w:t>
      </w:r>
    </w:p>
    <w:p>
      <w:pPr>
        <w:spacing w:before="320" w:after="140"/>
        <w:pBdr>
          <w:bottom w:val="single" w:sz="6" w:space="4" w:color="C9A961"/>
        </w:pBdr>
      </w:pPr>
      <w:r>
        <w:rPr>
          <w:rFonts w:ascii="Baskerville" w:hAnsi="Baskerville" w:cs="Baskerville"/>
          <w:b w:val="0"/>
          <w:i w:val="0"/>
          <w:color w:val="9C6F1C"/>
          <w:sz w:val="33"/>
        </w:rPr>
        <w:t>Coach to the stage, not the Bloom level</w:t>
      </w:r>
    </w:p>
    <w:p>
      <w:pPr>
        <w:spacing w:after="140" w:line="324" w:lineRule="auto"/>
      </w:pPr>
      <w:r>
        <w:rPr>
          <w:rFonts w:ascii="Avenir Next" w:hAnsi="Avenir Next" w:cs="Avenir Next"/>
          <w:b w:val="0"/>
          <w:i w:val="0"/>
          <w:color w:val="000000"/>
          <w:sz w:val="25"/>
        </w:rPr>
        <w:t>A teacher walking between teams during a mission should coach to the stage in front of them. Some recipes for stage-specific intervention:</w:t>
      </w:r>
    </w:p>
    <w:tbl>
      <w:tblPr>
        <w:tblW w:type="auto" w:w="0"/>
        <w:jc w:val="left"/>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4706"/>
        <w:gridCol w:w="4706"/>
      </w:tblGrid>
      <w:tr>
        <w:tc>
          <w:tcPr>
            <w:tcW w:type="dxa" w:w="4706"/>
            <w:shd w:val="clear" w:color="auto" w:fill="F4F1EA"/>
          </w:tcPr>
          <w:p>
            <w:pPr>
              <w:spacing w:after="20"/>
            </w:pPr>
            <w:r>
              <w:rPr>
                <w:rFonts w:ascii="Menlo" w:hAnsi="Menlo" w:cs="Menlo"/>
                <w:b/>
                <w:i w:val="0"/>
                <w:color w:val="9C6F1C"/>
                <w:sz w:val="16"/>
                <w:spacing w:val="16"/>
              </w:rPr>
              <w:t>IF YOU SEE…</w:t>
            </w:r>
          </w:p>
        </w:tc>
        <w:tc>
          <w:tcPr>
            <w:tcW w:type="dxa" w:w="4706"/>
            <w:shd w:val="clear" w:color="auto" w:fill="F4F1EA"/>
          </w:tcPr>
          <w:p>
            <w:pPr>
              <w:spacing w:after="20"/>
            </w:pPr>
            <w:r>
              <w:rPr>
                <w:rFonts w:ascii="Menlo" w:hAnsi="Menlo" w:cs="Menlo"/>
                <w:b/>
                <w:i w:val="0"/>
                <w:color w:val="9C6F1C"/>
                <w:sz w:val="16"/>
                <w:spacing w:val="16"/>
              </w:rPr>
              <w:t>TRY THIS PROMPT</w:t>
            </w:r>
          </w:p>
        </w:tc>
      </w:tr>
      <w:tr>
        <w:tc>
          <w:tcPr>
            <w:tcW w:type="dxa" w:w="4706"/>
          </w:tcPr>
          <w:p>
            <w:pPr>
              <w:spacing w:after="20" w:line="300" w:lineRule="auto"/>
            </w:pPr>
            <w:r>
              <w:rPr>
                <w:rFonts w:ascii="Avenir Next" w:hAnsi="Avenir Next" w:cs="Avenir Next"/>
                <w:b w:val="0"/>
                <w:i w:val="0"/>
                <w:color w:val="000000"/>
                <w:sz w:val="21"/>
              </w:rPr>
              <w:t>BRIEF · team summarising not analysing</w:t>
            </w:r>
          </w:p>
        </w:tc>
        <w:tc>
          <w:tcPr>
            <w:tcW w:type="dxa" w:w="4706"/>
          </w:tcPr>
          <w:p>
            <w:pPr>
              <w:spacing w:after="20" w:line="300" w:lineRule="auto"/>
            </w:pPr>
            <w:r>
              <w:rPr>
                <w:rFonts w:ascii="Avenir Next" w:hAnsi="Avenir Next" w:cs="Avenir Next"/>
                <w:b w:val="0"/>
                <w:i w:val="0"/>
                <w:color w:val="000000"/>
                <w:sz w:val="21"/>
              </w:rPr>
              <w:t>"Whose interests does this pit against whose? Say it in one sentence."</w:t>
            </w:r>
          </w:p>
        </w:tc>
      </w:tr>
      <w:tr>
        <w:tc>
          <w:tcPr>
            <w:tcW w:type="dxa" w:w="4706"/>
          </w:tcPr>
          <w:p>
            <w:pPr>
              <w:spacing w:after="20" w:line="300" w:lineRule="auto"/>
            </w:pPr>
            <w:r>
              <w:rPr>
                <w:rFonts w:ascii="Avenir Next" w:hAnsi="Avenir Next" w:cs="Avenir Next"/>
                <w:b w:val="0"/>
                <w:i w:val="0"/>
                <w:color w:val="000000"/>
                <w:sz w:val="21"/>
              </w:rPr>
              <w:t>PROBE · team treating all sources as equal</w:t>
            </w:r>
          </w:p>
        </w:tc>
        <w:tc>
          <w:tcPr>
            <w:tcW w:type="dxa" w:w="4706"/>
          </w:tcPr>
          <w:p>
            <w:pPr>
              <w:spacing w:after="20" w:line="300" w:lineRule="auto"/>
            </w:pPr>
            <w:r>
              <w:rPr>
                <w:rFonts w:ascii="Avenir Next" w:hAnsi="Avenir Next" w:cs="Avenir Next"/>
                <w:b w:val="0"/>
                <w:i w:val="0"/>
                <w:color w:val="000000"/>
                <w:sz w:val="21"/>
              </w:rPr>
              <w:t>"Which source has the most to lose from each version of the answer?"</w:t>
            </w:r>
          </w:p>
        </w:tc>
      </w:tr>
      <w:tr>
        <w:tc>
          <w:tcPr>
            <w:tcW w:type="dxa" w:w="4706"/>
          </w:tcPr>
          <w:p>
            <w:pPr>
              <w:spacing w:after="20" w:line="300" w:lineRule="auto"/>
            </w:pPr>
            <w:r>
              <w:rPr>
                <w:rFonts w:ascii="Avenir Next" w:hAnsi="Avenir Next" w:cs="Avenir Next"/>
                <w:b w:val="0"/>
                <w:i w:val="0"/>
                <w:color w:val="000000"/>
                <w:sz w:val="21"/>
              </w:rPr>
              <w:t>DECIDE · team overclaiming</w:t>
            </w:r>
          </w:p>
        </w:tc>
        <w:tc>
          <w:tcPr>
            <w:tcW w:type="dxa" w:w="4706"/>
          </w:tcPr>
          <w:p>
            <w:pPr>
              <w:spacing w:after="20" w:line="300" w:lineRule="auto"/>
            </w:pPr>
            <w:r>
              <w:rPr>
                <w:rFonts w:ascii="Avenir Next" w:hAnsi="Avenir Next" w:cs="Avenir Next"/>
                <w:b w:val="0"/>
                <w:i w:val="0"/>
                <w:color w:val="000000"/>
                <w:sz w:val="21"/>
              </w:rPr>
              <w:t>"What's the strongest case against what you just committed to?"</w:t>
            </w:r>
          </w:p>
        </w:tc>
      </w:tr>
      <w:tr>
        <w:tc>
          <w:tcPr>
            <w:tcW w:type="dxa" w:w="4706"/>
          </w:tcPr>
          <w:p>
            <w:pPr>
              <w:spacing w:after="20" w:line="300" w:lineRule="auto"/>
            </w:pPr>
            <w:r>
              <w:rPr>
                <w:rFonts w:ascii="Avenir Next" w:hAnsi="Avenir Next" w:cs="Avenir Next"/>
                <w:b w:val="0"/>
                <w:i w:val="0"/>
                <w:color w:val="000000"/>
                <w:sz w:val="21"/>
              </w:rPr>
              <w:t>ACT · communication too generic</w:t>
            </w:r>
          </w:p>
        </w:tc>
        <w:tc>
          <w:tcPr>
            <w:tcW w:type="dxa" w:w="4706"/>
          </w:tcPr>
          <w:p>
            <w:pPr>
              <w:spacing w:after="20" w:line="300" w:lineRule="auto"/>
            </w:pPr>
            <w:r>
              <w:rPr>
                <w:rFonts w:ascii="Avenir Next" w:hAnsi="Avenir Next" w:cs="Avenir Next"/>
                <w:b w:val="0"/>
                <w:i w:val="0"/>
                <w:color w:val="000000"/>
                <w:sz w:val="21"/>
              </w:rPr>
              <w:t>"Read your draft as if you were the audience. What would you push back on?"</w:t>
            </w:r>
          </w:p>
        </w:tc>
      </w:tr>
      <w:tr>
        <w:tc>
          <w:tcPr>
            <w:tcW w:type="dxa" w:w="4706"/>
          </w:tcPr>
          <w:p>
            <w:pPr>
              <w:spacing w:after="20" w:line="300" w:lineRule="auto"/>
            </w:pPr>
            <w:r>
              <w:rPr>
                <w:rFonts w:ascii="Avenir Next" w:hAnsi="Avenir Next" w:cs="Avenir Next"/>
                <w:b w:val="0"/>
                <w:i w:val="0"/>
                <w:color w:val="000000"/>
                <w:sz w:val="21"/>
              </w:rPr>
              <w:t>DEBRIEF · team capitulating to the counter</w:t>
            </w:r>
          </w:p>
        </w:tc>
        <w:tc>
          <w:tcPr>
            <w:tcW w:type="dxa" w:w="4706"/>
          </w:tcPr>
          <w:p>
            <w:pPr>
              <w:spacing w:after="20" w:line="300" w:lineRule="auto"/>
            </w:pPr>
            <w:r>
              <w:rPr>
                <w:rFonts w:ascii="Avenir Next" w:hAnsi="Avenir Next" w:cs="Avenir Next"/>
                <w:b w:val="0"/>
                <w:i w:val="0"/>
                <w:color w:val="000000"/>
                <w:sz w:val="21"/>
              </w:rPr>
              <w:t>"You don't have to abandon the position — refine it. What did the counter get right?"</w:t>
            </w:r>
          </w:p>
        </w:tc>
      </w:tr>
    </w:tbl>
    <w:p>
      <w:pPr>
        <w:spacing w:before="320" w:after="140"/>
        <w:pBdr>
          <w:bottom w:val="single" w:sz="6" w:space="4" w:color="C9A961"/>
        </w:pBdr>
      </w:pPr>
      <w:r>
        <w:rPr>
          <w:rFonts w:ascii="Baskerville" w:hAnsi="Baskerville" w:cs="Baskerville"/>
          <w:b w:val="0"/>
          <w:i w:val="0"/>
          <w:color w:val="9C6F1C"/>
          <w:sz w:val="33"/>
        </w:rPr>
        <w:t>AI-enhanced features</w:t>
      </w:r>
    </w:p>
    <w:p>
      <w:pPr>
        <w:spacing w:after="140" w:line="324" w:lineRule="auto"/>
      </w:pPr>
      <w:r>
        <w:rPr>
          <w:rFonts w:ascii="Avenir Next" w:hAnsi="Avenir Next" w:cs="Avenir Next"/>
          <w:b w:val="0"/>
          <w:i w:val="0"/>
          <w:color w:val="000000"/>
          <w:sz w:val="25"/>
        </w:rPr>
        <w:t>ฟีเจอร์ที่ขับเคลื่อนด้วย AI</w:t>
      </w:r>
    </w:p>
    <w:p>
      <w:pPr>
        <w:spacing w:after="140" w:line="324" w:lineRule="auto"/>
      </w:pPr>
      <w:r>
        <w:rPr>
          <w:rFonts w:ascii="Avenir Next" w:hAnsi="Avenir Next" w:cs="Avenir Next"/>
          <w:b w:val="0"/>
          <w:i w:val="0"/>
          <w:color w:val="000000"/>
          <w:sz w:val="25"/>
        </w:rPr>
        <w:t>Five named features make the AI side of the platform visible and auditable. Each is bounded by the AI-TPACK rule — AI handles scale and consistency; humans handle authority and cultural judgment.</w:t>
      </w:r>
    </w:p>
    <w:p>
      <w:pPr>
        <w:spacing w:before="320" w:after="140"/>
        <w:pBdr>
          <w:bottom w:val="single" w:sz="6" w:space="4" w:color="C9A961"/>
        </w:pBdr>
      </w:pPr>
      <w:r>
        <w:rPr>
          <w:rFonts w:ascii="Baskerville" w:hAnsi="Baskerville" w:cs="Baskerville"/>
          <w:b w:val="0"/>
          <w:i w:val="0"/>
          <w:color w:val="9C6F1C"/>
          <w:sz w:val="33"/>
        </w:rPr>
        <w:t>Mr Compass · the Socratic Field Mentor</w:t>
      </w:r>
    </w:p>
    <w:p>
      <w:pPr>
        <w:spacing w:after="140" w:line="324" w:lineRule="auto"/>
      </w:pPr>
      <w:r>
        <w:rPr>
          <w:rFonts w:ascii="Avenir Next" w:hAnsi="Avenir Next" w:cs="Avenir Next"/>
          <w:b w:val="0"/>
          <w:i w:val="0"/>
          <w:color w:val="000000"/>
          <w:sz w:val="25"/>
        </w:rPr>
        <w:t xml:space="preserve">Mr Compass is the in-app Field Mentor — a Socratic companion, </w:t>
      </w:r>
      <w:r>
        <w:rPr>
          <w:rFonts w:ascii="Avenir Next" w:hAnsi="Avenir Next" w:cs="Avenir Next"/>
          <w:b/>
          <w:i w:val="0"/>
          <w:color w:val="000000"/>
          <w:sz w:val="25"/>
        </w:rPr>
        <w:t>not</w:t>
      </w:r>
      <w:r>
        <w:rPr>
          <w:rFonts w:ascii="Avenir Next" w:hAnsi="Avenir Next" w:cs="Avenir Next"/>
          <w:b w:val="0"/>
          <w:i w:val="0"/>
          <w:color w:val="000000"/>
          <w:sz w:val="25"/>
        </w:rPr>
        <w:t xml:space="preserve"> a content tutor. Without strict guardrails this kind of chatbot would undermine the entire pedagogical architecture. The system prompt is engineered to:</w:t>
      </w:r>
    </w:p>
    <w:p>
      <w:pPr>
        <w:pStyle w:val="ListBullet"/>
        <w:spacing w:after="60" w:line="312" w:lineRule="auto"/>
      </w:pPr>
      <w:r>
        <w:rPr>
          <w:rFonts w:ascii="Avenir Next" w:hAnsi="Avenir Next" w:cs="Avenir Next"/>
          <w:b w:val="0"/>
          <w:i w:val="0"/>
          <w:color w:val="000000"/>
          <w:sz w:val="25"/>
        </w:rPr>
        <w:t>Ask reflective questions that promote team discussion.</w:t>
      </w:r>
    </w:p>
    <w:p>
      <w:pPr>
        <w:pStyle w:val="ListBullet"/>
        <w:spacing w:after="60" w:line="312" w:lineRule="auto"/>
      </w:pPr>
      <w:r>
        <w:rPr>
          <w:rFonts w:ascii="Avenir Next" w:hAnsi="Avenir Next" w:cs="Avenir Next"/>
          <w:b w:val="0"/>
          <w:i w:val="0"/>
          <w:color w:val="000000"/>
          <w:sz w:val="25"/>
        </w:rPr>
        <w:t>Provide language support only (vocabulary, grammar, register).</w:t>
      </w:r>
    </w:p>
    <w:p>
      <w:pPr>
        <w:pStyle w:val="ListBullet"/>
        <w:spacing w:after="60" w:line="312" w:lineRule="auto"/>
      </w:pPr>
      <w:r>
        <w:rPr>
          <w:rFonts w:ascii="Avenir Next" w:hAnsi="Avenir Next" w:cs="Avenir Next"/>
          <w:b w:val="0"/>
          <w:i w:val="0"/>
          <w:color w:val="000000"/>
          <w:sz w:val="25"/>
        </w:rPr>
        <w:t>Offer encouragement and emotional support.</w:t>
      </w:r>
    </w:p>
    <w:p>
      <w:pPr>
        <w:pStyle w:val="ListBullet"/>
        <w:spacing w:after="60" w:line="312" w:lineRule="auto"/>
      </w:pPr>
      <w:r>
        <w:rPr>
          <w:rFonts w:ascii="Avenir Next" w:hAnsi="Avenir Next" w:cs="Avenir Next"/>
          <w:b w:val="0"/>
          <w:i w:val="0"/>
          <w:color w:val="000000"/>
          <w:sz w:val="25"/>
        </w:rPr>
        <w:t>Suggest which team role might address a question.</w:t>
      </w:r>
    </w:p>
    <w:p>
      <w:pPr>
        <w:pStyle w:val="ListBullet"/>
        <w:spacing w:after="60" w:line="312" w:lineRule="auto"/>
      </w:pPr>
      <w:r>
        <w:rPr>
          <w:rFonts w:ascii="Avenir Next" w:hAnsi="Avenir Next" w:cs="Avenir Next"/>
          <w:b w:val="0"/>
          <w:i w:val="0"/>
          <w:color w:val="000000"/>
          <w:sz w:val="25"/>
        </w:rPr>
        <w:t>Model professional English.</w:t>
      </w:r>
    </w:p>
    <w:p>
      <w:pPr>
        <w:spacing w:after="140" w:line="324" w:lineRule="auto"/>
      </w:pPr>
      <w:r>
        <w:rPr>
          <w:rFonts w:ascii="Avenir Next" w:hAnsi="Avenir Next" w:cs="Avenir Next"/>
          <w:b w:val="0"/>
          <w:i w:val="0"/>
          <w:color w:val="000000"/>
          <w:sz w:val="25"/>
        </w:rPr>
        <w:t xml:space="preserve">Mr Compass </w:t>
      </w:r>
      <w:r>
        <w:rPr>
          <w:rFonts w:ascii="Avenir Next" w:hAnsi="Avenir Next" w:cs="Avenir Next"/>
          <w:b/>
          <w:i w:val="0"/>
          <w:color w:val="000000"/>
          <w:sz w:val="25"/>
        </w:rPr>
        <w:t>cannot</w:t>
      </w:r>
      <w:r>
        <w:rPr>
          <w:rFonts w:ascii="Avenir Next" w:hAnsi="Avenir Next" w:cs="Avenir Next"/>
          <w:b w:val="0"/>
          <w:i w:val="0"/>
          <w:color w:val="000000"/>
          <w:sz w:val="25"/>
        </w:rPr>
        <w:t xml:space="preserve"> give content answers, evaluate decisions, reveal earned-only information, predict consequences, or resolve ethical dilemmas. When asked for any of those, it redirects: "That's something your team needs to work through together. What does your Ethics Officer think?"</w:t>
      </w:r>
    </w:p>
    <w:p>
      <w:pPr>
        <w:spacing w:after="140" w:line="324" w:lineRule="auto"/>
      </w:pPr>
      <w:r>
        <w:rPr>
          <w:rFonts w:ascii="Avenir Next" w:hAnsi="Avenir Next" w:cs="Avenir Next"/>
          <w:b w:val="0"/>
          <w:i w:val="0"/>
          <w:color w:val="000000"/>
          <w:sz w:val="25"/>
        </w:rPr>
        <w:t>Mr Compass conversation panel Three-message exchange: a learner asks for the answer; Mr Compass redirects to the team's Ethics Officer; learner reformulates as a language question; Mr Compass coaches a register shift.</w:t>
      </w:r>
    </w:p>
    <w:p>
      <w:pPr>
        <w:spacing w:after="140" w:line="324" w:lineRule="auto"/>
      </w:pPr>
      <w:r>
        <w:rPr>
          <w:rFonts w:ascii="Avenir Next" w:hAnsi="Avenir Next" w:cs="Avenir Next"/>
          <w:b w:val="0"/>
          <w:i w:val="0"/>
          <w:color w:val="000000"/>
          <w:sz w:val="25"/>
        </w:rPr>
        <w:t>futureproof-sdgs-lab.netlify.app/mission/compass · capture date TBD</w:t>
      </w:r>
    </w:p>
    <w:p>
      <w:pPr>
        <w:spacing w:after="140" w:line="324" w:lineRule="auto"/>
      </w:pPr>
      <w:r>
        <w:rPr>
          <w:rFonts w:ascii="Avenir Next" w:hAnsi="Avenir Next" w:cs="Avenir Next"/>
          <w:b w:val="0"/>
          <w:i w:val="0"/>
          <w:color w:val="000000"/>
          <w:sz w:val="25"/>
        </w:rPr>
        <w:t>Quota Mr Compass enforces ~10 messages per mission per learner. Unlimited use would degrade productive struggle. Language support is always free; strategic questions cost Insight Tokens (Expert Consultant, 15 tokens).</w:t>
      </w:r>
    </w:p>
    <w:p>
      <w:pPr>
        <w:spacing w:before="320" w:after="140"/>
        <w:pBdr>
          <w:bottom w:val="single" w:sz="6" w:space="4" w:color="C9A961"/>
        </w:pBdr>
      </w:pPr>
      <w:r>
        <w:rPr>
          <w:rFonts w:ascii="Baskerville" w:hAnsi="Baskerville" w:cs="Baskerville"/>
          <w:b w:val="0"/>
          <w:i w:val="0"/>
          <w:color w:val="9C6F1C"/>
          <w:sz w:val="33"/>
        </w:rPr>
        <w:t>AI Judges · three formative evaluators</w:t>
      </w:r>
    </w:p>
    <w:p>
      <w:pPr>
        <w:spacing w:after="140" w:line="324" w:lineRule="auto"/>
      </w:pPr>
      <w:r>
        <w:rPr>
          <w:rFonts w:ascii="Avenir Next" w:hAnsi="Avenir Next" w:cs="Avenir Next"/>
          <w:b w:val="0"/>
          <w:i w:val="0"/>
          <w:color w:val="000000"/>
          <w:sz w:val="25"/>
        </w:rPr>
        <w:t xml:space="preserve">Each decision a learner submits during a mission is scored by three AI Judges working from the Rubric B system prompt. The Judges score per stage, per criterion, with </w:t>
      </w:r>
      <w:r>
        <w:rPr>
          <w:rFonts w:ascii="Avenir Next" w:hAnsi="Avenir Next" w:cs="Avenir Next"/>
          <w:b/>
          <w:i w:val="0"/>
          <w:color w:val="000000"/>
          <w:sz w:val="25"/>
        </w:rPr>
        <w:t>1 · 3 · 5</w:t>
      </w:r>
      <w:r>
        <w:rPr>
          <w:rFonts w:ascii="Avenir Next" w:hAnsi="Avenir Next" w:cs="Avenir Next"/>
          <w:b w:val="0"/>
          <w:i w:val="0"/>
          <w:color w:val="000000"/>
          <w:sz w:val="25"/>
        </w:rPr>
        <w:t xml:space="preserve"> bands. Every return must include a specific, actionable growthEdge — a null fails validation and the call retries.</w:t>
      </w:r>
    </w:p>
    <w:p>
      <w:pPr>
        <w:spacing w:after="140" w:line="324" w:lineRule="auto"/>
      </w:pPr>
      <w:r>
        <w:rPr>
          <w:rFonts w:ascii="Avenir Next" w:hAnsi="Avenir Next" w:cs="Avenir Next"/>
          <w:b w:val="0"/>
          <w:i w:val="0"/>
          <w:color w:val="000000"/>
          <w:sz w:val="25"/>
        </w:rPr>
        <w:t>The three Judges differ slightly in instruction-following: one is calibrated stricter on factual grounding, one on language quality, one on ethical reasoning. The engine composes the mission pass-threshold from their combined output. Teacher audit on random-sample basis triggers prompt revision if drift exceeds 0.5 score-points.</w:t>
      </w:r>
    </w:p>
    <w:p>
      <w:pPr>
        <w:spacing w:after="140" w:line="324" w:lineRule="auto"/>
      </w:pPr>
      <w:r>
        <w:rPr>
          <w:rFonts w:ascii="Avenir Next" w:hAnsi="Avenir Next" w:cs="Avenir Next"/>
          <w:b w:val="0"/>
          <w:i w:val="0"/>
          <w:color w:val="000000"/>
          <w:sz w:val="25"/>
        </w:rPr>
        <w:t>AI Judge response card · Final Task screen Three Judge avatars with each Judge's score across the five stages, the composite score, the token delta, and the mandatory growthEdge — a specific actionable next step.</w:t>
      </w:r>
    </w:p>
    <w:p>
      <w:pPr>
        <w:spacing w:after="140" w:line="324" w:lineRule="auto"/>
      </w:pPr>
      <w:r>
        <w:rPr>
          <w:rFonts w:ascii="Avenir Next" w:hAnsi="Avenir Next" w:cs="Avenir Next"/>
          <w:b w:val="0"/>
          <w:i w:val="0"/>
          <w:color w:val="000000"/>
          <w:sz w:val="25"/>
        </w:rPr>
        <w:t>futureproof-sdgs-lab.netlify.app/final-task · capture date TBD</w:t>
      </w:r>
    </w:p>
    <w:p>
      <w:pPr>
        <w:spacing w:before="320" w:after="140"/>
        <w:pBdr>
          <w:bottom w:val="single" w:sz="6" w:space="4" w:color="C9A961"/>
        </w:pBdr>
      </w:pPr>
      <w:r>
        <w:rPr>
          <w:rFonts w:ascii="Baskerville" w:hAnsi="Baskerville" w:cs="Baskerville"/>
          <w:b w:val="0"/>
          <w:i w:val="0"/>
          <w:color w:val="9C6F1C"/>
          <w:sz w:val="33"/>
        </w:rPr>
        <w:t>Insight Tokens · the spendable process reward</w:t>
      </w:r>
    </w:p>
    <w:p>
      <w:pPr>
        <w:spacing w:after="140" w:line="324" w:lineRule="auto"/>
      </w:pPr>
      <w:r>
        <w:rPr>
          <w:rFonts w:ascii="Avenir Next" w:hAnsi="Avenir Next" w:cs="Avenir Next"/>
          <w:b w:val="0"/>
          <w:i w:val="0"/>
          <w:color w:val="000000"/>
          <w:sz w:val="25"/>
        </w:rPr>
        <w:t xml:space="preserve">Insight Tokens are awarded for in-mission decisions and spent on scaffolding tools. Critically, </w:t>
      </w:r>
      <w:r>
        <w:rPr>
          <w:rFonts w:ascii="Avenir Next" w:hAnsi="Avenir Next" w:cs="Avenir Next"/>
          <w:b/>
          <w:i w:val="0"/>
          <w:color w:val="000000"/>
          <w:sz w:val="25"/>
        </w:rPr>
        <w:t>tokens cannot buy a Keystone</w:t>
      </w:r>
      <w:r>
        <w:rPr>
          <w:rFonts w:ascii="Avenir Next" w:hAnsi="Avenir Next" w:cs="Avenir Next"/>
          <w:b w:val="0"/>
          <w:i w:val="0"/>
          <w:color w:val="000000"/>
          <w:sz w:val="25"/>
        </w:rPr>
        <w:t xml:space="preserve"> — that separation protects the productive struggle. Tokens spend on:</w:t>
      </w:r>
    </w:p>
    <w:tbl>
      <w:tblPr>
        <w:tblW w:type="auto" w:w="0"/>
        <w:jc w:val="left"/>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3137"/>
        <w:gridCol w:w="3137"/>
        <w:gridCol w:w="3137"/>
      </w:tblGrid>
      <w:tr>
        <w:tc>
          <w:tcPr>
            <w:tcW w:type="dxa" w:w="3137"/>
            <w:shd w:val="clear" w:color="auto" w:fill="F4F1EA"/>
          </w:tcPr>
          <w:p>
            <w:pPr>
              <w:spacing w:after="20"/>
            </w:pPr>
            <w:r>
              <w:rPr>
                <w:rFonts w:ascii="Menlo" w:hAnsi="Menlo" w:cs="Menlo"/>
                <w:b/>
                <w:i w:val="0"/>
                <w:color w:val="9C6F1C"/>
                <w:sz w:val="16"/>
                <w:spacing w:val="16"/>
              </w:rPr>
              <w:t>TOOL</w:t>
            </w:r>
          </w:p>
        </w:tc>
        <w:tc>
          <w:tcPr>
            <w:tcW w:type="dxa" w:w="3137"/>
            <w:shd w:val="clear" w:color="auto" w:fill="F4F1EA"/>
          </w:tcPr>
          <w:p>
            <w:pPr>
              <w:spacing w:after="20"/>
            </w:pPr>
            <w:r>
              <w:rPr>
                <w:rFonts w:ascii="Menlo" w:hAnsi="Menlo" w:cs="Menlo"/>
                <w:b/>
                <w:i w:val="0"/>
                <w:color w:val="9C6F1C"/>
                <w:sz w:val="16"/>
                <w:spacing w:val="16"/>
              </w:rPr>
              <w:t>COST</w:t>
            </w:r>
          </w:p>
        </w:tc>
        <w:tc>
          <w:tcPr>
            <w:tcW w:type="dxa" w:w="3137"/>
            <w:shd w:val="clear" w:color="auto" w:fill="F4F1EA"/>
          </w:tcPr>
          <w:p>
            <w:pPr>
              <w:spacing w:after="20"/>
            </w:pPr>
            <w:r>
              <w:rPr>
                <w:rFonts w:ascii="Menlo" w:hAnsi="Menlo" w:cs="Menlo"/>
                <w:b/>
                <w:i w:val="0"/>
                <w:color w:val="9C6F1C"/>
                <w:sz w:val="16"/>
                <w:spacing w:val="16"/>
              </w:rPr>
              <w:t>EFFECT</w:t>
            </w:r>
          </w:p>
        </w:tc>
      </w:tr>
      <w:tr>
        <w:tc>
          <w:tcPr>
            <w:tcW w:type="dxa" w:w="3137"/>
          </w:tcPr>
          <w:p>
            <w:pPr>
              <w:spacing w:after="20" w:line="300" w:lineRule="auto"/>
            </w:pPr>
            <w:r>
              <w:rPr>
                <w:rFonts w:ascii="Avenir Next" w:hAnsi="Avenir Next" w:cs="Avenir Next"/>
                <w:b w:val="0"/>
                <w:i w:val="0"/>
                <w:color w:val="000000"/>
                <w:sz w:val="21"/>
              </w:rPr>
              <w:t>Expert Consultant</w:t>
            </w:r>
          </w:p>
        </w:tc>
        <w:tc>
          <w:tcPr>
            <w:tcW w:type="dxa" w:w="3137"/>
          </w:tcPr>
          <w:p>
            <w:pPr>
              <w:spacing w:after="20" w:line="300" w:lineRule="auto"/>
            </w:pPr>
            <w:r>
              <w:rPr>
                <w:rFonts w:ascii="Avenir Next" w:hAnsi="Avenir Next" w:cs="Avenir Next"/>
                <w:b w:val="0"/>
                <w:i w:val="0"/>
                <w:color w:val="000000"/>
                <w:sz w:val="21"/>
              </w:rPr>
              <w:t>15 ◆</w:t>
            </w:r>
          </w:p>
        </w:tc>
        <w:tc>
          <w:tcPr>
            <w:tcW w:type="dxa" w:w="3137"/>
          </w:tcPr>
          <w:p>
            <w:pPr>
              <w:spacing w:after="20" w:line="300" w:lineRule="auto"/>
            </w:pPr>
            <w:r>
              <w:rPr>
                <w:rFonts w:ascii="Avenir Next" w:hAnsi="Avenir Next" w:cs="Avenir Next"/>
                <w:b w:val="0"/>
                <w:i w:val="0"/>
                <w:color w:val="000000"/>
                <w:sz w:val="21"/>
              </w:rPr>
              <w:t>One strategic AI question per mission</w:t>
            </w:r>
          </w:p>
        </w:tc>
      </w:tr>
      <w:tr>
        <w:tc>
          <w:tcPr>
            <w:tcW w:type="dxa" w:w="3137"/>
          </w:tcPr>
          <w:p>
            <w:pPr>
              <w:spacing w:after="20" w:line="300" w:lineRule="auto"/>
            </w:pPr>
            <w:r>
              <w:rPr>
                <w:rFonts w:ascii="Avenir Next" w:hAnsi="Avenir Next" w:cs="Avenir Next"/>
                <w:b w:val="0"/>
                <w:i w:val="0"/>
                <w:color w:val="000000"/>
                <w:sz w:val="21"/>
              </w:rPr>
              <w:t>Language Coach Session</w:t>
            </w:r>
          </w:p>
        </w:tc>
        <w:tc>
          <w:tcPr>
            <w:tcW w:type="dxa" w:w="3137"/>
          </w:tcPr>
          <w:p>
            <w:pPr>
              <w:spacing w:after="20" w:line="300" w:lineRule="auto"/>
            </w:pPr>
            <w:r>
              <w:rPr>
                <w:rFonts w:ascii="Avenir Next" w:hAnsi="Avenir Next" w:cs="Avenir Next"/>
                <w:b w:val="0"/>
                <w:i w:val="0"/>
                <w:color w:val="000000"/>
                <w:sz w:val="21"/>
              </w:rPr>
              <w:t>10 ◆</w:t>
            </w:r>
          </w:p>
        </w:tc>
        <w:tc>
          <w:tcPr>
            <w:tcW w:type="dxa" w:w="3137"/>
          </w:tcPr>
          <w:p>
            <w:pPr>
              <w:spacing w:after="20" w:line="300" w:lineRule="auto"/>
            </w:pPr>
            <w:r>
              <w:rPr>
                <w:rFonts w:ascii="Avenir Next" w:hAnsi="Avenir Next" w:cs="Avenir Next"/>
                <w:b w:val="0"/>
                <w:i w:val="0"/>
                <w:color w:val="000000"/>
                <w:sz w:val="21"/>
              </w:rPr>
              <w:t>Detailed AI feedback on a draft</w:t>
            </w:r>
          </w:p>
        </w:tc>
      </w:tr>
      <w:tr>
        <w:tc>
          <w:tcPr>
            <w:tcW w:type="dxa" w:w="3137"/>
          </w:tcPr>
          <w:p>
            <w:pPr>
              <w:spacing w:after="20" w:line="300" w:lineRule="auto"/>
            </w:pPr>
            <w:r>
              <w:rPr>
                <w:rFonts w:ascii="Avenir Next" w:hAnsi="Avenir Next" w:cs="Avenir Next"/>
                <w:b w:val="0"/>
                <w:i w:val="0"/>
                <w:color w:val="000000"/>
                <w:sz w:val="21"/>
              </w:rPr>
              <w:t>Hint Reveal</w:t>
            </w:r>
          </w:p>
        </w:tc>
        <w:tc>
          <w:tcPr>
            <w:tcW w:type="dxa" w:w="3137"/>
          </w:tcPr>
          <w:p>
            <w:pPr>
              <w:spacing w:after="20" w:line="300" w:lineRule="auto"/>
            </w:pPr>
            <w:r>
              <w:rPr>
                <w:rFonts w:ascii="Avenir Next" w:hAnsi="Avenir Next" w:cs="Avenir Next"/>
                <w:b w:val="0"/>
                <w:i w:val="0"/>
                <w:color w:val="000000"/>
                <w:sz w:val="21"/>
              </w:rPr>
              <w:t>5 ◆</w:t>
            </w:r>
          </w:p>
        </w:tc>
        <w:tc>
          <w:tcPr>
            <w:tcW w:type="dxa" w:w="3137"/>
          </w:tcPr>
          <w:p>
            <w:pPr>
              <w:spacing w:after="20" w:line="300" w:lineRule="auto"/>
            </w:pPr>
            <w:r>
              <w:rPr>
                <w:rFonts w:ascii="Avenir Next" w:hAnsi="Avenir Next" w:cs="Avenir Next"/>
                <w:b w:val="0"/>
                <w:i w:val="0"/>
                <w:color w:val="000000"/>
                <w:sz w:val="21"/>
              </w:rPr>
              <w:t>Unlock one hidden data point</w:t>
            </w:r>
          </w:p>
        </w:tc>
      </w:tr>
      <w:tr>
        <w:tc>
          <w:tcPr>
            <w:tcW w:type="dxa" w:w="3137"/>
          </w:tcPr>
          <w:p>
            <w:pPr>
              <w:spacing w:after="20" w:line="300" w:lineRule="auto"/>
            </w:pPr>
            <w:r>
              <w:rPr>
                <w:rFonts w:ascii="Avenir Next" w:hAnsi="Avenir Next" w:cs="Avenir Next"/>
                <w:b w:val="0"/>
                <w:i w:val="0"/>
                <w:color w:val="000000"/>
                <w:sz w:val="21"/>
              </w:rPr>
              <w:t>Decision Replay</w:t>
            </w:r>
          </w:p>
        </w:tc>
        <w:tc>
          <w:tcPr>
            <w:tcW w:type="dxa" w:w="3137"/>
          </w:tcPr>
          <w:p>
            <w:pPr>
              <w:spacing w:after="20" w:line="300" w:lineRule="auto"/>
            </w:pPr>
            <w:r>
              <w:rPr>
                <w:rFonts w:ascii="Avenir Next" w:hAnsi="Avenir Next" w:cs="Avenir Next"/>
                <w:b w:val="0"/>
                <w:i w:val="0"/>
                <w:color w:val="000000"/>
                <w:sz w:val="21"/>
              </w:rPr>
              <w:t>25 ◆</w:t>
            </w:r>
          </w:p>
        </w:tc>
        <w:tc>
          <w:tcPr>
            <w:tcW w:type="dxa" w:w="3137"/>
          </w:tcPr>
          <w:p>
            <w:pPr>
              <w:spacing w:after="20" w:line="300" w:lineRule="auto"/>
            </w:pPr>
            <w:r>
              <w:rPr>
                <w:rFonts w:ascii="Avenir Next" w:hAnsi="Avenir Next" w:cs="Avenir Next"/>
                <w:b w:val="0"/>
                <w:i w:val="0"/>
                <w:color w:val="000000"/>
                <w:sz w:val="21"/>
              </w:rPr>
              <w:t>Redo one decision point</w:t>
            </w:r>
          </w:p>
        </w:tc>
      </w:tr>
      <w:tr>
        <w:tc>
          <w:tcPr>
            <w:tcW w:type="dxa" w:w="3137"/>
          </w:tcPr>
          <w:p>
            <w:pPr>
              <w:spacing w:after="20" w:line="300" w:lineRule="auto"/>
            </w:pPr>
            <w:r>
              <w:rPr>
                <w:rFonts w:ascii="Avenir Next" w:hAnsi="Avenir Next" w:cs="Avenir Next"/>
                <w:b w:val="0"/>
                <w:i w:val="0"/>
                <w:color w:val="000000"/>
                <w:sz w:val="21"/>
              </w:rPr>
              <w:t>Pronunciation Drill</w:t>
            </w:r>
          </w:p>
        </w:tc>
        <w:tc>
          <w:tcPr>
            <w:tcW w:type="dxa" w:w="3137"/>
          </w:tcPr>
          <w:p>
            <w:pPr>
              <w:spacing w:after="20" w:line="300" w:lineRule="auto"/>
            </w:pPr>
            <w:r>
              <w:rPr>
                <w:rFonts w:ascii="Avenir Next" w:hAnsi="Avenir Next" w:cs="Avenir Next"/>
                <w:b w:val="0"/>
                <w:i w:val="0"/>
                <w:color w:val="000000"/>
                <w:sz w:val="21"/>
              </w:rPr>
              <w:t>10 ◆</w:t>
            </w:r>
          </w:p>
        </w:tc>
        <w:tc>
          <w:tcPr>
            <w:tcW w:type="dxa" w:w="3137"/>
          </w:tcPr>
          <w:p>
            <w:pPr>
              <w:spacing w:after="20" w:line="300" w:lineRule="auto"/>
            </w:pPr>
            <w:r>
              <w:rPr>
                <w:rFonts w:ascii="Avenir Next" w:hAnsi="Avenir Next" w:cs="Avenir Next"/>
                <w:b w:val="0"/>
                <w:i w:val="0"/>
                <w:color w:val="000000"/>
                <w:sz w:val="21"/>
              </w:rPr>
              <w:t>AI-guided pronunciation practice</w:t>
            </w:r>
          </w:p>
        </w:tc>
      </w:tr>
      <w:tr>
        <w:tc>
          <w:tcPr>
            <w:tcW w:type="dxa" w:w="3137"/>
          </w:tcPr>
          <w:p>
            <w:pPr>
              <w:spacing w:after="20" w:line="300" w:lineRule="auto"/>
            </w:pPr>
            <w:r>
              <w:rPr>
                <w:rFonts w:ascii="Avenir Next" w:hAnsi="Avenir Next" w:cs="Avenir Next"/>
                <w:b w:val="0"/>
                <w:i w:val="0"/>
                <w:color w:val="000000"/>
                <w:sz w:val="21"/>
              </w:rPr>
              <w:t>Premium Studio Template</w:t>
            </w:r>
          </w:p>
        </w:tc>
        <w:tc>
          <w:tcPr>
            <w:tcW w:type="dxa" w:w="3137"/>
          </w:tcPr>
          <w:p>
            <w:pPr>
              <w:spacing w:after="20" w:line="300" w:lineRule="auto"/>
            </w:pPr>
            <w:r>
              <w:rPr>
                <w:rFonts w:ascii="Avenir Next" w:hAnsi="Avenir Next" w:cs="Avenir Next"/>
                <w:b w:val="0"/>
                <w:i w:val="0"/>
                <w:color w:val="000000"/>
                <w:sz w:val="21"/>
              </w:rPr>
              <w:t>20 ◆</w:t>
            </w:r>
          </w:p>
        </w:tc>
        <w:tc>
          <w:tcPr>
            <w:tcW w:type="dxa" w:w="3137"/>
          </w:tcPr>
          <w:p>
            <w:pPr>
              <w:spacing w:after="20" w:line="300" w:lineRule="auto"/>
            </w:pPr>
            <w:r>
              <w:rPr>
                <w:rFonts w:ascii="Avenir Next" w:hAnsi="Avenir Next" w:cs="Avenir Next"/>
                <w:b w:val="0"/>
                <w:i w:val="0"/>
                <w:color w:val="000000"/>
                <w:sz w:val="21"/>
              </w:rPr>
              <w:t>Upgraded Voice for Change layout</w:t>
            </w:r>
          </w:p>
        </w:tc>
      </w:tr>
    </w:tbl>
    <w:p>
      <w:pPr>
        <w:spacing w:before="320" w:after="140"/>
        <w:pBdr>
          <w:bottom w:val="single" w:sz="6" w:space="4" w:color="C9A961"/>
        </w:pBdr>
      </w:pPr>
      <w:r>
        <w:rPr>
          <w:rFonts w:ascii="Baskerville" w:hAnsi="Baskerville" w:cs="Baskerville"/>
          <w:b w:val="0"/>
          <w:i w:val="0"/>
          <w:color w:val="9C6F1C"/>
          <w:sz w:val="33"/>
        </w:rPr>
        <w:t>Voice for Change Studio · the capstone</w:t>
      </w:r>
    </w:p>
    <w:p>
      <w:pPr>
        <w:spacing w:after="140" w:line="324" w:lineRule="auto"/>
      </w:pPr>
      <w:r>
        <w:rPr>
          <w:rFonts w:ascii="Avenir Next" w:hAnsi="Avenir Next" w:cs="Avenir Next"/>
          <w:b w:val="0"/>
          <w:i w:val="0"/>
          <w:color w:val="000000"/>
          <w:sz w:val="25"/>
        </w:rPr>
        <w:t>See Chapter 9 for the full treatment.</w:t>
      </w:r>
    </w:p>
    <w:p>
      <w:pPr>
        <w:spacing w:before="320" w:after="140"/>
        <w:pBdr>
          <w:bottom w:val="single" w:sz="6" w:space="4" w:color="C9A961"/>
        </w:pBdr>
      </w:pPr>
      <w:r>
        <w:rPr>
          <w:rFonts w:ascii="Baskerville" w:hAnsi="Baskerville" w:cs="Baskerville"/>
          <w:b w:val="0"/>
          <w:i w:val="0"/>
          <w:color w:val="9C6F1C"/>
          <w:sz w:val="33"/>
        </w:rPr>
        <w:t>Hall of Voices · the Community of Practice</w:t>
      </w:r>
    </w:p>
    <w:p>
      <w:pPr>
        <w:spacing w:after="140" w:line="324" w:lineRule="auto"/>
      </w:pPr>
      <w:r>
        <w:rPr>
          <w:rFonts w:ascii="Avenir Next" w:hAnsi="Avenir Next" w:cs="Avenir Next"/>
          <w:b w:val="0"/>
          <w:i w:val="0"/>
          <w:color w:val="000000"/>
          <w:sz w:val="25"/>
        </w:rPr>
        <w:t>A public gallery of curated capstones, governed by explicit, withdrawable consent. Designed in the Lave &amp; Wenger Community-of-Practice tradition: learners enter as peripheral participants (viewing others' work) and graduate to full participants (their own work featured). Curation respects PDPA at every step — withdrawal of consent removes the work within 7 days.</w:t>
      </w:r>
    </w:p>
    <w:p>
      <w:pPr>
        <w:spacing w:before="320" w:after="140"/>
        <w:pBdr>
          <w:bottom w:val="single" w:sz="6" w:space="4" w:color="C9A961"/>
        </w:pBdr>
      </w:pPr>
      <w:r>
        <w:rPr>
          <w:rFonts w:ascii="Baskerville" w:hAnsi="Baskerville" w:cs="Baskerville"/>
          <w:b w:val="0"/>
          <w:i w:val="0"/>
          <w:color w:val="9C6F1C"/>
          <w:sz w:val="33"/>
        </w:rPr>
        <w:t>The Voice for Change capstone</w:t>
      </w:r>
    </w:p>
    <w:p>
      <w:pPr>
        <w:spacing w:after="140" w:line="324" w:lineRule="auto"/>
      </w:pPr>
      <w:r>
        <w:rPr>
          <w:rFonts w:ascii="Avenir Next" w:hAnsi="Avenir Next" w:cs="Avenir Next"/>
          <w:b w:val="0"/>
          <w:i w:val="0"/>
          <w:color w:val="000000"/>
          <w:sz w:val="25"/>
        </w:rPr>
        <w:t>ภารกิจปิดท้าย Voice for Change</w:t>
      </w:r>
    </w:p>
    <w:p>
      <w:pPr>
        <w:spacing w:after="140" w:line="324" w:lineRule="auto"/>
      </w:pPr>
      <w:r>
        <w:rPr>
          <w:rFonts w:ascii="Avenir Next" w:hAnsi="Avenir Next" w:cs="Avenir Next"/>
          <w:b w:val="0"/>
          <w:i w:val="0"/>
          <w:color w:val="000000"/>
          <w:sz w:val="25"/>
        </w:rPr>
        <w:t>Having walked all six frontlines, the learner proposes one concrete action to a real Thai audience. The capstone is multimodal, the audience is real, and the grader is human.</w:t>
      </w:r>
    </w:p>
    <w:p>
      <w:pPr>
        <w:spacing w:before="320" w:after="140"/>
        <w:pBdr>
          <w:bottom w:val="single" w:sz="6" w:space="4" w:color="C9A961"/>
        </w:pBdr>
      </w:pPr>
      <w:r>
        <w:rPr>
          <w:rFonts w:ascii="Baskerville" w:hAnsi="Baskerville" w:cs="Baskerville"/>
          <w:b w:val="0"/>
          <w:i w:val="0"/>
          <w:color w:val="9C6F1C"/>
          <w:sz w:val="33"/>
        </w:rPr>
        <w:t>The prompt</w:t>
      </w:r>
    </w:p>
    <w:p>
      <w:pPr>
        <w:spacing w:after="140" w:line="324" w:lineRule="auto"/>
      </w:pPr>
      <w:r>
        <w:rPr>
          <w:rFonts w:ascii="Avenir Next" w:hAnsi="Avenir Next" w:cs="Avenir Next"/>
          <w:b w:val="0"/>
          <w:i w:val="0"/>
          <w:color w:val="000000"/>
          <w:sz w:val="25"/>
        </w:rPr>
        <w:t>The Voice for Change prompt is constant across all learners:</w:t>
      </w:r>
    </w:p>
    <w:p>
      <w:pPr>
        <w:spacing w:after="140" w:line="324" w:lineRule="auto"/>
      </w:pPr>
      <w:r>
        <w:rPr>
          <w:rFonts w:ascii="Avenir Next" w:hAnsi="Avenir Next" w:cs="Avenir Next"/>
          <w:b w:val="0"/>
          <w:i w:val="0"/>
          <w:color w:val="000000"/>
          <w:sz w:val="25"/>
        </w:rPr>
        <w:t>Having walked all six frontlines, propose one concrete action for a Thai community — addressed to a real audience, not the teacher.</w:t>
      </w:r>
    </w:p>
    <w:p>
      <w:pPr>
        <w:spacing w:before="320" w:after="140"/>
        <w:pBdr>
          <w:bottom w:val="single" w:sz="6" w:space="4" w:color="C9A961"/>
        </w:pBdr>
      </w:pPr>
      <w:r>
        <w:rPr>
          <w:rFonts w:ascii="Baskerville" w:hAnsi="Baskerville" w:cs="Baskerville"/>
          <w:b w:val="0"/>
          <w:i w:val="0"/>
          <w:color w:val="9C6F1C"/>
          <w:sz w:val="33"/>
        </w:rPr>
        <w:t>Three submission lanes (CAST UDL)</w:t>
      </w:r>
    </w:p>
    <w:p>
      <w:pPr>
        <w:spacing w:after="140" w:line="324" w:lineRule="auto"/>
      </w:pPr>
      <w:r>
        <w:rPr>
          <w:rFonts w:ascii="Avenir Next" w:hAnsi="Avenir Next" w:cs="Avenir Next"/>
          <w:b w:val="0"/>
          <w:i w:val="0"/>
          <w:color w:val="000000"/>
          <w:sz w:val="25"/>
        </w:rPr>
        <w:t xml:space="preserve">CAST UDL Guideline 5 (Multiple Means of Action and Expression) is implemented as three submission lanes. The lane is a means of expression — </w:t>
      </w:r>
      <w:r>
        <w:rPr>
          <w:rFonts w:ascii="Avenir Next" w:hAnsi="Avenir Next" w:cs="Avenir Next"/>
          <w:b/>
          <w:i w:val="0"/>
          <w:color w:val="000000"/>
          <w:sz w:val="25"/>
        </w:rPr>
        <w:t>it never changes the bar</w:t>
      </w:r>
      <w:r>
        <w:rPr>
          <w:rFonts w:ascii="Avenir Next" w:hAnsi="Avenir Next" w:cs="Avenir Next"/>
          <w:b w:val="0"/>
          <w:i w:val="0"/>
          <w:color w:val="000000"/>
          <w:sz w:val="25"/>
        </w:rPr>
        <w:t>:</w:t>
      </w:r>
    </w:p>
    <w:p>
      <w:pPr>
        <w:pStyle w:val="ListBullet"/>
        <w:spacing w:after="60" w:line="312" w:lineRule="auto"/>
      </w:pPr>
      <w:r>
        <w:rPr>
          <w:rFonts w:ascii="Avenir Next" w:hAnsi="Avenir Next" w:cs="Avenir Next"/>
          <w:b w:val="0"/>
          <w:i w:val="0"/>
          <w:color w:val="000000"/>
          <w:sz w:val="25"/>
        </w:rPr>
        <w:t>Record live — in-browser, 60–180 s, unlimited re-record.</w:t>
      </w:r>
    </w:p>
    <w:p>
      <w:pPr>
        <w:pStyle w:val="ListBullet"/>
        <w:spacing w:after="60" w:line="312" w:lineRule="auto"/>
      </w:pPr>
      <w:r>
        <w:rPr>
          <w:rFonts w:ascii="Avenir Next" w:hAnsi="Avenir Next" w:cs="Avenir Next"/>
          <w:b w:val="0"/>
          <w:i w:val="0"/>
          <w:color w:val="000000"/>
          <w:sz w:val="25"/>
        </w:rPr>
        <w:t>Upload — a prepared audio or short video file.</w:t>
      </w:r>
    </w:p>
    <w:p>
      <w:pPr>
        <w:pStyle w:val="ListBullet"/>
        <w:spacing w:after="60" w:line="312" w:lineRule="auto"/>
      </w:pPr>
      <w:r>
        <w:rPr>
          <w:rFonts w:ascii="Avenir Next" w:hAnsi="Avenir Next" w:cs="Avenir Next"/>
          <w:b w:val="0"/>
          <w:i w:val="0"/>
          <w:color w:val="000000"/>
          <w:sz w:val="25"/>
        </w:rPr>
        <w:t>Create with Canva — opens a template in a new tab (never embedded), exported and re-uploaded.</w:t>
      </w:r>
    </w:p>
    <w:p>
      <w:pPr>
        <w:spacing w:after="140" w:line="324" w:lineRule="auto"/>
      </w:pPr>
      <w:r>
        <w:rPr>
          <w:rFonts w:ascii="Avenir Next" w:hAnsi="Avenir Next" w:cs="Avenir Next"/>
          <w:b w:val="0"/>
          <w:i w:val="0"/>
          <w:color w:val="000000"/>
          <w:sz w:val="25"/>
        </w:rPr>
        <w:t xml:space="preserve"> </w:t>
      </w:r>
      <w:r>
        <w:rPr>
          <w:rFonts w:ascii="Avenir Next" w:hAnsi="Avenir Next" w:cs="Avenir Next"/>
          <w:b w:val="0"/>
          <w:i w:val="0"/>
          <w:color w:val="000000"/>
          <w:sz w:val="25"/>
        </w:rPr>
        <w:t xml:space="preserve"> </w:t>
      </w:r>
      <w:r>
        <w:rPr>
          <w:rFonts w:ascii="Avenir Next" w:hAnsi="Avenir Next" w:cs="Avenir Next"/>
          <w:b w:val="0"/>
          <w:i w:val="0"/>
          <w:color w:val="000000"/>
          <w:sz w:val="25"/>
        </w:rPr>
        <w:t xml:space="preserve"> Voice for Change Studio · lane selector Three large lane cards (Record / Upload / Canva); a hover state explains each. Below: the unchanging prompt, and the five reusable evidence commitments carried from each mission's DEBRIEF.</w:t>
      </w:r>
    </w:p>
    <w:p>
      <w:pPr>
        <w:spacing w:after="140" w:line="324" w:lineRule="auto"/>
      </w:pPr>
      <w:r>
        <w:rPr>
          <w:rFonts w:ascii="Avenir Next" w:hAnsi="Avenir Next" w:cs="Avenir Next"/>
          <w:b w:val="0"/>
          <w:i w:val="0"/>
          <w:color w:val="000000"/>
          <w:sz w:val="25"/>
        </w:rPr>
        <w:t>futureproof-sdgs-lab.netlify.app/final-task · capture date TBD</w:t>
      </w:r>
    </w:p>
    <w:p>
      <w:pPr>
        <w:spacing w:before="320" w:after="140"/>
        <w:pBdr>
          <w:bottom w:val="single" w:sz="6" w:space="4" w:color="C9A961"/>
        </w:pBdr>
      </w:pPr>
      <w:r>
        <w:rPr>
          <w:rFonts w:ascii="Baskerville" w:hAnsi="Baskerville" w:cs="Baskerville"/>
          <w:b w:val="0"/>
          <w:i w:val="0"/>
          <w:color w:val="9C6F1C"/>
          <w:sz w:val="33"/>
        </w:rPr>
        <w:t>Why the audience matters</w:t>
      </w:r>
    </w:p>
    <w:p>
      <w:pPr>
        <w:spacing w:after="140" w:line="324" w:lineRule="auto"/>
      </w:pPr>
      <w:r>
        <w:rPr>
          <w:rFonts w:ascii="Avenir Next" w:hAnsi="Avenir Next" w:cs="Avenir Next"/>
          <w:b w:val="0"/>
          <w:i w:val="0"/>
          <w:color w:val="000000"/>
          <w:sz w:val="25"/>
        </w:rPr>
        <w:t>The address is to the audience, not the teacher. A learner addressing the Khlong Toey community leaders writes differently than one addressing the Department of City Planning. Audience adaptation is part of what Rubric A scores under Critical &amp; Ethical Reasoning and Craft of the Chosen Medium.</w:t>
      </w:r>
    </w:p>
    <w:p>
      <w:pPr>
        <w:spacing w:before="320" w:after="140"/>
        <w:pBdr>
          <w:bottom w:val="single" w:sz="6" w:space="4" w:color="C9A961"/>
        </w:pBdr>
      </w:pPr>
      <w:r>
        <w:rPr>
          <w:rFonts w:ascii="Baskerville" w:hAnsi="Baskerville" w:cs="Baskerville"/>
          <w:b w:val="0"/>
          <w:i w:val="0"/>
          <w:color w:val="9C6F1C"/>
          <w:sz w:val="33"/>
        </w:rPr>
        <w:t>The evidence commitment</w:t>
      </w:r>
    </w:p>
    <w:p>
      <w:pPr>
        <w:spacing w:after="140" w:line="324" w:lineRule="auto"/>
      </w:pPr>
      <w:r>
        <w:rPr>
          <w:rFonts w:ascii="Avenir Next" w:hAnsi="Avenir Next" w:cs="Avenir Next"/>
          <w:b w:val="0"/>
          <w:i w:val="0"/>
          <w:color w:val="000000"/>
          <w:sz w:val="25"/>
        </w:rPr>
        <w:t xml:space="preserve">At each mission's DEBRIEF the learner commits to a specific piece of evidence they will carry into the capstone. The Voice for Change either </w:t>
      </w:r>
      <w:r>
        <w:rPr>
          <w:rFonts w:ascii="Avenir Next" w:hAnsi="Avenir Next" w:cs="Avenir Next"/>
          <w:b/>
          <w:i w:val="0"/>
          <w:color w:val="000000"/>
          <w:sz w:val="25"/>
        </w:rPr>
        <w:t>uses</w:t>
      </w:r>
      <w:r>
        <w:rPr>
          <w:rFonts w:ascii="Avenir Next" w:hAnsi="Avenir Next" w:cs="Avenir Next"/>
          <w:b w:val="0"/>
          <w:i w:val="0"/>
          <w:color w:val="000000"/>
          <w:sz w:val="25"/>
        </w:rPr>
        <w:t xml:space="preserve"> that evidence or argues explicitly why it no longer holds. Rubric A's Dimension 4 (Synthesis &amp; Evidence Commitment) scores this.</w:t>
      </w:r>
    </w:p>
    <w:p>
      <w:pPr>
        <w:spacing w:before="320" w:after="140"/>
        <w:pBdr>
          <w:bottom w:val="single" w:sz="6" w:space="4" w:color="C9A961"/>
        </w:pBdr>
      </w:pPr>
      <w:r>
        <w:rPr>
          <w:rFonts w:ascii="Baskerville" w:hAnsi="Baskerville" w:cs="Baskerville"/>
          <w:b w:val="0"/>
          <w:i w:val="0"/>
          <w:color w:val="9C6F1C"/>
          <w:sz w:val="33"/>
        </w:rPr>
        <w:t>The teacher grades, not the AI</w:t>
      </w:r>
    </w:p>
    <w:p>
      <w:pPr>
        <w:spacing w:after="140" w:line="324" w:lineRule="auto"/>
      </w:pPr>
      <w:r>
        <w:rPr>
          <w:rFonts w:ascii="Avenir Next" w:hAnsi="Avenir Next" w:cs="Avenir Next"/>
          <w:b w:val="0"/>
          <w:i w:val="0"/>
          <w:color w:val="000000"/>
          <w:sz w:val="25"/>
        </w:rPr>
        <w:t>By design, Voice for Change is the one place AI does not score. This is the AI-TPACK boundary made operational: every formative mission was AI-scaffolded for consistency; the summative grade — the one that goes on the transcript — stays human.</w:t>
      </w:r>
    </w:p>
    <w:p>
      <w:pPr>
        <w:spacing w:after="140" w:line="324" w:lineRule="auto"/>
      </w:pPr>
      <w:r>
        <w:rPr>
          <w:rFonts w:ascii="Avenir Next" w:hAnsi="Avenir Next" w:cs="Avenir Next"/>
          <w:b w:val="0"/>
          <w:i w:val="0"/>
          <w:color w:val="000000"/>
          <w:sz w:val="25"/>
        </w:rPr>
        <w:t>For the judge If you take one architectural commitment away from this manual, take this one. The AI scales the journey; the human authorises the verdict. Removing this commitment would not save engineering time — it would unmake the platform.</w:t>
      </w:r>
    </w:p>
    <w:p>
      <w:pPr>
        <w:spacing w:before="320" w:after="140"/>
        <w:pBdr>
          <w:bottom w:val="single" w:sz="6" w:space="4" w:color="C9A961"/>
        </w:pBdr>
      </w:pPr>
      <w:r>
        <w:rPr>
          <w:rFonts w:ascii="Baskerville" w:hAnsi="Baskerville" w:cs="Baskerville"/>
          <w:b w:val="0"/>
          <w:i w:val="0"/>
          <w:color w:val="9C6F1C"/>
          <w:sz w:val="33"/>
        </w:rPr>
        <w:t>Teacher console &amp; grading workflow</w:t>
      </w:r>
    </w:p>
    <w:p>
      <w:pPr>
        <w:spacing w:after="140" w:line="324" w:lineRule="auto"/>
      </w:pPr>
      <w:r>
        <w:rPr>
          <w:rFonts w:ascii="Avenir Next" w:hAnsi="Avenir Next" w:cs="Avenir Next"/>
          <w:b w:val="0"/>
          <w:i w:val="0"/>
          <w:color w:val="000000"/>
          <w:sz w:val="25"/>
        </w:rPr>
        <w:t>แดชบอร์ดครูและการตรวจคะแนน</w:t>
      </w:r>
    </w:p>
    <w:p>
      <w:pPr>
        <w:spacing w:after="140" w:line="324" w:lineRule="auto"/>
      </w:pPr>
      <w:r>
        <w:rPr>
          <w:rFonts w:ascii="Avenir Next" w:hAnsi="Avenir Next" w:cs="Avenir Next"/>
          <w:b w:val="0"/>
          <w:i w:val="0"/>
          <w:color w:val="000000"/>
          <w:sz w:val="25"/>
        </w:rPr>
        <w:t>The Admin Command Platform has seven modules. Three you'll touch every week (User Management, Analytics, Moderation); four you'll touch occasionally.</w:t>
      </w:r>
    </w:p>
    <w:p>
      <w:pPr>
        <w:spacing w:before="320" w:after="140"/>
        <w:pBdr>
          <w:bottom w:val="single" w:sz="6" w:space="4" w:color="C9A961"/>
        </w:pBdr>
      </w:pPr>
      <w:r>
        <w:rPr>
          <w:rFonts w:ascii="Baskerville" w:hAnsi="Baskerville" w:cs="Baskerville"/>
          <w:b w:val="0"/>
          <w:i w:val="0"/>
          <w:color w:val="9C6F1C"/>
          <w:sz w:val="33"/>
        </w:rPr>
        <w:t>Seven modules</w:t>
      </w:r>
    </w:p>
    <w:tbl>
      <w:tblPr>
        <w:tblW w:type="auto" w:w="0"/>
        <w:jc w:val="left"/>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3137"/>
        <w:gridCol w:w="3137"/>
        <w:gridCol w:w="3137"/>
      </w:tblGrid>
      <w:tr>
        <w:tc>
          <w:tcPr>
            <w:tcW w:type="dxa" w:w="3137"/>
            <w:shd w:val="clear" w:color="auto" w:fill="F4F1EA"/>
          </w:tcPr>
          <w:p>
            <w:pPr>
              <w:spacing w:after="20"/>
            </w:pPr>
            <w:r>
              <w:rPr>
                <w:rFonts w:ascii="Menlo" w:hAnsi="Menlo" w:cs="Menlo"/>
                <w:b/>
                <w:i w:val="0"/>
                <w:color w:val="9C6F1C"/>
                <w:sz w:val="16"/>
                <w:spacing w:val="16"/>
              </w:rPr>
              <w:t>MODULE</w:t>
            </w:r>
          </w:p>
        </w:tc>
        <w:tc>
          <w:tcPr>
            <w:tcW w:type="dxa" w:w="3137"/>
            <w:shd w:val="clear" w:color="auto" w:fill="F4F1EA"/>
          </w:tcPr>
          <w:p>
            <w:pPr>
              <w:spacing w:after="20"/>
            </w:pPr>
            <w:r>
              <w:rPr>
                <w:rFonts w:ascii="Menlo" w:hAnsi="Menlo" w:cs="Menlo"/>
                <w:b/>
                <w:i w:val="0"/>
                <w:color w:val="9C6F1C"/>
                <w:sz w:val="16"/>
                <w:spacing w:val="16"/>
              </w:rPr>
              <w:t>FREQUENCY</w:t>
            </w:r>
          </w:p>
        </w:tc>
        <w:tc>
          <w:tcPr>
            <w:tcW w:type="dxa" w:w="3137"/>
            <w:shd w:val="clear" w:color="auto" w:fill="F4F1EA"/>
          </w:tcPr>
          <w:p>
            <w:pPr>
              <w:spacing w:after="20"/>
            </w:pPr>
            <w:r>
              <w:rPr>
                <w:rFonts w:ascii="Menlo" w:hAnsi="Menlo" w:cs="Menlo"/>
                <w:b/>
                <w:i w:val="0"/>
                <w:color w:val="9C6F1C"/>
                <w:sz w:val="16"/>
                <w:spacing w:val="16"/>
              </w:rPr>
              <w:t>WHAT YOU'LL DO</w:t>
            </w:r>
          </w:p>
        </w:tc>
      </w:tr>
      <w:tr>
        <w:tc>
          <w:tcPr>
            <w:tcW w:type="dxa" w:w="3137"/>
          </w:tcPr>
          <w:p>
            <w:pPr>
              <w:spacing w:after="20" w:line="300" w:lineRule="auto"/>
            </w:pPr>
            <w:r>
              <w:rPr>
                <w:rFonts w:ascii="Avenir Next" w:hAnsi="Avenir Next" w:cs="Avenir Next"/>
                <w:b w:val="0"/>
                <w:i w:val="0"/>
                <w:color w:val="000000"/>
                <w:sz w:val="21"/>
              </w:rPr>
              <w:t>User Management</w:t>
            </w:r>
          </w:p>
        </w:tc>
        <w:tc>
          <w:tcPr>
            <w:tcW w:type="dxa" w:w="3137"/>
          </w:tcPr>
          <w:p>
            <w:pPr>
              <w:spacing w:after="20" w:line="300" w:lineRule="auto"/>
            </w:pPr>
            <w:r>
              <w:rPr>
                <w:rFonts w:ascii="Avenir Next" w:hAnsi="Avenir Next" w:cs="Avenir Next"/>
                <w:b w:val="0"/>
                <w:i w:val="0"/>
                <w:color w:val="000000"/>
                <w:sz w:val="21"/>
              </w:rPr>
              <w:t>Weekly</w:t>
            </w:r>
          </w:p>
        </w:tc>
        <w:tc>
          <w:tcPr>
            <w:tcW w:type="dxa" w:w="3137"/>
          </w:tcPr>
          <w:p>
            <w:pPr>
              <w:spacing w:after="20" w:line="300" w:lineRule="auto"/>
            </w:pPr>
            <w:r>
              <w:rPr>
                <w:rFonts w:ascii="Avenir Next" w:hAnsi="Avenir Next" w:cs="Avenir Next"/>
                <w:b w:val="0"/>
                <w:i w:val="0"/>
                <w:color w:val="000000"/>
                <w:sz w:val="21"/>
              </w:rPr>
              <w:t>Onboard a class, manage teams, reset password, process deletion request.</w:t>
            </w:r>
          </w:p>
        </w:tc>
      </w:tr>
      <w:tr>
        <w:tc>
          <w:tcPr>
            <w:tcW w:type="dxa" w:w="3137"/>
          </w:tcPr>
          <w:p>
            <w:pPr>
              <w:spacing w:after="20" w:line="300" w:lineRule="auto"/>
            </w:pPr>
            <w:r>
              <w:rPr>
                <w:rFonts w:ascii="Avenir Next" w:hAnsi="Avenir Next" w:cs="Avenir Next"/>
                <w:b w:val="0"/>
                <w:i w:val="0"/>
                <w:color w:val="000000"/>
                <w:sz w:val="21"/>
              </w:rPr>
              <w:t>Analytics Dashboard</w:t>
            </w:r>
          </w:p>
        </w:tc>
        <w:tc>
          <w:tcPr>
            <w:tcW w:type="dxa" w:w="3137"/>
          </w:tcPr>
          <w:p>
            <w:pPr>
              <w:spacing w:after="20" w:line="300" w:lineRule="auto"/>
            </w:pPr>
            <w:r>
              <w:rPr>
                <w:rFonts w:ascii="Avenir Next" w:hAnsi="Avenir Next" w:cs="Avenir Next"/>
                <w:b w:val="0"/>
                <w:i w:val="0"/>
                <w:color w:val="000000"/>
                <w:sz w:val="21"/>
              </w:rPr>
              <w:t>Weekly</w:t>
            </w:r>
          </w:p>
        </w:tc>
        <w:tc>
          <w:tcPr>
            <w:tcW w:type="dxa" w:w="3137"/>
          </w:tcPr>
          <w:p>
            <w:pPr>
              <w:spacing w:after="20" w:line="300" w:lineRule="auto"/>
            </w:pPr>
            <w:r>
              <w:rPr>
                <w:rFonts w:ascii="Avenir Next" w:hAnsi="Avenir Next" w:cs="Avenir Next"/>
                <w:b w:val="0"/>
                <w:i w:val="0"/>
                <w:color w:val="000000"/>
                <w:sz w:val="21"/>
              </w:rPr>
              <w:t>Engagement, mission completion, CEFR delta, soft-skills heatmap, decision-pattern analysis.</w:t>
            </w:r>
          </w:p>
        </w:tc>
      </w:tr>
      <w:tr>
        <w:tc>
          <w:tcPr>
            <w:tcW w:type="dxa" w:w="3137"/>
          </w:tcPr>
          <w:p>
            <w:pPr>
              <w:spacing w:after="20" w:line="300" w:lineRule="auto"/>
            </w:pPr>
            <w:r>
              <w:rPr>
                <w:rFonts w:ascii="Avenir Next" w:hAnsi="Avenir Next" w:cs="Avenir Next"/>
                <w:b w:val="0"/>
                <w:i w:val="0"/>
                <w:color w:val="000000"/>
                <w:sz w:val="21"/>
              </w:rPr>
              <w:t>Moderation</w:t>
            </w:r>
          </w:p>
        </w:tc>
        <w:tc>
          <w:tcPr>
            <w:tcW w:type="dxa" w:w="3137"/>
          </w:tcPr>
          <w:p>
            <w:pPr>
              <w:spacing w:after="20" w:line="300" w:lineRule="auto"/>
            </w:pPr>
            <w:r>
              <w:rPr>
                <w:rFonts w:ascii="Avenir Next" w:hAnsi="Avenir Next" w:cs="Avenir Next"/>
                <w:b w:val="0"/>
                <w:i w:val="0"/>
                <w:color w:val="000000"/>
                <w:sz w:val="21"/>
              </w:rPr>
              <w:t>Weekly</w:t>
            </w:r>
          </w:p>
        </w:tc>
        <w:tc>
          <w:tcPr>
            <w:tcW w:type="dxa" w:w="3137"/>
          </w:tcPr>
          <w:p>
            <w:pPr>
              <w:spacing w:after="20" w:line="300" w:lineRule="auto"/>
            </w:pPr>
            <w:r>
              <w:rPr>
                <w:rFonts w:ascii="Avenir Next" w:hAnsi="Avenir Next" w:cs="Avenir Next"/>
                <w:b w:val="0"/>
                <w:i w:val="0"/>
                <w:color w:val="000000"/>
                <w:sz w:val="21"/>
              </w:rPr>
              <w:t>Review flagged AI judgments, replay against rubric, override if warranted.</w:t>
            </w:r>
          </w:p>
        </w:tc>
      </w:tr>
      <w:tr>
        <w:tc>
          <w:tcPr>
            <w:tcW w:type="dxa" w:w="3137"/>
          </w:tcPr>
          <w:p>
            <w:pPr>
              <w:spacing w:after="20" w:line="300" w:lineRule="auto"/>
            </w:pPr>
            <w:r>
              <w:rPr>
                <w:rFonts w:ascii="Avenir Next" w:hAnsi="Avenir Next" w:cs="Avenir Next"/>
                <w:b w:val="0"/>
                <w:i w:val="0"/>
                <w:color w:val="000000"/>
                <w:sz w:val="21"/>
              </w:rPr>
              <w:t>Mission Architect</w:t>
            </w:r>
          </w:p>
        </w:tc>
        <w:tc>
          <w:tcPr>
            <w:tcW w:type="dxa" w:w="3137"/>
          </w:tcPr>
          <w:p>
            <w:pPr>
              <w:spacing w:after="20" w:line="300" w:lineRule="auto"/>
            </w:pPr>
            <w:r>
              <w:rPr>
                <w:rFonts w:ascii="Avenir Next" w:hAnsi="Avenir Next" w:cs="Avenir Next"/>
                <w:b w:val="0"/>
                <w:i w:val="0"/>
                <w:color w:val="000000"/>
                <w:sz w:val="21"/>
              </w:rPr>
              <w:t>Per term</w:t>
            </w:r>
          </w:p>
        </w:tc>
        <w:tc>
          <w:tcPr>
            <w:tcW w:type="dxa" w:w="3137"/>
          </w:tcPr>
          <w:p>
            <w:pPr>
              <w:spacing w:after="20" w:line="300" w:lineRule="auto"/>
            </w:pPr>
            <w:r>
              <w:rPr>
                <w:rFonts w:ascii="Avenir Next" w:hAnsi="Avenir Next" w:cs="Avenir Next"/>
                <w:b w:val="0"/>
                <w:i w:val="0"/>
                <w:color w:val="000000"/>
                <w:sz w:val="21"/>
              </w:rPr>
              <w:t>Add or edit scenarios for special cohorts. Risky during a live cohort — preview required.</w:t>
            </w:r>
          </w:p>
        </w:tc>
      </w:tr>
      <w:tr>
        <w:tc>
          <w:tcPr>
            <w:tcW w:type="dxa" w:w="3137"/>
          </w:tcPr>
          <w:p>
            <w:pPr>
              <w:spacing w:after="20" w:line="300" w:lineRule="auto"/>
            </w:pPr>
            <w:r>
              <w:rPr>
                <w:rFonts w:ascii="Avenir Next" w:hAnsi="Avenir Next" w:cs="Avenir Next"/>
                <w:b w:val="0"/>
                <w:i w:val="0"/>
                <w:color w:val="000000"/>
                <w:sz w:val="21"/>
              </w:rPr>
              <w:t>PDPA Center</w:t>
            </w:r>
          </w:p>
        </w:tc>
        <w:tc>
          <w:tcPr>
            <w:tcW w:type="dxa" w:w="3137"/>
          </w:tcPr>
          <w:p>
            <w:pPr>
              <w:spacing w:after="20" w:line="300" w:lineRule="auto"/>
            </w:pPr>
            <w:r>
              <w:rPr>
                <w:rFonts w:ascii="Avenir Next" w:hAnsi="Avenir Next" w:cs="Avenir Next"/>
                <w:b w:val="0"/>
                <w:i w:val="0"/>
                <w:color w:val="000000"/>
                <w:sz w:val="21"/>
              </w:rPr>
              <w:t>Per term</w:t>
            </w:r>
          </w:p>
        </w:tc>
        <w:tc>
          <w:tcPr>
            <w:tcW w:type="dxa" w:w="3137"/>
          </w:tcPr>
          <w:p>
            <w:pPr>
              <w:spacing w:after="20" w:line="300" w:lineRule="auto"/>
            </w:pPr>
            <w:r>
              <w:rPr>
                <w:rFonts w:ascii="Avenir Next" w:hAnsi="Avenir Next" w:cs="Avenir Next"/>
                <w:b w:val="0"/>
                <w:i w:val="0"/>
                <w:color w:val="000000"/>
                <w:sz w:val="21"/>
              </w:rPr>
              <w:t>Consent audit, data-subject access requests, audit log review.</w:t>
            </w:r>
          </w:p>
        </w:tc>
      </w:tr>
      <w:tr>
        <w:tc>
          <w:tcPr>
            <w:tcW w:type="dxa" w:w="3137"/>
          </w:tcPr>
          <w:p>
            <w:pPr>
              <w:spacing w:after="20" w:line="300" w:lineRule="auto"/>
            </w:pPr>
            <w:r>
              <w:rPr>
                <w:rFonts w:ascii="Avenir Next" w:hAnsi="Avenir Next" w:cs="Avenir Next"/>
                <w:b w:val="0"/>
                <w:i w:val="0"/>
                <w:color w:val="000000"/>
                <w:sz w:val="21"/>
              </w:rPr>
              <w:t>System Configuration</w:t>
            </w:r>
          </w:p>
        </w:tc>
        <w:tc>
          <w:tcPr>
            <w:tcW w:type="dxa" w:w="3137"/>
          </w:tcPr>
          <w:p>
            <w:pPr>
              <w:spacing w:after="20" w:line="300" w:lineRule="auto"/>
            </w:pPr>
            <w:r>
              <w:rPr>
                <w:rFonts w:ascii="Avenir Next" w:hAnsi="Avenir Next" w:cs="Avenir Next"/>
                <w:b w:val="0"/>
                <w:i w:val="0"/>
                <w:color w:val="000000"/>
                <w:sz w:val="21"/>
              </w:rPr>
              <w:t>Per term</w:t>
            </w:r>
          </w:p>
        </w:tc>
        <w:tc>
          <w:tcPr>
            <w:tcW w:type="dxa" w:w="3137"/>
          </w:tcPr>
          <w:p>
            <w:pPr>
              <w:spacing w:after="20" w:line="300" w:lineRule="auto"/>
            </w:pPr>
            <w:r>
              <w:rPr>
                <w:rFonts w:ascii="Avenir Next" w:hAnsi="Avenir Next" w:cs="Avenir Next"/>
                <w:b w:val="0"/>
                <w:i w:val="0"/>
                <w:color w:val="000000"/>
                <w:sz w:val="21"/>
              </w:rPr>
              <w:t>Model selection, difficulty parameters, feature flags.</w:t>
            </w:r>
          </w:p>
        </w:tc>
      </w:tr>
      <w:tr>
        <w:tc>
          <w:tcPr>
            <w:tcW w:type="dxa" w:w="3137"/>
          </w:tcPr>
          <w:p>
            <w:pPr>
              <w:spacing w:after="20" w:line="300" w:lineRule="auto"/>
            </w:pPr>
            <w:r>
              <w:rPr>
                <w:rFonts w:ascii="Avenir Next" w:hAnsi="Avenir Next" w:cs="Avenir Next"/>
                <w:b w:val="0"/>
                <w:i w:val="0"/>
                <w:color w:val="000000"/>
                <w:sz w:val="21"/>
              </w:rPr>
              <w:t>Hall of Voices Curator</w:t>
            </w:r>
          </w:p>
        </w:tc>
        <w:tc>
          <w:tcPr>
            <w:tcW w:type="dxa" w:w="3137"/>
          </w:tcPr>
          <w:p>
            <w:pPr>
              <w:spacing w:after="20" w:line="300" w:lineRule="auto"/>
            </w:pPr>
            <w:r>
              <w:rPr>
                <w:rFonts w:ascii="Avenir Next" w:hAnsi="Avenir Next" w:cs="Avenir Next"/>
                <w:b w:val="0"/>
                <w:i w:val="0"/>
                <w:color w:val="000000"/>
                <w:sz w:val="21"/>
              </w:rPr>
              <w:t>End of term</w:t>
            </w:r>
          </w:p>
        </w:tc>
        <w:tc>
          <w:tcPr>
            <w:tcW w:type="dxa" w:w="3137"/>
          </w:tcPr>
          <w:p>
            <w:pPr>
              <w:spacing w:after="20" w:line="300" w:lineRule="auto"/>
            </w:pPr>
            <w:r>
              <w:rPr>
                <w:rFonts w:ascii="Avenir Next" w:hAnsi="Avenir Next" w:cs="Avenir Next"/>
                <w:b w:val="0"/>
                <w:i w:val="0"/>
                <w:color w:val="000000"/>
                <w:sz w:val="21"/>
              </w:rPr>
              <w:t>Review consenting submissions and feature the strongest publicly.</w:t>
            </w:r>
          </w:p>
        </w:tc>
      </w:tr>
    </w:tbl>
    <w:p>
      <w:pPr>
        <w:spacing w:after="140" w:line="324" w:lineRule="auto"/>
      </w:pPr>
      <w:r>
        <w:rPr>
          <w:rFonts w:ascii="Avenir Next" w:hAnsi="Avenir Next" w:cs="Avenir Next"/>
          <w:b w:val="0"/>
          <w:i w:val="0"/>
          <w:color w:val="000000"/>
          <w:sz w:val="25"/>
        </w:rPr>
        <w:t>Admin Dashboard · home Top stat tiles: active learners, missions cleared this week, AI Judge load, Hall of Voices submissions pending review. Left sidebar: the seven modules.</w:t>
      </w:r>
    </w:p>
    <w:p>
      <w:pPr>
        <w:spacing w:after="140" w:line="324" w:lineRule="auto"/>
      </w:pPr>
      <w:r>
        <w:rPr>
          <w:rFonts w:ascii="Avenir Next" w:hAnsi="Avenir Next" w:cs="Avenir Next"/>
          <w:b w:val="0"/>
          <w:i w:val="0"/>
          <w:color w:val="000000"/>
          <w:sz w:val="25"/>
        </w:rPr>
        <w:t>futureproof-sdgs-lab.netlify.app/admin · capture date TBD</w:t>
      </w:r>
    </w:p>
    <w:p>
      <w:pPr>
        <w:spacing w:before="320" w:after="140"/>
        <w:pBdr>
          <w:bottom w:val="single" w:sz="6" w:space="4" w:color="C9A961"/>
        </w:pBdr>
      </w:pPr>
      <w:r>
        <w:rPr>
          <w:rFonts w:ascii="Baskerville" w:hAnsi="Baskerville" w:cs="Baskerville"/>
          <w:b w:val="0"/>
          <w:i w:val="0"/>
          <w:color w:val="9C6F1C"/>
          <w:sz w:val="33"/>
        </w:rPr>
        <w:t>Grading the Voice for Change with Rubric A</w:t>
      </w:r>
    </w:p>
    <w:p>
      <w:pPr>
        <w:spacing w:after="140" w:line="324" w:lineRule="auto"/>
      </w:pPr>
      <w:r>
        <w:rPr>
          <w:rFonts w:ascii="Avenir Next" w:hAnsi="Avenir Next" w:cs="Avenir Next"/>
          <w:b w:val="0"/>
          <w:i w:val="0"/>
          <w:color w:val="000000"/>
          <w:sz w:val="25"/>
        </w:rPr>
        <w:t>Rubric A is the rubric your transcript grade depends on. The workflow:</w:t>
      </w:r>
    </w:p>
    <w:p>
      <w:pPr>
        <w:pStyle w:val="ListBullet"/>
        <w:spacing w:after="60" w:line="312" w:lineRule="auto"/>
      </w:pPr>
      <w:r>
        <w:rPr>
          <w:rFonts w:ascii="Avenir Next" w:hAnsi="Avenir Next" w:cs="Avenir Next"/>
          <w:b w:val="0"/>
          <w:i w:val="0"/>
          <w:color w:val="000000"/>
          <w:sz w:val="25"/>
        </w:rPr>
        <w:t>Open the submission in Admin → Hall of Voices Curator → Pending.</w:t>
      </w:r>
    </w:p>
    <w:p>
      <w:pPr>
        <w:pStyle w:val="ListBullet"/>
        <w:spacing w:after="60" w:line="312" w:lineRule="auto"/>
      </w:pPr>
      <w:r>
        <w:rPr>
          <w:rFonts w:ascii="Avenir Next" w:hAnsi="Avenir Next" w:cs="Avenir Next"/>
          <w:b w:val="0"/>
          <w:i w:val="0"/>
          <w:color w:val="000000"/>
          <w:sz w:val="25"/>
        </w:rPr>
        <w:t>Play the submission once end-to-end without scoring. Form an impression.</w:t>
      </w:r>
    </w:p>
    <w:p>
      <w:pPr>
        <w:pStyle w:val="ListBullet"/>
        <w:spacing w:after="60" w:line="312" w:lineRule="auto"/>
      </w:pPr>
      <w:r>
        <w:rPr>
          <w:rFonts w:ascii="Avenir Next" w:hAnsi="Avenir Next" w:cs="Avenir Next"/>
          <w:b w:val="0"/>
          <w:i w:val="0"/>
          <w:color w:val="000000"/>
          <w:sz w:val="25"/>
        </w:rPr>
        <w:t>Score the five dimensions in the embedded scoring panel: Language Proficiency · Critical &amp; Ethical Reasoning · Craft · Synthesis &amp; Evidence Commitment · AI Collaboration Ethics.</w:t>
      </w:r>
    </w:p>
    <w:p>
      <w:pPr>
        <w:pStyle w:val="ListBullet"/>
        <w:spacing w:after="60" w:line="312" w:lineRule="auto"/>
      </w:pPr>
      <w:r>
        <w:rPr>
          <w:rFonts w:ascii="Avenir Next" w:hAnsi="Avenir Next" w:cs="Avenir Next"/>
          <w:b w:val="0"/>
          <w:i w:val="0"/>
          <w:color w:val="000000"/>
          <w:sz w:val="25"/>
        </w:rPr>
        <w:t>Add a one-paragraph qualitative comment.</w:t>
      </w:r>
    </w:p>
    <w:p>
      <w:pPr>
        <w:pStyle w:val="ListBullet"/>
        <w:spacing w:after="60" w:line="312" w:lineRule="auto"/>
      </w:pPr>
      <w:r>
        <w:rPr>
          <w:rFonts w:ascii="Avenir Next" w:hAnsi="Avenir Next" w:cs="Avenir Next"/>
          <w:b w:val="0"/>
          <w:i w:val="0"/>
          <w:color w:val="000000"/>
          <w:sz w:val="25"/>
        </w:rPr>
        <w:t>Save. The dashboard computes the composite and applies suggested band thresholds (38–45 A; 30–37 B; 22–29 C; ≤21 R&amp;R).</w:t>
      </w:r>
    </w:p>
    <w:p>
      <w:pPr>
        <w:pStyle w:val="ListBullet"/>
        <w:spacing w:after="60" w:line="312" w:lineRule="auto"/>
      </w:pPr>
      <w:r>
        <w:rPr>
          <w:rFonts w:ascii="Avenir Next" w:hAnsi="Avenir Next" w:cs="Avenir Next"/>
          <w:b w:val="0"/>
          <w:i w:val="0"/>
          <w:color w:val="000000"/>
          <w:sz w:val="25"/>
        </w:rPr>
        <w:t>Decide independently of the AI Judges. Their scores are advisory.</w:t>
      </w:r>
    </w:p>
    <w:p>
      <w:pPr>
        <w:spacing w:before="320" w:after="140"/>
        <w:pBdr>
          <w:bottom w:val="single" w:sz="6" w:space="4" w:color="C9A961"/>
        </w:pBdr>
      </w:pPr>
      <w:r>
        <w:rPr>
          <w:rFonts w:ascii="Baskerville" w:hAnsi="Baskerville" w:cs="Baskerville"/>
          <w:b w:val="0"/>
          <w:i w:val="0"/>
          <w:color w:val="9C6F1C"/>
          <w:sz w:val="33"/>
        </w:rPr>
        <w:t>Suggested grade weighting</w:t>
      </w:r>
    </w:p>
    <w:p>
      <w:pPr>
        <w:spacing w:after="140" w:line="324" w:lineRule="auto"/>
      </w:pPr>
      <w:r>
        <w:rPr>
          <w:rFonts w:ascii="Avenir Next" w:hAnsi="Avenir Next" w:cs="Avenir Next"/>
          <w:b w:val="0"/>
          <w:i w:val="0"/>
          <w:color w:val="000000"/>
          <w:sz w:val="25"/>
        </w:rPr>
        <w:t>Voice for Change · Rubric A</w:t>
      </w:r>
    </w:p>
    <w:p>
      <w:pPr>
        <w:spacing w:after="140" w:line="324" w:lineRule="auto"/>
      </w:pPr>
      <w:r>
        <w:rPr>
          <w:rFonts w:ascii="Avenir Next" w:hAnsi="Avenir Next" w:cs="Avenir Next"/>
          <w:b w:val="0"/>
          <w:i w:val="0"/>
          <w:color w:val="000000"/>
          <w:sz w:val="25"/>
        </w:rPr>
        <w:t>50%</w:t>
      </w:r>
    </w:p>
    <w:p>
      <w:pPr>
        <w:spacing w:after="140" w:line="324" w:lineRule="auto"/>
      </w:pPr>
      <w:r>
        <w:rPr>
          <w:rFonts w:ascii="Avenir Next" w:hAnsi="Avenir Next" w:cs="Avenir Next"/>
          <w:b w:val="0"/>
          <w:i w:val="0"/>
          <w:color w:val="000000"/>
          <w:sz w:val="25"/>
        </w:rPr>
        <w:t>Language growth · Rubric C</w:t>
      </w:r>
    </w:p>
    <w:p>
      <w:pPr>
        <w:spacing w:after="140" w:line="324" w:lineRule="auto"/>
      </w:pPr>
      <w:r>
        <w:rPr>
          <w:rFonts w:ascii="Avenir Next" w:hAnsi="Avenir Next" w:cs="Avenir Next"/>
          <w:b w:val="0"/>
          <w:i w:val="0"/>
          <w:color w:val="000000"/>
          <w:sz w:val="25"/>
        </w:rPr>
        <w:t>20%</w:t>
      </w:r>
    </w:p>
    <w:p>
      <w:pPr>
        <w:spacing w:after="140" w:line="324" w:lineRule="auto"/>
      </w:pPr>
      <w:r>
        <w:rPr>
          <w:rFonts w:ascii="Avenir Next" w:hAnsi="Avenir Next" w:cs="Avenir Next"/>
          <w:b w:val="0"/>
          <w:i w:val="0"/>
          <w:color w:val="000000"/>
          <w:sz w:val="25"/>
        </w:rPr>
        <w:t>Soft skills · Rubric D</w:t>
      </w:r>
    </w:p>
    <w:p>
      <w:pPr>
        <w:spacing w:after="140" w:line="324" w:lineRule="auto"/>
      </w:pPr>
      <w:r>
        <w:rPr>
          <w:rFonts w:ascii="Avenir Next" w:hAnsi="Avenir Next" w:cs="Avenir Next"/>
          <w:b w:val="0"/>
          <w:i w:val="0"/>
          <w:color w:val="000000"/>
          <w:sz w:val="25"/>
        </w:rPr>
        <w:t>20%</w:t>
      </w:r>
    </w:p>
    <w:p>
      <w:pPr>
        <w:spacing w:after="140" w:line="324" w:lineRule="auto"/>
      </w:pPr>
      <w:r>
        <w:rPr>
          <w:rFonts w:ascii="Avenir Next" w:hAnsi="Avenir Next" w:cs="Avenir Next"/>
          <w:b w:val="0"/>
          <w:i w:val="0"/>
          <w:color w:val="000000"/>
          <w:sz w:val="25"/>
        </w:rPr>
        <w:t>Mission decision aggregate · Rubric B audit</w:t>
      </w:r>
    </w:p>
    <w:p>
      <w:pPr>
        <w:spacing w:after="140" w:line="324" w:lineRule="auto"/>
      </w:pPr>
      <w:r>
        <w:rPr>
          <w:rFonts w:ascii="Avenir Next" w:hAnsi="Avenir Next" w:cs="Avenir Next"/>
          <w:b w:val="0"/>
          <w:i w:val="0"/>
          <w:color w:val="000000"/>
          <w:sz w:val="25"/>
        </w:rPr>
        <w:t>10%</w:t>
      </w:r>
    </w:p>
    <w:p>
      <w:pPr>
        <w:spacing w:after="140" w:line="324" w:lineRule="auto"/>
      </w:pPr>
      <w:r>
        <w:rPr>
          <w:rFonts w:ascii="Avenir Next" w:hAnsi="Avenir Next" w:cs="Avenir Next"/>
          <w:b w:val="0"/>
          <w:i w:val="0"/>
          <w:color w:val="000000"/>
          <w:sz w:val="25"/>
        </w:rPr>
        <w:t>You may re-weight on your syllabus. The Keystones are a gate, not a grade — earning six unlocks the capstone; they are never averaged in.</w:t>
      </w:r>
    </w:p>
    <w:p>
      <w:pPr>
        <w:spacing w:before="320" w:after="140"/>
        <w:pBdr>
          <w:bottom w:val="single" w:sz="6" w:space="4" w:color="C9A961"/>
        </w:pBdr>
      </w:pPr>
      <w:r>
        <w:rPr>
          <w:rFonts w:ascii="Baskerville" w:hAnsi="Baskerville" w:cs="Baskerville"/>
          <w:b w:val="0"/>
          <w:i w:val="0"/>
          <w:color w:val="9C6F1C"/>
          <w:sz w:val="33"/>
        </w:rPr>
        <w:t>Auditing AI Judge scores</w:t>
      </w:r>
    </w:p>
    <w:p>
      <w:pPr>
        <w:spacing w:after="140" w:line="324" w:lineRule="auto"/>
      </w:pPr>
      <w:r>
        <w:rPr>
          <w:rFonts w:ascii="Avenir Next" w:hAnsi="Avenir Next" w:cs="Avenir Next"/>
          <w:b w:val="0"/>
          <w:i w:val="0"/>
          <w:color w:val="000000"/>
          <w:sz w:val="25"/>
        </w:rPr>
        <w:t>Random-sample 5% of AI Judge decisions across each cohort. Open the decision in Moderation, read the rubric criterion the AI scored against, and compare to what you would have scored. If you disagree, flag the decision; a daily report aggregates flags. Drift &gt; 0.5 score-points on any criterion triggers a system-prompt revision in the next platform release.</w:t>
      </w:r>
    </w:p>
    <w:p>
      <w:pPr>
        <w:spacing w:before="320" w:after="140"/>
        <w:pBdr>
          <w:bottom w:val="single" w:sz="6" w:space="4" w:color="C9A961"/>
        </w:pBdr>
      </w:pPr>
      <w:r>
        <w:rPr>
          <w:rFonts w:ascii="Baskerville" w:hAnsi="Baskerville" w:cs="Baskerville"/>
          <w:b w:val="0"/>
          <w:i w:val="0"/>
          <w:color w:val="9C6F1C"/>
          <w:sz w:val="33"/>
        </w:rPr>
        <w:t>Rubrics A · B · C · D at a glance</w:t>
      </w:r>
    </w:p>
    <w:p>
      <w:pPr>
        <w:spacing w:after="140" w:line="324" w:lineRule="auto"/>
      </w:pPr>
      <w:r>
        <w:rPr>
          <w:rFonts w:ascii="Avenir Next" w:hAnsi="Avenir Next" w:cs="Avenir Next"/>
          <w:b w:val="0"/>
          <w:i w:val="0"/>
          <w:color w:val="000000"/>
          <w:sz w:val="25"/>
        </w:rPr>
        <w:t>สรุปรูบริก A · B · C · D</w:t>
      </w:r>
    </w:p>
    <w:p>
      <w:pPr>
        <w:spacing w:after="140" w:line="324" w:lineRule="auto"/>
      </w:pPr>
      <w:r>
        <w:rPr>
          <w:rFonts w:ascii="Avenir Next" w:hAnsi="Avenir Next" w:cs="Avenir Next"/>
          <w:b w:val="0"/>
          <w:i w:val="0"/>
          <w:color w:val="000000"/>
          <w:sz w:val="25"/>
        </w:rPr>
        <w:t>Four rubrics. Each has its own dedicated PDF in the submission package. This chapter is the at-a-glance reference card — read alongside the PDFs, not in place of them.</w:t>
      </w:r>
    </w:p>
    <w:p>
      <w:pPr>
        <w:spacing w:before="320" w:after="140"/>
        <w:pBdr>
          <w:bottom w:val="single" w:sz="6" w:space="4" w:color="C9A961"/>
        </w:pBdr>
      </w:pPr>
      <w:r>
        <w:rPr>
          <w:rFonts w:ascii="Baskerville" w:hAnsi="Baskerville" w:cs="Baskerville"/>
          <w:b w:val="0"/>
          <w:i w:val="0"/>
          <w:color w:val="9C6F1C"/>
          <w:sz w:val="33"/>
        </w:rPr>
        <w:t>The four-tier judging system</w:t>
      </w:r>
    </w:p>
    <w:p>
      <w:pPr>
        <w:spacing w:after="140" w:line="324" w:lineRule="auto"/>
      </w:pPr>
      <w:r>
        <w:rPr>
          <w:rFonts w:ascii="Avenir Next" w:hAnsi="Avenir Next" w:cs="Avenir Next"/>
          <w:b w:val="0"/>
          <w:i w:val="0"/>
          <w:color w:val="000000"/>
          <w:sz w:val="25"/>
        </w:rPr>
        <w:t>FUTUREPROOF uses a four-tier hybrid judging architecture. Each tier has a specific job; together they cover formative scale, peer metacognition, summative authority, and authentic audience.</w:t>
      </w:r>
    </w:p>
    <w:tbl>
      <w:tblPr>
        <w:tblW w:type="auto" w:w="0"/>
        <w:jc w:val="left"/>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1882"/>
        <w:gridCol w:w="1882"/>
        <w:gridCol w:w="1882"/>
        <w:gridCol w:w="1882"/>
        <w:gridCol w:w="1882"/>
      </w:tblGrid>
      <w:tr>
        <w:tc>
          <w:tcPr>
            <w:tcW w:type="dxa" w:w="1882"/>
            <w:shd w:val="clear" w:color="auto" w:fill="F4F1EA"/>
          </w:tcPr>
          <w:p>
            <w:pPr>
              <w:spacing w:after="20"/>
            </w:pPr>
            <w:r>
              <w:rPr>
                <w:rFonts w:ascii="Menlo" w:hAnsi="Menlo" w:cs="Menlo"/>
                <w:b/>
                <w:i w:val="0"/>
                <w:color w:val="9C6F1C"/>
                <w:sz w:val="16"/>
                <w:spacing w:val="16"/>
              </w:rPr>
              <w:t>TIER</w:t>
            </w:r>
          </w:p>
        </w:tc>
        <w:tc>
          <w:tcPr>
            <w:tcW w:type="dxa" w:w="1882"/>
            <w:shd w:val="clear" w:color="auto" w:fill="F4F1EA"/>
          </w:tcPr>
          <w:p>
            <w:pPr>
              <w:spacing w:after="20"/>
            </w:pPr>
            <w:r>
              <w:rPr>
                <w:rFonts w:ascii="Menlo" w:hAnsi="Menlo" w:cs="Menlo"/>
                <w:b/>
                <w:i w:val="0"/>
                <w:color w:val="9C6F1C"/>
                <w:sz w:val="16"/>
                <w:spacing w:val="16"/>
              </w:rPr>
              <w:t>JUDGE</w:t>
            </w:r>
          </w:p>
        </w:tc>
        <w:tc>
          <w:tcPr>
            <w:tcW w:type="dxa" w:w="1882"/>
            <w:shd w:val="clear" w:color="auto" w:fill="F4F1EA"/>
          </w:tcPr>
          <w:p>
            <w:pPr>
              <w:spacing w:after="20"/>
            </w:pPr>
            <w:r>
              <w:rPr>
                <w:rFonts w:ascii="Menlo" w:hAnsi="Menlo" w:cs="Menlo"/>
                <w:b/>
                <w:i w:val="0"/>
                <w:color w:val="9C6F1C"/>
                <w:sz w:val="16"/>
                <w:spacing w:val="16"/>
              </w:rPr>
              <w:t>JOB</w:t>
            </w:r>
          </w:p>
        </w:tc>
        <w:tc>
          <w:tcPr>
            <w:tcW w:type="dxa" w:w="1882"/>
            <w:shd w:val="clear" w:color="auto" w:fill="F4F1EA"/>
          </w:tcPr>
          <w:p>
            <w:pPr>
              <w:spacing w:after="20"/>
            </w:pPr>
            <w:r>
              <w:rPr>
                <w:rFonts w:ascii="Menlo" w:hAnsi="Menlo" w:cs="Menlo"/>
                <w:b/>
                <w:i w:val="0"/>
                <w:color w:val="9C6F1C"/>
                <w:sz w:val="16"/>
                <w:spacing w:val="16"/>
              </w:rPr>
              <w:t>RUBRIC</w:t>
            </w:r>
          </w:p>
        </w:tc>
        <w:tc>
          <w:tcPr>
            <w:tcW w:type="dxa" w:w="1882"/>
            <w:shd w:val="clear" w:color="auto" w:fill="F4F1EA"/>
          </w:tcPr>
          <w:p>
            <w:pPr>
              <w:spacing w:after="20"/>
            </w:pPr>
            <w:r>
              <w:rPr>
                <w:rFonts w:ascii="Menlo" w:hAnsi="Menlo" w:cs="Menlo"/>
                <w:b/>
                <w:i w:val="0"/>
                <w:color w:val="9C6F1C"/>
                <w:sz w:val="16"/>
                <w:spacing w:val="16"/>
              </w:rPr>
              <w:t>WHEN</w:t>
            </w:r>
          </w:p>
        </w:tc>
      </w:tr>
      <w:tr>
        <w:tc>
          <w:tcPr>
            <w:tcW w:type="dxa" w:w="1882"/>
          </w:tcPr>
          <w:p>
            <w:pPr>
              <w:spacing w:after="20" w:line="300" w:lineRule="auto"/>
            </w:pPr>
            <w:r>
              <w:rPr>
                <w:rFonts w:ascii="Avenir Next" w:hAnsi="Avenir Next" w:cs="Avenir Next"/>
                <w:b w:val="0"/>
                <w:i w:val="0"/>
                <w:color w:val="000000"/>
                <w:sz w:val="21"/>
              </w:rPr>
              <w:t>Tier 1</w:t>
            </w:r>
          </w:p>
        </w:tc>
        <w:tc>
          <w:tcPr>
            <w:tcW w:type="dxa" w:w="1882"/>
          </w:tcPr>
          <w:p>
            <w:pPr>
              <w:spacing w:after="20" w:line="300" w:lineRule="auto"/>
            </w:pPr>
            <w:r>
              <w:rPr>
                <w:rFonts w:ascii="Avenir Next" w:hAnsi="Avenir Next" w:cs="Avenir Next"/>
                <w:b w:val="0"/>
                <w:i w:val="0"/>
                <w:color w:val="000000"/>
                <w:sz w:val="21"/>
              </w:rPr>
              <w:t>AI Judges</w:t>
            </w:r>
          </w:p>
        </w:tc>
        <w:tc>
          <w:tcPr>
            <w:tcW w:type="dxa" w:w="1882"/>
          </w:tcPr>
          <w:p>
            <w:pPr>
              <w:spacing w:after="20" w:line="300" w:lineRule="auto"/>
            </w:pPr>
            <w:r>
              <w:rPr>
                <w:rFonts w:ascii="Avenir Next" w:hAnsi="Avenir Next" w:cs="Avenir Next"/>
                <w:b w:val="0"/>
                <w:i w:val="0"/>
                <w:color w:val="000000"/>
                <w:sz w:val="21"/>
              </w:rPr>
              <w:t>Real-time formative evaluation</w:t>
            </w:r>
          </w:p>
        </w:tc>
        <w:tc>
          <w:tcPr>
            <w:tcW w:type="dxa" w:w="1882"/>
          </w:tcPr>
          <w:p>
            <w:pPr>
              <w:spacing w:after="20" w:line="300" w:lineRule="auto"/>
            </w:pPr>
            <w:r>
              <w:rPr>
                <w:rFonts w:ascii="Avenir Next" w:hAnsi="Avenir Next" w:cs="Avenir Next"/>
                <w:b w:val="0"/>
                <w:i w:val="0"/>
                <w:color w:val="000000"/>
                <w:sz w:val="21"/>
              </w:rPr>
              <w:t>B</w:t>
            </w:r>
          </w:p>
        </w:tc>
        <w:tc>
          <w:tcPr>
            <w:tcW w:type="dxa" w:w="1882"/>
          </w:tcPr>
          <w:p>
            <w:pPr>
              <w:spacing w:after="20" w:line="300" w:lineRule="auto"/>
            </w:pPr>
            <w:r>
              <w:rPr>
                <w:rFonts w:ascii="Avenir Next" w:hAnsi="Avenir Next" w:cs="Avenir Next"/>
                <w:b w:val="0"/>
                <w:i w:val="0"/>
                <w:color w:val="000000"/>
                <w:sz w:val="21"/>
              </w:rPr>
              <w:t>Every decision</w:t>
            </w:r>
          </w:p>
        </w:tc>
      </w:tr>
      <w:tr>
        <w:tc>
          <w:tcPr>
            <w:tcW w:type="dxa" w:w="1882"/>
          </w:tcPr>
          <w:p>
            <w:pPr>
              <w:spacing w:after="20" w:line="300" w:lineRule="auto"/>
            </w:pPr>
            <w:r>
              <w:rPr>
                <w:rFonts w:ascii="Avenir Next" w:hAnsi="Avenir Next" w:cs="Avenir Next"/>
                <w:b w:val="0"/>
                <w:i w:val="0"/>
                <w:color w:val="000000"/>
                <w:sz w:val="21"/>
              </w:rPr>
              <w:t>Tier 2</w:t>
            </w:r>
          </w:p>
        </w:tc>
        <w:tc>
          <w:tcPr>
            <w:tcW w:type="dxa" w:w="1882"/>
          </w:tcPr>
          <w:p>
            <w:pPr>
              <w:spacing w:after="20" w:line="300" w:lineRule="auto"/>
            </w:pPr>
            <w:r>
              <w:rPr>
                <w:rFonts w:ascii="Avenir Next" w:hAnsi="Avenir Next" w:cs="Avenir Next"/>
                <w:b w:val="0"/>
                <w:i w:val="0"/>
                <w:color w:val="000000"/>
                <w:sz w:val="21"/>
              </w:rPr>
              <w:t>Peer Judges</w:t>
            </w:r>
          </w:p>
        </w:tc>
        <w:tc>
          <w:tcPr>
            <w:tcW w:type="dxa" w:w="1882"/>
          </w:tcPr>
          <w:p>
            <w:pPr>
              <w:spacing w:after="20" w:line="300" w:lineRule="auto"/>
            </w:pPr>
            <w:r>
              <w:rPr>
                <w:rFonts w:ascii="Avenir Next" w:hAnsi="Avenir Next" w:cs="Avenir Next"/>
                <w:b w:val="0"/>
                <w:i w:val="0"/>
                <w:color w:val="000000"/>
                <w:sz w:val="21"/>
              </w:rPr>
              <w:t>Cross-team rubric review</w:t>
            </w:r>
          </w:p>
        </w:tc>
        <w:tc>
          <w:tcPr>
            <w:tcW w:type="dxa" w:w="1882"/>
          </w:tcPr>
          <w:p>
            <w:pPr>
              <w:spacing w:after="20" w:line="300" w:lineRule="auto"/>
            </w:pPr>
            <w:r>
              <w:rPr>
                <w:rFonts w:ascii="Avenir Next" w:hAnsi="Avenir Next" w:cs="Avenir Next"/>
                <w:b w:val="0"/>
                <w:i w:val="0"/>
                <w:color w:val="000000"/>
                <w:sz w:val="21"/>
              </w:rPr>
              <w:t>D</w:t>
            </w:r>
          </w:p>
        </w:tc>
        <w:tc>
          <w:tcPr>
            <w:tcW w:type="dxa" w:w="1882"/>
          </w:tcPr>
          <w:p>
            <w:pPr>
              <w:spacing w:after="20" w:line="300" w:lineRule="auto"/>
            </w:pPr>
            <w:r>
              <w:rPr>
                <w:rFonts w:ascii="Avenir Next" w:hAnsi="Avenir Next" w:cs="Avenir Next"/>
                <w:b w:val="0"/>
                <w:i w:val="0"/>
                <w:color w:val="000000"/>
                <w:sz w:val="21"/>
              </w:rPr>
              <w:t>After a passed mission</w:t>
            </w:r>
          </w:p>
        </w:tc>
      </w:tr>
      <w:tr>
        <w:tc>
          <w:tcPr>
            <w:tcW w:type="dxa" w:w="1882"/>
          </w:tcPr>
          <w:p>
            <w:pPr>
              <w:spacing w:after="20" w:line="300" w:lineRule="auto"/>
            </w:pPr>
            <w:r>
              <w:rPr>
                <w:rFonts w:ascii="Avenir Next" w:hAnsi="Avenir Next" w:cs="Avenir Next"/>
                <w:b w:val="0"/>
                <w:i w:val="0"/>
                <w:color w:val="000000"/>
                <w:sz w:val="21"/>
              </w:rPr>
              <w:t>Tier 3</w:t>
            </w:r>
          </w:p>
        </w:tc>
        <w:tc>
          <w:tcPr>
            <w:tcW w:type="dxa" w:w="1882"/>
          </w:tcPr>
          <w:p>
            <w:pPr>
              <w:spacing w:after="20" w:line="300" w:lineRule="auto"/>
            </w:pPr>
            <w:r>
              <w:rPr>
                <w:rFonts w:ascii="Avenir Next" w:hAnsi="Avenir Next" w:cs="Avenir Next"/>
                <w:b w:val="0"/>
                <w:i w:val="0"/>
                <w:color w:val="000000"/>
                <w:sz w:val="21"/>
              </w:rPr>
              <w:t>Teacher Judges</w:t>
            </w:r>
          </w:p>
        </w:tc>
        <w:tc>
          <w:tcPr>
            <w:tcW w:type="dxa" w:w="1882"/>
          </w:tcPr>
          <w:p>
            <w:pPr>
              <w:spacing w:after="20" w:line="300" w:lineRule="auto"/>
            </w:pPr>
            <w:r>
              <w:rPr>
                <w:rFonts w:ascii="Avenir Next" w:hAnsi="Avenir Next" w:cs="Avenir Next"/>
                <w:b w:val="0"/>
                <w:i w:val="0"/>
                <w:color w:val="000000"/>
                <w:sz w:val="21"/>
              </w:rPr>
              <w:t>Holistic, summative, authoritative</w:t>
            </w:r>
          </w:p>
        </w:tc>
        <w:tc>
          <w:tcPr>
            <w:tcW w:type="dxa" w:w="1882"/>
          </w:tcPr>
          <w:p>
            <w:pPr>
              <w:spacing w:after="20" w:line="300" w:lineRule="auto"/>
            </w:pPr>
            <w:r>
              <w:rPr>
                <w:rFonts w:ascii="Avenir Next" w:hAnsi="Avenir Next" w:cs="Avenir Next"/>
                <w:b w:val="0"/>
                <w:i w:val="0"/>
                <w:color w:val="000000"/>
                <w:sz w:val="21"/>
              </w:rPr>
              <w:t>A · C · D</w:t>
            </w:r>
          </w:p>
        </w:tc>
        <w:tc>
          <w:tcPr>
            <w:tcW w:type="dxa" w:w="1882"/>
          </w:tcPr>
          <w:p>
            <w:pPr>
              <w:spacing w:after="20" w:line="300" w:lineRule="auto"/>
            </w:pPr>
            <w:r>
              <w:rPr>
                <w:rFonts w:ascii="Avenir Next" w:hAnsi="Avenir Next" w:cs="Avenir Next"/>
                <w:b w:val="0"/>
                <w:i w:val="0"/>
                <w:color w:val="000000"/>
                <w:sz w:val="21"/>
              </w:rPr>
              <w:t>Final capstone grading</w:t>
            </w:r>
          </w:p>
        </w:tc>
      </w:tr>
      <w:tr>
        <w:tc>
          <w:tcPr>
            <w:tcW w:type="dxa" w:w="1882"/>
          </w:tcPr>
          <w:p>
            <w:pPr>
              <w:spacing w:after="20" w:line="300" w:lineRule="auto"/>
            </w:pPr>
            <w:r>
              <w:rPr>
                <w:rFonts w:ascii="Avenir Next" w:hAnsi="Avenir Next" w:cs="Avenir Next"/>
                <w:b w:val="0"/>
                <w:i w:val="0"/>
                <w:color w:val="000000"/>
                <w:sz w:val="21"/>
              </w:rPr>
              <w:t>Tier 4</w:t>
            </w:r>
          </w:p>
        </w:tc>
        <w:tc>
          <w:tcPr>
            <w:tcW w:type="dxa" w:w="1882"/>
          </w:tcPr>
          <w:p>
            <w:pPr>
              <w:spacing w:after="20" w:line="300" w:lineRule="auto"/>
            </w:pPr>
            <w:r>
              <w:rPr>
                <w:rFonts w:ascii="Avenir Next" w:hAnsi="Avenir Next" w:cs="Avenir Next"/>
                <w:b w:val="0"/>
                <w:i w:val="0"/>
                <w:color w:val="000000"/>
                <w:sz w:val="21"/>
              </w:rPr>
              <w:t>External Judges</w:t>
            </w:r>
          </w:p>
        </w:tc>
        <w:tc>
          <w:tcPr>
            <w:tcW w:type="dxa" w:w="1882"/>
          </w:tcPr>
          <w:p>
            <w:pPr>
              <w:spacing w:after="20" w:line="300" w:lineRule="auto"/>
            </w:pPr>
            <w:r>
              <w:rPr>
                <w:rFonts w:ascii="Avenir Next" w:hAnsi="Avenir Next" w:cs="Avenir Next"/>
                <w:b w:val="0"/>
                <w:i w:val="0"/>
                <w:color w:val="000000"/>
                <w:sz w:val="21"/>
              </w:rPr>
              <w:t>Authentic audience recognition</w:t>
            </w:r>
          </w:p>
        </w:tc>
        <w:tc>
          <w:tcPr>
            <w:tcW w:type="dxa" w:w="1882"/>
          </w:tcPr>
          <w:p>
            <w:pPr>
              <w:spacing w:after="20" w:line="300" w:lineRule="auto"/>
            </w:pPr>
            <w:r>
              <w:rPr>
                <w:rFonts w:ascii="Avenir Next" w:hAnsi="Avenir Next" w:cs="Avenir Next"/>
                <w:b w:val="0"/>
                <w:i w:val="0"/>
                <w:color w:val="000000"/>
                <w:sz w:val="21"/>
              </w:rPr>
              <w:t>—</w:t>
            </w:r>
          </w:p>
        </w:tc>
        <w:tc>
          <w:tcPr>
            <w:tcW w:type="dxa" w:w="1882"/>
          </w:tcPr>
          <w:p>
            <w:pPr>
              <w:spacing w:after="20" w:line="300" w:lineRule="auto"/>
            </w:pPr>
            <w:r>
              <w:rPr>
                <w:rFonts w:ascii="Avenir Next" w:hAnsi="Avenir Next" w:cs="Avenir Next"/>
                <w:b w:val="0"/>
                <w:i w:val="0"/>
                <w:color w:val="000000"/>
                <w:sz w:val="21"/>
              </w:rPr>
              <w:t>Pitch Showcase event</w:t>
            </w:r>
          </w:p>
        </w:tc>
      </w:tr>
    </w:tbl>
    <w:p>
      <w:pPr>
        <w:spacing w:before="320" w:after="140"/>
        <w:pBdr>
          <w:bottom w:val="single" w:sz="6" w:space="4" w:color="C9A961"/>
        </w:pBdr>
      </w:pPr>
      <w:r>
        <w:rPr>
          <w:rFonts w:ascii="Baskerville" w:hAnsi="Baskerville" w:cs="Baskerville"/>
          <w:b w:val="0"/>
          <w:i w:val="0"/>
          <w:color w:val="9C6F1C"/>
          <w:sz w:val="33"/>
        </w:rPr>
        <w:t>Rubric reference</w:t>
      </w:r>
    </w:p>
    <w:p>
      <w:pPr>
        <w:spacing w:after="140" w:line="324" w:lineRule="auto"/>
      </w:pPr>
      <w:r>
        <w:rPr>
          <w:rFonts w:ascii="Avenir Next" w:hAnsi="Avenir Next" w:cs="Avenir Next"/>
          <w:b w:val="0"/>
          <w:i w:val="0"/>
          <w:color w:val="000000"/>
          <w:sz w:val="25"/>
        </w:rPr>
        <w:t>Rubric A</w:t>
      </w:r>
    </w:p>
    <w:p>
      <w:pPr>
        <w:spacing w:after="140" w:line="324" w:lineRule="auto"/>
      </w:pPr>
      <w:r>
        <w:rPr>
          <w:rFonts w:ascii="Avenir Next" w:hAnsi="Avenir Next" w:cs="Avenir Next"/>
          <w:b/>
          <w:i w:val="0"/>
          <w:color w:val="000000"/>
          <w:sz w:val="25"/>
        </w:rPr>
        <w:t>Voice for Change — Holistic Evaluation</w:t>
      </w:r>
      <w:r>
        <w:rPr>
          <w:rFonts w:ascii="Avenir Next" w:hAnsi="Avenir Next" w:cs="Avenir Next"/>
          <w:b w:val="0"/>
          <w:i w:val="0"/>
          <w:color w:val="000000"/>
          <w:sz w:val="25"/>
        </w:rPr>
        <w:t>. Teacher-graded summative. Five dimensions × 1.0/0.5 weighting · max 45 points · band thresholds 38/30/22.</w:t>
      </w:r>
    </w:p>
    <w:p>
      <w:pPr>
        <w:spacing w:after="140" w:line="324" w:lineRule="auto"/>
      </w:pPr>
      <w:r>
        <w:rPr>
          <w:rFonts w:ascii="Avenir Next" w:hAnsi="Avenir Next" w:cs="Avenir Next"/>
          <w:b w:val="0"/>
          <w:i w:val="0"/>
          <w:color w:val="000000"/>
          <w:sz w:val="25"/>
        </w:rPr>
        <w:t>Rubric B</w:t>
      </w:r>
    </w:p>
    <w:p>
      <w:pPr>
        <w:spacing w:after="140" w:line="324" w:lineRule="auto"/>
      </w:pPr>
      <w:r>
        <w:rPr>
          <w:rFonts w:ascii="Avenir Next" w:hAnsi="Avenir Next" w:cs="Avenir Next"/>
          <w:b/>
          <w:i w:val="0"/>
          <w:color w:val="000000"/>
          <w:sz w:val="25"/>
        </w:rPr>
        <w:t>Mission Decision Quality — AI Judge Logic</w:t>
      </w:r>
      <w:r>
        <w:rPr>
          <w:rFonts w:ascii="Avenir Next" w:hAnsi="Avenir Next" w:cs="Avenir Next"/>
          <w:b w:val="0"/>
          <w:i w:val="0"/>
          <w:color w:val="000000"/>
          <w:sz w:val="25"/>
        </w:rPr>
        <w:t>. AI-graded formative. Five stages × 1·3·5 per criterion · Insight Token band −10 … +25 · composite passes Keystone gate.</w:t>
      </w:r>
    </w:p>
    <w:p>
      <w:pPr>
        <w:spacing w:after="140" w:line="324" w:lineRule="auto"/>
      </w:pPr>
      <w:r>
        <w:rPr>
          <w:rFonts w:ascii="Avenir Next" w:hAnsi="Avenir Next" w:cs="Avenir Next"/>
          <w:b w:val="0"/>
          <w:i w:val="0"/>
          <w:color w:val="000000"/>
          <w:sz w:val="25"/>
        </w:rPr>
        <w:t>Rubric C</w:t>
      </w:r>
    </w:p>
    <w:p>
      <w:pPr>
        <w:spacing w:after="140" w:line="324" w:lineRule="auto"/>
      </w:pPr>
      <w:r>
        <w:rPr>
          <w:rFonts w:ascii="Avenir Next" w:hAnsi="Avenir Next" w:cs="Avenir Next"/>
          <w:b/>
          <w:i w:val="0"/>
          <w:color w:val="000000"/>
          <w:sz w:val="25"/>
        </w:rPr>
        <w:t>CEFR-Aligned Language Development (Pre/Post)</w:t>
      </w:r>
      <w:r>
        <w:rPr>
          <w:rFonts w:ascii="Avenir Next" w:hAnsi="Avenir Next" w:cs="Avenir Next"/>
          <w:b w:val="0"/>
          <w:i w:val="0"/>
          <w:color w:val="000000"/>
          <w:sz w:val="25"/>
        </w:rPr>
        <w:t>. Course-level. Five dimensions × CEFR half-band increments · composite growth ≥ 4 half-bands is the design target · tier-fairness rule applied.</w:t>
      </w:r>
    </w:p>
    <w:p>
      <w:pPr>
        <w:spacing w:after="140" w:line="324" w:lineRule="auto"/>
      </w:pPr>
      <w:r>
        <w:rPr>
          <w:rFonts w:ascii="Avenir Next" w:hAnsi="Avenir Next" w:cs="Avenir Next"/>
          <w:b w:val="0"/>
          <w:i w:val="0"/>
          <w:color w:val="000000"/>
          <w:sz w:val="25"/>
        </w:rPr>
        <w:t>Rubric D</w:t>
      </w:r>
    </w:p>
    <w:p>
      <w:pPr>
        <w:spacing w:after="140" w:line="324" w:lineRule="auto"/>
      </w:pPr>
      <w:r>
        <w:rPr>
          <w:rFonts w:ascii="Avenir Next" w:hAnsi="Avenir Next" w:cs="Avenir Next"/>
          <w:b/>
          <w:i w:val="0"/>
          <w:color w:val="000000"/>
          <w:sz w:val="25"/>
        </w:rPr>
        <w:t>Soft Skills Demonstration</w:t>
      </w:r>
      <w:r>
        <w:rPr>
          <w:rFonts w:ascii="Avenir Next" w:hAnsi="Avenir Next" w:cs="Avenir Next"/>
          <w:b w:val="0"/>
          <w:i w:val="0"/>
          <w:color w:val="000000"/>
          <w:sz w:val="25"/>
        </w:rPr>
        <w:t>. Teacher + peer. Five dimensions × 1·4·6 · max 30 · culturally-blind descriptors · "insufficient evidence" allowed.</w:t>
      </w:r>
    </w:p>
    <w:p>
      <w:pPr>
        <w:spacing w:after="140" w:line="324" w:lineRule="auto"/>
      </w:pPr>
      <w:r>
        <w:rPr>
          <w:rFonts w:ascii="Avenir Next" w:hAnsi="Avenir Next" w:cs="Avenir Next"/>
          <w:b w:val="0"/>
          <w:i w:val="0"/>
          <w:color w:val="000000"/>
          <w:sz w:val="25"/>
        </w:rPr>
        <w:t>Cross-reference The four standalone Rubric PDFs are in the submission package as rubric-a-voice-for-change.pdf, rubric-b-mission-decision.pdf, rubric-c-cefr-language.pdf, rubric-d-soft-skills.pdf. Each carries a Purpose · Objectives · Audience · Pedagogical Anchors cover page and the full criterion tables.</w:t>
      </w:r>
    </w:p>
    <w:p>
      <w:pPr>
        <w:spacing w:before="320" w:after="140"/>
        <w:pBdr>
          <w:bottom w:val="single" w:sz="6" w:space="4" w:color="C9A961"/>
        </w:pBdr>
      </w:pPr>
      <w:r>
        <w:rPr>
          <w:rFonts w:ascii="Baskerville" w:hAnsi="Baskerville" w:cs="Baskerville"/>
          <w:b w:val="0"/>
          <w:i w:val="0"/>
          <w:color w:val="9C6F1C"/>
          <w:sz w:val="33"/>
        </w:rPr>
        <w:t>PDPA + UDL compliance</w:t>
      </w:r>
    </w:p>
    <w:p>
      <w:pPr>
        <w:spacing w:after="140" w:line="324" w:lineRule="auto"/>
      </w:pPr>
      <w:r>
        <w:rPr>
          <w:rFonts w:ascii="Avenir Next" w:hAnsi="Avenir Next" w:cs="Avenir Next"/>
          <w:b w:val="0"/>
          <w:i w:val="0"/>
          <w:color w:val="000000"/>
          <w:sz w:val="25"/>
        </w:rPr>
        <w:t>การปฏิบัติตาม PDPA และ UDL</w:t>
      </w:r>
    </w:p>
    <w:p>
      <w:pPr>
        <w:spacing w:after="140" w:line="324" w:lineRule="auto"/>
      </w:pPr>
      <w:r>
        <w:rPr>
          <w:rFonts w:ascii="Avenir Next" w:hAnsi="Avenir Next" w:cs="Avenir Next"/>
          <w:b w:val="0"/>
          <w:i w:val="0"/>
          <w:color w:val="000000"/>
          <w:sz w:val="25"/>
        </w:rPr>
        <w:t>Two compliance regimes are built into the platform's foundations, not retrofitted. Each contributes architecture, not policy paperwork.</w:t>
      </w:r>
    </w:p>
    <w:p>
      <w:pPr>
        <w:spacing w:before="320" w:after="140"/>
        <w:pBdr>
          <w:bottom w:val="single" w:sz="6" w:space="4" w:color="C9A961"/>
        </w:pBdr>
      </w:pPr>
      <w:r>
        <w:rPr>
          <w:rFonts w:ascii="Baskerville" w:hAnsi="Baskerville" w:cs="Baskerville"/>
          <w:b w:val="0"/>
          <w:i w:val="0"/>
          <w:color w:val="9C6F1C"/>
          <w:sz w:val="33"/>
        </w:rPr>
        <w:t>PDPA · Thailand's Personal Data Protection Act</w:t>
      </w:r>
    </w:p>
    <w:p>
      <w:pPr>
        <w:pStyle w:val="ListBullet"/>
        <w:spacing w:after="60" w:line="312" w:lineRule="auto"/>
      </w:pPr>
      <w:r>
        <w:rPr>
          <w:rFonts w:ascii="Avenir Next" w:hAnsi="Avenir Next" w:cs="Avenir Next"/>
          <w:b w:val="0"/>
          <w:i w:val="0"/>
          <w:color w:val="000000"/>
          <w:sz w:val="25"/>
        </w:rPr>
        <w:t>Bilingual consent at sign-up — Thai + English, granular flags (basic profile · photo · voice · decisions · public showcase).</w:t>
      </w:r>
    </w:p>
    <w:p>
      <w:pPr>
        <w:pStyle w:val="ListBullet"/>
        <w:spacing w:after="60" w:line="312" w:lineRule="auto"/>
      </w:pPr>
      <w:r>
        <w:rPr>
          <w:rFonts w:ascii="Avenir Next" w:hAnsi="Avenir Next" w:cs="Avenir Next"/>
          <w:b w:val="0"/>
          <w:i w:val="0"/>
          <w:color w:val="000000"/>
          <w:sz w:val="25"/>
        </w:rPr>
        <w:t>Hard-gated readiness check — the diagnostic does not run and writes nothing until consent is recorded.</w:t>
      </w:r>
    </w:p>
    <w:p>
      <w:pPr>
        <w:pStyle w:val="ListBullet"/>
        <w:spacing w:after="60" w:line="312" w:lineRule="auto"/>
      </w:pPr>
      <w:r>
        <w:rPr>
          <w:rFonts w:ascii="Avenir Next" w:hAnsi="Avenir Next" w:cs="Avenir Next"/>
          <w:b w:val="0"/>
          <w:i w:val="0"/>
          <w:color w:val="000000"/>
          <w:sz w:val="25"/>
        </w:rPr>
        <w:t>My Data screen — every learner can export, correct, or delete their data at any time, self-service.</w:t>
      </w:r>
    </w:p>
    <w:p>
      <w:pPr>
        <w:pStyle w:val="ListBullet"/>
        <w:spacing w:after="60" w:line="312" w:lineRule="auto"/>
      </w:pPr>
      <w:r>
        <w:rPr>
          <w:rFonts w:ascii="Avenir Next" w:hAnsi="Avenir Next" w:cs="Avenir Next"/>
          <w:b w:val="0"/>
          <w:i w:val="0"/>
          <w:color w:val="000000"/>
          <w:sz w:val="25"/>
        </w:rPr>
        <w:t>90-day auto-deletion — personal data tombstones after 90 days post-course; pseudonymized analytics survive for research.</w:t>
      </w:r>
    </w:p>
    <w:p>
      <w:pPr>
        <w:pStyle w:val="ListBullet"/>
        <w:spacing w:after="60" w:line="312" w:lineRule="auto"/>
      </w:pPr>
      <w:r>
        <w:rPr>
          <w:rFonts w:ascii="Avenir Next" w:hAnsi="Avenir Next" w:cs="Avenir Next"/>
          <w:b w:val="0"/>
          <w:i w:val="0"/>
          <w:color w:val="000000"/>
          <w:sz w:val="25"/>
        </w:rPr>
        <w:t>Audit logs — every admin access to personal data is logged with admin ID, timestamp, and reason.</w:t>
      </w:r>
    </w:p>
    <w:p>
      <w:pPr>
        <w:pStyle w:val="ListBullet"/>
        <w:spacing w:after="60" w:line="312" w:lineRule="auto"/>
      </w:pPr>
      <w:r>
        <w:rPr>
          <w:rFonts w:ascii="Avenir Next" w:hAnsi="Avenir Next" w:cs="Avenir Next"/>
          <w:b w:val="0"/>
          <w:i w:val="0"/>
          <w:color w:val="000000"/>
          <w:sz w:val="25"/>
        </w:rPr>
        <w:t>Encryption — in transit (TLS 1.3) and at rest (Firebase default encryption).</w:t>
      </w:r>
    </w:p>
    <w:p>
      <w:pPr>
        <w:pStyle w:val="ListBullet"/>
        <w:spacing w:after="60" w:line="312" w:lineRule="auto"/>
      </w:pPr>
      <w:r>
        <w:rPr>
          <w:rFonts w:ascii="Avenir Next" w:hAnsi="Avenir Next" w:cs="Avenir Next"/>
          <w:b w:val="0"/>
          <w:i w:val="0"/>
          <w:color w:val="000000"/>
          <w:sz w:val="25"/>
        </w:rPr>
        <w:t>DPIA — full Data Protection Impact Assessment is part of the submission package (docs/dpia.md).</w:t>
      </w:r>
    </w:p>
    <w:p>
      <w:pPr>
        <w:spacing w:before="320" w:after="140"/>
        <w:pBdr>
          <w:bottom w:val="single" w:sz="6" w:space="4" w:color="C9A961"/>
        </w:pBdr>
      </w:pPr>
      <w:r>
        <w:rPr>
          <w:rFonts w:ascii="Baskerville" w:hAnsi="Baskerville" w:cs="Baskerville"/>
          <w:b w:val="0"/>
          <w:i w:val="0"/>
          <w:color w:val="9C6F1C"/>
          <w:sz w:val="33"/>
        </w:rPr>
        <w:t>UDL · CAST Universal Design for Learning 3.0</w:t>
      </w:r>
    </w:p>
    <w:p>
      <w:pPr>
        <w:spacing w:after="140" w:line="324" w:lineRule="auto"/>
      </w:pPr>
      <w:r>
        <w:rPr>
          <w:rFonts w:ascii="Avenir Next" w:hAnsi="Avenir Next" w:cs="Avenir Next"/>
          <w:b w:val="0"/>
          <w:i w:val="0"/>
          <w:color w:val="000000"/>
          <w:sz w:val="25"/>
        </w:rPr>
        <w:t>UDL is implemented across the three CAST principles:</w:t>
      </w:r>
    </w:p>
    <w:tbl>
      <w:tblPr>
        <w:tblW w:type="auto" w:w="0"/>
        <w:jc w:val="left"/>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4706"/>
        <w:gridCol w:w="4706"/>
      </w:tblGrid>
      <w:tr>
        <w:tc>
          <w:tcPr>
            <w:tcW w:type="dxa" w:w="4706"/>
            <w:shd w:val="clear" w:color="auto" w:fill="F4F1EA"/>
          </w:tcPr>
          <w:p>
            <w:pPr>
              <w:spacing w:after="20"/>
            </w:pPr>
            <w:r>
              <w:rPr>
                <w:rFonts w:ascii="Menlo" w:hAnsi="Menlo" w:cs="Menlo"/>
                <w:b/>
                <w:i w:val="0"/>
                <w:color w:val="9C6F1C"/>
                <w:sz w:val="16"/>
                <w:spacing w:val="16"/>
              </w:rPr>
              <w:t>PRINCIPLE</w:t>
            </w:r>
          </w:p>
        </w:tc>
        <w:tc>
          <w:tcPr>
            <w:tcW w:type="dxa" w:w="4706"/>
            <w:shd w:val="clear" w:color="auto" w:fill="F4F1EA"/>
          </w:tcPr>
          <w:p>
            <w:pPr>
              <w:spacing w:after="20"/>
            </w:pPr>
            <w:r>
              <w:rPr>
                <w:rFonts w:ascii="Menlo" w:hAnsi="Menlo" w:cs="Menlo"/>
                <w:b/>
                <w:i w:val="0"/>
                <w:color w:val="9C6F1C"/>
                <w:sz w:val="16"/>
                <w:spacing w:val="16"/>
              </w:rPr>
              <w:t>IMPLEMENTATION IN FUTUREPROOF</w:t>
            </w:r>
          </w:p>
        </w:tc>
      </w:tr>
      <w:tr>
        <w:tc>
          <w:tcPr>
            <w:tcW w:type="dxa" w:w="4706"/>
          </w:tcPr>
          <w:p>
            <w:pPr>
              <w:spacing w:after="20" w:line="300" w:lineRule="auto"/>
            </w:pPr>
            <w:r>
              <w:rPr>
                <w:rFonts w:ascii="Avenir Next" w:hAnsi="Avenir Next" w:cs="Avenir Next"/>
                <w:b w:val="0"/>
                <w:i w:val="0"/>
                <w:color w:val="000000"/>
                <w:sz w:val="21"/>
              </w:rPr>
              <w:t>Multiple Means of Engagement</w:t>
            </w:r>
          </w:p>
        </w:tc>
        <w:tc>
          <w:tcPr>
            <w:tcW w:type="dxa" w:w="4706"/>
          </w:tcPr>
          <w:p>
            <w:pPr>
              <w:spacing w:after="20" w:line="300" w:lineRule="auto"/>
            </w:pPr>
            <w:r>
              <w:rPr>
                <w:rFonts w:ascii="Avenir Next" w:hAnsi="Avenir Next" w:cs="Avenir Next"/>
                <w:b w:val="0"/>
                <w:i w:val="0"/>
                <w:color w:val="000000"/>
                <w:sz w:val="21"/>
              </w:rPr>
              <w:t>Six SDG choice points · token economy · Hall of Voices public recognition · learner-paced missions.</w:t>
            </w:r>
          </w:p>
        </w:tc>
      </w:tr>
      <w:tr>
        <w:tc>
          <w:tcPr>
            <w:tcW w:type="dxa" w:w="4706"/>
          </w:tcPr>
          <w:p>
            <w:pPr>
              <w:spacing w:after="20" w:line="300" w:lineRule="auto"/>
            </w:pPr>
            <w:r>
              <w:rPr>
                <w:rFonts w:ascii="Avenir Next" w:hAnsi="Avenir Next" w:cs="Avenir Next"/>
                <w:b w:val="0"/>
                <w:i w:val="0"/>
                <w:color w:val="000000"/>
                <w:sz w:val="21"/>
              </w:rPr>
              <w:t>Multiple Means of Representation</w:t>
            </w:r>
          </w:p>
        </w:tc>
        <w:tc>
          <w:tcPr>
            <w:tcW w:type="dxa" w:w="4706"/>
          </w:tcPr>
          <w:p>
            <w:pPr>
              <w:spacing w:after="20" w:line="300" w:lineRule="auto"/>
            </w:pPr>
            <w:r>
              <w:rPr>
                <w:rFonts w:ascii="Avenir Next" w:hAnsi="Avenir Next" w:cs="Avenir Next"/>
                <w:b w:val="0"/>
                <w:i w:val="0"/>
                <w:color w:val="000000"/>
                <w:sz w:val="21"/>
              </w:rPr>
              <w:t>CEFR-tiered dossiers (3 tiers) · audio + captions · stakeholder dispatch videos · pronunciation speakers on glossed terms · dyslexia-friendly font option.</w:t>
            </w:r>
          </w:p>
        </w:tc>
      </w:tr>
      <w:tr>
        <w:tc>
          <w:tcPr>
            <w:tcW w:type="dxa" w:w="4706"/>
          </w:tcPr>
          <w:p>
            <w:pPr>
              <w:spacing w:after="20" w:line="300" w:lineRule="auto"/>
            </w:pPr>
            <w:r>
              <w:rPr>
                <w:rFonts w:ascii="Avenir Next" w:hAnsi="Avenir Next" w:cs="Avenir Next"/>
                <w:b w:val="0"/>
                <w:i w:val="0"/>
                <w:color w:val="000000"/>
                <w:sz w:val="21"/>
              </w:rPr>
              <w:t>Multiple Means of Action / Expression</w:t>
            </w:r>
          </w:p>
        </w:tc>
        <w:tc>
          <w:tcPr>
            <w:tcW w:type="dxa" w:w="4706"/>
          </w:tcPr>
          <w:p>
            <w:pPr>
              <w:spacing w:after="20" w:line="300" w:lineRule="auto"/>
            </w:pPr>
            <w:r>
              <w:rPr>
                <w:rFonts w:ascii="Avenir Next" w:hAnsi="Avenir Next" w:cs="Avenir Next"/>
                <w:b w:val="0"/>
                <w:i w:val="0"/>
                <w:color w:val="000000"/>
                <w:sz w:val="21"/>
              </w:rPr>
              <w:t>Voice for Change three lanes (live audio · upload · Canva) · Cognitive Pace Mode that removes time pressure · keyboard navigation · screen-reader ARIA labels.</w:t>
            </w:r>
          </w:p>
        </w:tc>
      </w:tr>
    </w:tbl>
    <w:p>
      <w:pPr>
        <w:spacing w:after="140" w:line="324" w:lineRule="auto"/>
      </w:pPr>
      <w:r>
        <w:rPr>
          <w:rFonts w:ascii="Avenir Next" w:hAnsi="Avenir Next" w:cs="Avenir Next"/>
          <w:b w:val="0"/>
          <w:i w:val="0"/>
          <w:color w:val="000000"/>
          <w:sz w:val="25"/>
        </w:rPr>
        <w:t>Mobile-first All breakpoints from 360 px upward. PWA-installable. Touch-optimised. Tested on actual mobile devices, not just desktop browser tools.</w:t>
      </w:r>
    </w:p>
    <w:p>
      <w:pPr>
        <w:spacing w:before="320" w:after="140"/>
        <w:pBdr>
          <w:bottom w:val="single" w:sz="6" w:space="4" w:color="C9A961"/>
        </w:pBdr>
      </w:pPr>
      <w:r>
        <w:rPr>
          <w:rFonts w:ascii="Baskerville" w:hAnsi="Baskerville" w:cs="Baskerville"/>
          <w:b w:val="0"/>
          <w:i w:val="0"/>
          <w:color w:val="9C6F1C"/>
          <w:sz w:val="33"/>
        </w:rPr>
        <w:t>Resources, contact, &amp; FAQ</w:t>
      </w:r>
    </w:p>
    <w:p>
      <w:pPr>
        <w:spacing w:after="140" w:line="324" w:lineRule="auto"/>
      </w:pPr>
      <w:r>
        <w:rPr>
          <w:rFonts w:ascii="Avenir Next" w:hAnsi="Avenir Next" w:cs="Avenir Next"/>
          <w:b w:val="0"/>
          <w:i w:val="0"/>
          <w:color w:val="000000"/>
          <w:sz w:val="25"/>
        </w:rPr>
        <w:t>แหล่งข้อมูล ติดต่อ และคำถามที่พบบ่อย</w:t>
      </w:r>
    </w:p>
    <w:p>
      <w:pPr>
        <w:spacing w:after="140" w:line="324" w:lineRule="auto"/>
      </w:pPr>
      <w:r>
        <w:rPr>
          <w:rFonts w:ascii="Avenir Next" w:hAnsi="Avenir Next" w:cs="Avenir Next"/>
          <w:b w:val="0"/>
          <w:i w:val="0"/>
          <w:color w:val="000000"/>
          <w:sz w:val="25"/>
        </w:rPr>
        <w:t>Where to find more, who to ask, and the answers to the questions you'll have first.</w:t>
      </w:r>
    </w:p>
    <w:p>
      <w:pPr>
        <w:spacing w:before="320" w:after="140"/>
        <w:pBdr>
          <w:bottom w:val="single" w:sz="6" w:space="4" w:color="C9A961"/>
        </w:pBdr>
      </w:pPr>
      <w:r>
        <w:rPr>
          <w:rFonts w:ascii="Baskerville" w:hAnsi="Baskerville" w:cs="Baskerville"/>
          <w:b w:val="0"/>
          <w:i w:val="0"/>
          <w:color w:val="9C6F1C"/>
          <w:sz w:val="33"/>
        </w:rPr>
        <w:t>Where to find things</w:t>
      </w:r>
    </w:p>
    <w:tbl>
      <w:tblPr>
        <w:tblW w:type="auto" w:w="0"/>
        <w:jc w:val="left"/>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4706"/>
        <w:gridCol w:w="4706"/>
      </w:tblGrid>
      <w:tr>
        <w:tc>
          <w:tcPr>
            <w:tcW w:type="dxa" w:w="4706"/>
            <w:shd w:val="clear" w:color="auto" w:fill="F4F1EA"/>
          </w:tcPr>
          <w:p>
            <w:pPr>
              <w:spacing w:after="20"/>
            </w:pPr>
            <w:r>
              <w:rPr>
                <w:rFonts w:ascii="Menlo" w:hAnsi="Menlo" w:cs="Menlo"/>
                <w:b/>
                <w:i w:val="0"/>
                <w:color w:val="9C6F1C"/>
                <w:sz w:val="16"/>
                <w:spacing w:val="16"/>
              </w:rPr>
              <w:t>RESOURCE</w:t>
            </w:r>
          </w:p>
        </w:tc>
        <w:tc>
          <w:tcPr>
            <w:tcW w:type="dxa" w:w="4706"/>
            <w:shd w:val="clear" w:color="auto" w:fill="F4F1EA"/>
          </w:tcPr>
          <w:p>
            <w:pPr>
              <w:spacing w:after="20"/>
            </w:pPr>
            <w:r>
              <w:rPr>
                <w:rFonts w:ascii="Menlo" w:hAnsi="Menlo" w:cs="Menlo"/>
                <w:b/>
                <w:i w:val="0"/>
                <w:color w:val="9C6F1C"/>
                <w:sz w:val="16"/>
                <w:spacing w:val="16"/>
              </w:rPr>
              <w:t>LOCATION</w:t>
            </w:r>
          </w:p>
        </w:tc>
      </w:tr>
      <w:tr>
        <w:tc>
          <w:tcPr>
            <w:tcW w:type="dxa" w:w="4706"/>
          </w:tcPr>
          <w:p>
            <w:pPr>
              <w:spacing w:after="20" w:line="300" w:lineRule="auto"/>
            </w:pPr>
            <w:r>
              <w:rPr>
                <w:rFonts w:ascii="Avenir Next" w:hAnsi="Avenir Next" w:cs="Avenir Next"/>
                <w:b w:val="0"/>
                <w:i w:val="0"/>
                <w:color w:val="000000"/>
                <w:sz w:val="21"/>
              </w:rPr>
              <w:t>Submission Report (v2)</w:t>
            </w:r>
          </w:p>
        </w:tc>
        <w:tc>
          <w:tcPr>
            <w:tcW w:type="dxa" w:w="4706"/>
          </w:tcPr>
          <w:p>
            <w:pPr>
              <w:spacing w:after="20" w:line="300" w:lineRule="auto"/>
            </w:pPr>
            <w:r>
              <w:rPr>
                <w:rFonts w:ascii="Avenir Next" w:hAnsi="Avenir Next" w:cs="Avenir Next"/>
                <w:b w:val="0"/>
                <w:i w:val="0"/>
                <w:color w:val="000000"/>
                <w:sz w:val="21"/>
              </w:rPr>
              <w:t>docs/SUBMISSION-REPORT-v2.md</w:t>
            </w:r>
          </w:p>
        </w:tc>
      </w:tr>
      <w:tr>
        <w:tc>
          <w:tcPr>
            <w:tcW w:type="dxa" w:w="4706"/>
          </w:tcPr>
          <w:p>
            <w:pPr>
              <w:spacing w:after="20" w:line="300" w:lineRule="auto"/>
            </w:pPr>
            <w:r>
              <w:rPr>
                <w:rFonts w:ascii="Avenir Next" w:hAnsi="Avenir Next" w:cs="Avenir Next"/>
                <w:b w:val="0"/>
                <w:i w:val="0"/>
                <w:color w:val="000000"/>
                <w:sz w:val="21"/>
              </w:rPr>
              <w:t>Reconstruction Master</w:t>
            </w:r>
          </w:p>
        </w:tc>
        <w:tc>
          <w:tcPr>
            <w:tcW w:type="dxa" w:w="4706"/>
          </w:tcPr>
          <w:p>
            <w:pPr>
              <w:spacing w:after="20" w:line="300" w:lineRule="auto"/>
            </w:pPr>
            <w:r>
              <w:rPr>
                <w:rFonts w:ascii="Avenir Next" w:hAnsi="Avenir Next" w:cs="Avenir Next"/>
                <w:b w:val="0"/>
                <w:i w:val="0"/>
                <w:color w:val="000000"/>
                <w:sz w:val="21"/>
              </w:rPr>
              <w:t>docs/RECONSTRUCTION-MASTER.md</w:t>
            </w:r>
          </w:p>
        </w:tc>
      </w:tr>
      <w:tr>
        <w:tc>
          <w:tcPr>
            <w:tcW w:type="dxa" w:w="4706"/>
          </w:tcPr>
          <w:p>
            <w:pPr>
              <w:spacing w:after="20" w:line="300" w:lineRule="auto"/>
            </w:pPr>
            <w:r>
              <w:rPr>
                <w:rFonts w:ascii="Avenir Next" w:hAnsi="Avenir Next" w:cs="Avenir Next"/>
                <w:b w:val="0"/>
                <w:i w:val="0"/>
                <w:color w:val="000000"/>
                <w:sz w:val="21"/>
              </w:rPr>
              <w:t>Data Protection Impact Assessment</w:t>
            </w:r>
          </w:p>
        </w:tc>
        <w:tc>
          <w:tcPr>
            <w:tcW w:type="dxa" w:w="4706"/>
          </w:tcPr>
          <w:p>
            <w:pPr>
              <w:spacing w:after="20" w:line="300" w:lineRule="auto"/>
            </w:pPr>
            <w:r>
              <w:rPr>
                <w:rFonts w:ascii="Avenir Next" w:hAnsi="Avenir Next" w:cs="Avenir Next"/>
                <w:b w:val="0"/>
                <w:i w:val="0"/>
                <w:color w:val="000000"/>
                <w:sz w:val="21"/>
              </w:rPr>
              <w:t>docs/dpia.md</w:t>
            </w:r>
          </w:p>
        </w:tc>
      </w:tr>
      <w:tr>
        <w:tc>
          <w:tcPr>
            <w:tcW w:type="dxa" w:w="4706"/>
          </w:tcPr>
          <w:p>
            <w:pPr>
              <w:spacing w:after="20" w:line="300" w:lineRule="auto"/>
            </w:pPr>
            <w:r>
              <w:rPr>
                <w:rFonts w:ascii="Avenir Next" w:hAnsi="Avenir Next" w:cs="Avenir Next"/>
                <w:b w:val="0"/>
                <w:i w:val="0"/>
                <w:color w:val="000000"/>
                <w:sz w:val="21"/>
              </w:rPr>
              <w:t>Rubric Suite (A · B · C · D)</w:t>
            </w:r>
          </w:p>
        </w:tc>
        <w:tc>
          <w:tcPr>
            <w:tcW w:type="dxa" w:w="4706"/>
          </w:tcPr>
          <w:p>
            <w:pPr>
              <w:spacing w:after="20" w:line="300" w:lineRule="auto"/>
            </w:pPr>
            <w:r>
              <w:rPr>
                <w:rFonts w:ascii="Avenir Next" w:hAnsi="Avenir Next" w:cs="Avenir Next"/>
                <w:b w:val="0"/>
                <w:i w:val="0"/>
                <w:color w:val="000000"/>
                <w:sz w:val="21"/>
              </w:rPr>
              <w:t>docs/rubrics/</w:t>
            </w:r>
          </w:p>
        </w:tc>
      </w:tr>
      <w:tr>
        <w:tc>
          <w:tcPr>
            <w:tcW w:type="dxa" w:w="4706"/>
          </w:tcPr>
          <w:p>
            <w:pPr>
              <w:spacing w:after="20" w:line="300" w:lineRule="auto"/>
            </w:pPr>
            <w:r>
              <w:rPr>
                <w:rFonts w:ascii="Avenir Next" w:hAnsi="Avenir Next" w:cs="Avenir Next"/>
                <w:b w:val="0"/>
                <w:i w:val="0"/>
                <w:color w:val="000000"/>
                <w:sz w:val="21"/>
              </w:rPr>
              <w:t>Innovation Concept Document</w:t>
            </w:r>
          </w:p>
        </w:tc>
        <w:tc>
          <w:tcPr>
            <w:tcW w:type="dxa" w:w="4706"/>
          </w:tcPr>
          <w:p>
            <w:pPr>
              <w:spacing w:after="20" w:line="300" w:lineRule="auto"/>
            </w:pPr>
            <w:r>
              <w:rPr>
                <w:rFonts w:ascii="Avenir Next" w:hAnsi="Avenir Next" w:cs="Avenir Next"/>
                <w:b w:val="0"/>
                <w:i w:val="0"/>
                <w:color w:val="000000"/>
                <w:sz w:val="21"/>
              </w:rPr>
              <w:t>docs/innovation-concept.md</w:t>
            </w:r>
          </w:p>
        </w:tc>
      </w:tr>
      <w:tr>
        <w:tc>
          <w:tcPr>
            <w:tcW w:type="dxa" w:w="4706"/>
          </w:tcPr>
          <w:p>
            <w:pPr>
              <w:spacing w:after="20" w:line="300" w:lineRule="auto"/>
            </w:pPr>
            <w:r>
              <w:rPr>
                <w:rFonts w:ascii="Avenir Next" w:hAnsi="Avenir Next" w:cs="Avenir Next"/>
                <w:b w:val="0"/>
                <w:i w:val="0"/>
                <w:color w:val="000000"/>
                <w:sz w:val="21"/>
              </w:rPr>
              <w:t>Theoretical Grounding Map</w:t>
            </w:r>
          </w:p>
        </w:tc>
        <w:tc>
          <w:tcPr>
            <w:tcW w:type="dxa" w:w="4706"/>
          </w:tcPr>
          <w:p>
            <w:pPr>
              <w:spacing w:after="20" w:line="300" w:lineRule="auto"/>
            </w:pPr>
            <w:r>
              <w:rPr>
                <w:rFonts w:ascii="Avenir Next" w:hAnsi="Avenir Next" w:cs="Avenir Next"/>
                <w:b w:val="0"/>
                <w:i w:val="0"/>
                <w:color w:val="000000"/>
                <w:sz w:val="21"/>
              </w:rPr>
              <w:t>docs/theoretical-grounding.md</w:t>
            </w:r>
          </w:p>
        </w:tc>
      </w:tr>
      <w:tr>
        <w:tc>
          <w:tcPr>
            <w:tcW w:type="dxa" w:w="4706"/>
          </w:tcPr>
          <w:p>
            <w:pPr>
              <w:spacing w:after="20" w:line="300" w:lineRule="auto"/>
            </w:pPr>
            <w:r>
              <w:rPr>
                <w:rFonts w:ascii="Avenir Next" w:hAnsi="Avenir Next" w:cs="Avenir Next"/>
                <w:b w:val="0"/>
                <w:i w:val="0"/>
                <w:color w:val="000000"/>
                <w:sz w:val="21"/>
              </w:rPr>
              <w:t>Firebase schema + security rules</w:t>
            </w:r>
          </w:p>
        </w:tc>
        <w:tc>
          <w:tcPr>
            <w:tcW w:type="dxa" w:w="4706"/>
          </w:tcPr>
          <w:p>
            <w:pPr>
              <w:spacing w:after="20" w:line="300" w:lineRule="auto"/>
            </w:pPr>
            <w:r>
              <w:rPr>
                <w:rFonts w:ascii="Avenir Next" w:hAnsi="Avenir Next" w:cs="Avenir Next"/>
                <w:b w:val="0"/>
                <w:i w:val="0"/>
                <w:color w:val="000000"/>
                <w:sz w:val="21"/>
              </w:rPr>
              <w:t>docs/firebase-schema.md · docs/firebase-security-rules.md</w:t>
            </w:r>
          </w:p>
        </w:tc>
      </w:tr>
      <w:tr>
        <w:tc>
          <w:tcPr>
            <w:tcW w:type="dxa" w:w="4706"/>
          </w:tcPr>
          <w:p>
            <w:pPr>
              <w:spacing w:after="20" w:line="300" w:lineRule="auto"/>
            </w:pPr>
            <w:r>
              <w:rPr>
                <w:rFonts w:ascii="Avenir Next" w:hAnsi="Avenir Next" w:cs="Avenir Next"/>
                <w:b w:val="0"/>
                <w:i w:val="0"/>
                <w:color w:val="000000"/>
                <w:sz w:val="21"/>
              </w:rPr>
              <w:t>Asset-production prompts</w:t>
            </w:r>
          </w:p>
        </w:tc>
        <w:tc>
          <w:tcPr>
            <w:tcW w:type="dxa" w:w="4706"/>
          </w:tcPr>
          <w:p>
            <w:pPr>
              <w:spacing w:after="20" w:line="300" w:lineRule="auto"/>
            </w:pPr>
            <w:r>
              <w:rPr>
                <w:rFonts w:ascii="Avenir Next" w:hAnsi="Avenir Next" w:cs="Avenir Next"/>
                <w:b w:val="0"/>
                <w:i w:val="0"/>
                <w:color w:val="000000"/>
                <w:sz w:val="21"/>
              </w:rPr>
              <w:t>scenarios/PRODUCTION-PROMPTS-MASTER-v2.md</w:t>
            </w:r>
          </w:p>
        </w:tc>
      </w:tr>
      <w:tr>
        <w:tc>
          <w:tcPr>
            <w:tcW w:type="dxa" w:w="4706"/>
          </w:tcPr>
          <w:p>
            <w:pPr>
              <w:spacing w:after="20" w:line="300" w:lineRule="auto"/>
            </w:pPr>
            <w:r>
              <w:rPr>
                <w:rFonts w:ascii="Avenir Next" w:hAnsi="Avenir Next" w:cs="Avenir Next"/>
                <w:b w:val="0"/>
                <w:i w:val="0"/>
                <w:color w:val="000000"/>
                <w:sz w:val="21"/>
              </w:rPr>
              <w:t>Demo script &amp; Q&amp;A red-team</w:t>
            </w:r>
          </w:p>
        </w:tc>
        <w:tc>
          <w:tcPr>
            <w:tcW w:type="dxa" w:w="4706"/>
          </w:tcPr>
          <w:p>
            <w:pPr>
              <w:spacing w:after="20" w:line="300" w:lineRule="auto"/>
            </w:pPr>
            <w:r>
              <w:rPr>
                <w:rFonts w:ascii="Avenir Next" w:hAnsi="Avenir Next" w:cs="Avenir Next"/>
                <w:b w:val="0"/>
                <w:i w:val="0"/>
                <w:color w:val="000000"/>
                <w:sz w:val="21"/>
              </w:rPr>
              <w:t>docs/DEMO-AND-QA-REDTEAM.md</w:t>
            </w:r>
          </w:p>
        </w:tc>
      </w:tr>
      <w:tr>
        <w:tc>
          <w:tcPr>
            <w:tcW w:type="dxa" w:w="4706"/>
          </w:tcPr>
          <w:p>
            <w:pPr>
              <w:spacing w:after="20" w:line="300" w:lineRule="auto"/>
            </w:pPr>
            <w:r>
              <w:rPr>
                <w:rFonts w:ascii="Avenir Next" w:hAnsi="Avenir Next" w:cs="Avenir Next"/>
                <w:b w:val="0"/>
                <w:i w:val="0"/>
                <w:color w:val="000000"/>
                <w:sz w:val="21"/>
              </w:rPr>
              <w:t>Micro-pilot kit</w:t>
            </w:r>
          </w:p>
        </w:tc>
        <w:tc>
          <w:tcPr>
            <w:tcW w:type="dxa" w:w="4706"/>
          </w:tcPr>
          <w:p>
            <w:pPr>
              <w:spacing w:after="20" w:line="300" w:lineRule="auto"/>
            </w:pPr>
            <w:r>
              <w:rPr>
                <w:rFonts w:ascii="Avenir Next" w:hAnsi="Avenir Next" w:cs="Avenir Next"/>
                <w:b w:val="0"/>
                <w:i w:val="0"/>
                <w:color w:val="000000"/>
                <w:sz w:val="21"/>
              </w:rPr>
              <w:t>docs/MICRO-PILOT-KIT.md</w:t>
            </w:r>
          </w:p>
        </w:tc>
      </w:tr>
    </w:tbl>
    <w:p>
      <w:pPr>
        <w:spacing w:before="320" w:after="140"/>
        <w:pBdr>
          <w:bottom w:val="single" w:sz="6" w:space="4" w:color="C9A961"/>
        </w:pBdr>
      </w:pPr>
      <w:r>
        <w:rPr>
          <w:rFonts w:ascii="Baskerville" w:hAnsi="Baskerville" w:cs="Baskerville"/>
          <w:b w:val="0"/>
          <w:i w:val="0"/>
          <w:color w:val="9C6F1C"/>
          <w:sz w:val="33"/>
        </w:rPr>
        <w:t>Frequently asked questions</w:t>
      </w:r>
    </w:p>
    <w:p>
      <w:pPr>
        <w:spacing w:before="200" w:after="60"/>
      </w:pPr>
      <w:r>
        <w:rPr>
          <w:rFonts w:ascii="Baskerville" w:hAnsi="Baskerville" w:cs="Baskerville"/>
          <w:b/>
          <w:i w:val="0"/>
          <w:color w:val="000000"/>
          <w:sz w:val="27"/>
        </w:rPr>
        <w:t>For teachers</w:t>
      </w:r>
    </w:p>
    <w:p>
      <w:pPr>
        <w:spacing w:after="140" w:line="324" w:lineRule="auto"/>
      </w:pPr>
      <w:r>
        <w:rPr>
          <w:rFonts w:ascii="Avenir Next" w:hAnsi="Avenir Next" w:cs="Avenir Next"/>
          <w:b w:val="0"/>
          <w:i w:val="0"/>
          <w:color w:val="000000"/>
          <w:sz w:val="25"/>
        </w:rPr>
        <w:t>Can I run with fewer than 6 missions?</w:t>
      </w:r>
    </w:p>
    <w:p>
      <w:pPr>
        <w:spacing w:after="140" w:line="324" w:lineRule="auto"/>
      </w:pPr>
      <w:r>
        <w:rPr>
          <w:rFonts w:ascii="Avenir Next" w:hAnsi="Avenir Next" w:cs="Avenir Next"/>
          <w:b w:val="0"/>
          <w:i w:val="0"/>
          <w:color w:val="000000"/>
          <w:sz w:val="25"/>
        </w:rPr>
        <w:t>Yes. The capstone unlock requires 6 Keystones, but a teacher override (logged, audited) can grant a Keystone for assessed offline work. Three missions + three offline-equivalents is supported.</w:t>
      </w:r>
    </w:p>
    <w:p>
      <w:pPr>
        <w:spacing w:after="140" w:line="324" w:lineRule="auto"/>
      </w:pPr>
      <w:r>
        <w:rPr>
          <w:rFonts w:ascii="Avenir Next" w:hAnsi="Avenir Next" w:cs="Avenir Next"/>
          <w:b w:val="0"/>
          <w:i w:val="0"/>
          <w:color w:val="000000"/>
          <w:sz w:val="25"/>
        </w:rPr>
        <w:t>A learner can't finish a mission. What do I do?</w:t>
      </w:r>
    </w:p>
    <w:p>
      <w:pPr>
        <w:spacing w:after="140" w:line="324" w:lineRule="auto"/>
      </w:pPr>
      <w:r>
        <w:rPr>
          <w:rFonts w:ascii="Avenir Next" w:hAnsi="Avenir Next" w:cs="Avenir Next"/>
          <w:b w:val="0"/>
          <w:i w:val="0"/>
          <w:color w:val="000000"/>
          <w:sz w:val="25"/>
        </w:rPr>
        <w:t>First option: have them replay DECIDE / ACT (Decision Replay costs 25 tokens, or you can grant a free retry). Second option: teacher override to grant the Keystone for offline-equivalent work. No learner is dead-ended.</w:t>
      </w:r>
    </w:p>
    <w:p>
      <w:pPr>
        <w:spacing w:after="140" w:line="324" w:lineRule="auto"/>
      </w:pPr>
      <w:r>
        <w:rPr>
          <w:rFonts w:ascii="Avenir Next" w:hAnsi="Avenir Next" w:cs="Avenir Next"/>
          <w:b w:val="0"/>
          <w:i w:val="0"/>
          <w:color w:val="000000"/>
          <w:sz w:val="25"/>
        </w:rPr>
        <w:t>Do I need to teach the SDG content first?</w:t>
      </w:r>
    </w:p>
    <w:p>
      <w:pPr>
        <w:spacing w:after="140" w:line="324" w:lineRule="auto"/>
      </w:pPr>
      <w:r>
        <w:rPr>
          <w:rFonts w:ascii="Avenir Next" w:hAnsi="Avenir Next" w:cs="Avenir Next"/>
          <w:b w:val="0"/>
          <w:i w:val="0"/>
          <w:color w:val="000000"/>
          <w:sz w:val="25"/>
        </w:rPr>
        <w:t>No. The dossier and stakeholder dispatch videos teach the content as part of the mission. Your role is to coach the reasoning, not the facts.</w:t>
      </w:r>
    </w:p>
    <w:p>
      <w:pPr>
        <w:spacing w:after="140" w:line="324" w:lineRule="auto"/>
      </w:pPr>
      <w:r>
        <w:rPr>
          <w:rFonts w:ascii="Avenir Next" w:hAnsi="Avenir Next" w:cs="Avenir Next"/>
          <w:b w:val="0"/>
          <w:i w:val="0"/>
          <w:color w:val="000000"/>
          <w:sz w:val="25"/>
        </w:rPr>
        <w:t>What if Mr Compass gives a wrong answer?</w:t>
      </w:r>
    </w:p>
    <w:p>
      <w:pPr>
        <w:spacing w:after="140" w:line="324" w:lineRule="auto"/>
      </w:pPr>
      <w:r>
        <w:rPr>
          <w:rFonts w:ascii="Avenir Next" w:hAnsi="Avenir Next" w:cs="Avenir Next"/>
          <w:b w:val="0"/>
          <w:i w:val="0"/>
          <w:color w:val="000000"/>
          <w:sz w:val="25"/>
        </w:rPr>
        <w:t>Mr Compass is designed not to give answers at all. If you see one, flag it in Moderation — the system prompt will be revised.</w:t>
      </w:r>
    </w:p>
    <w:p>
      <w:pPr>
        <w:spacing w:before="200" w:after="60"/>
      </w:pPr>
      <w:r>
        <w:rPr>
          <w:rFonts w:ascii="Baskerville" w:hAnsi="Baskerville" w:cs="Baskerville"/>
          <w:b/>
          <w:i w:val="0"/>
          <w:color w:val="000000"/>
          <w:sz w:val="27"/>
        </w:rPr>
        <w:t>For judges</w:t>
      </w:r>
    </w:p>
    <w:p>
      <w:pPr>
        <w:spacing w:after="140" w:line="324" w:lineRule="auto"/>
      </w:pPr>
      <w:r>
        <w:rPr>
          <w:rFonts w:ascii="Avenir Next" w:hAnsi="Avenir Next" w:cs="Avenir Next"/>
          <w:b w:val="0"/>
          <w:i w:val="0"/>
          <w:color w:val="000000"/>
          <w:sz w:val="25"/>
        </w:rPr>
        <w:t>How do I verify a theoretical claim?</w:t>
      </w:r>
    </w:p>
    <w:p>
      <w:pPr>
        <w:spacing w:after="140" w:line="324" w:lineRule="auto"/>
      </w:pPr>
      <w:r>
        <w:rPr>
          <w:rFonts w:ascii="Avenir Next" w:hAnsi="Avenir Next" w:cs="Avenir Next"/>
          <w:b w:val="0"/>
          <w:i w:val="0"/>
          <w:color w:val="000000"/>
          <w:sz w:val="25"/>
        </w:rPr>
        <w:t>Every claim in Chapter 4 maps to a named feature. Open the platform, open the feature, and the claim is verifiable in under a minute.</w:t>
      </w:r>
    </w:p>
    <w:p>
      <w:pPr>
        <w:spacing w:after="140" w:line="324" w:lineRule="auto"/>
      </w:pPr>
      <w:r>
        <w:rPr>
          <w:rFonts w:ascii="Avenir Next" w:hAnsi="Avenir Next" w:cs="Avenir Next"/>
          <w:b w:val="0"/>
          <w:i w:val="0"/>
          <w:color w:val="000000"/>
          <w:sz w:val="25"/>
        </w:rPr>
        <w:t>What's the AI–human boundary?</w:t>
      </w:r>
    </w:p>
    <w:p>
      <w:pPr>
        <w:spacing w:after="140" w:line="324" w:lineRule="auto"/>
      </w:pPr>
      <w:r>
        <w:rPr>
          <w:rFonts w:ascii="Avenir Next" w:hAnsi="Avenir Next" w:cs="Avenir Next"/>
          <w:b w:val="0"/>
          <w:i w:val="0"/>
          <w:color w:val="000000"/>
          <w:sz w:val="25"/>
        </w:rPr>
        <w:t>AI handles formative scale (Rubric B, Mr Compass language coaching, dossier tiering). Human handles summative authority (Rubric A capstone grade) and cultural authenticity (scenario vetting). See Chapter 3 §3.2.</w:t>
      </w:r>
    </w:p>
    <w:p>
      <w:pPr>
        <w:spacing w:after="140" w:line="324" w:lineRule="auto"/>
      </w:pPr>
      <w:r>
        <w:rPr>
          <w:rFonts w:ascii="Avenir Next" w:hAnsi="Avenir Next" w:cs="Avenir Next"/>
          <w:b w:val="0"/>
          <w:i w:val="0"/>
          <w:color w:val="000000"/>
          <w:sz w:val="25"/>
        </w:rPr>
        <w:t>Is the platform original?</w:t>
      </w:r>
    </w:p>
    <w:p>
      <w:pPr>
        <w:spacing w:after="140" w:line="324" w:lineRule="auto"/>
      </w:pPr>
      <w:r>
        <w:rPr>
          <w:rFonts w:ascii="Avenir Next" w:hAnsi="Avenir Next" w:cs="Avenir Next"/>
          <w:b w:val="0"/>
          <w:i w:val="0"/>
          <w:color w:val="000000"/>
          <w:sz w:val="25"/>
        </w:rPr>
        <w:t>All scenarios, the 5-stage arc, the four-tier judging architecture, Mr Compass guardrails, and the Hall of Voices are original to FUTUREPROOF. The pedagogical frameworks are cited; their operational application is original.</w:t>
      </w:r>
    </w:p>
    <w:p>
      <w:pPr>
        <w:spacing w:after="140" w:line="324" w:lineRule="auto"/>
      </w:pPr>
      <w:r>
        <w:rPr>
          <w:rFonts w:ascii="Avenir Next" w:hAnsi="Avenir Next" w:cs="Avenir Next"/>
          <w:b w:val="0"/>
          <w:i w:val="0"/>
          <w:color w:val="000000"/>
          <w:sz w:val="25"/>
        </w:rPr>
        <w:t>What's the path to 17 SDGs?</w:t>
      </w:r>
    </w:p>
    <w:p>
      <w:pPr>
        <w:spacing w:after="140" w:line="324" w:lineRule="auto"/>
      </w:pPr>
      <w:r>
        <w:rPr>
          <w:rFonts w:ascii="Avenir Next" w:hAnsi="Avenir Next" w:cs="Avenir Next"/>
          <w:b w:val="0"/>
          <w:i w:val="0"/>
          <w:color w:val="000000"/>
          <w:sz w:val="25"/>
        </w:rPr>
        <w:t>Each additional region requires ~ 80 hours of scenario authoring (dossier × 3 tiers, four dispatch videos, AI Judge prompt tuning). The platform engine generalises; the content is per-region. See SUBMISSION-REPORT-v2.md §expansion.</w:t>
      </w:r>
    </w:p>
    <w:p>
      <w:pPr>
        <w:spacing w:before="320" w:after="140"/>
        <w:pBdr>
          <w:bottom w:val="single" w:sz="6" w:space="4" w:color="C9A961"/>
        </w:pBdr>
      </w:pPr>
      <w:r>
        <w:rPr>
          <w:rFonts w:ascii="Baskerville" w:hAnsi="Baskerville" w:cs="Baskerville"/>
          <w:b w:val="0"/>
          <w:i w:val="0"/>
          <w:color w:val="9C6F1C"/>
          <w:sz w:val="33"/>
        </w:rPr>
        <w:t>Contact</w:t>
      </w:r>
    </w:p>
    <w:p>
      <w:pPr>
        <w:spacing w:after="140" w:line="324" w:lineRule="auto"/>
      </w:pPr>
      <w:r>
        <w:rPr>
          <w:rFonts w:ascii="Avenir Next" w:hAnsi="Avenir Next" w:cs="Avenir Next"/>
          <w:b w:val="0"/>
          <w:i w:val="0"/>
          <w:color w:val="000000"/>
          <w:sz w:val="25"/>
        </w:rPr>
        <w:t xml:space="preserve">Author </w:t>
      </w:r>
      <w:r>
        <w:rPr>
          <w:rFonts w:ascii="Avenir Next" w:hAnsi="Avenir Next" w:cs="Avenir Next"/>
          <w:b/>
          <w:i w:val="0"/>
          <w:color w:val="000000"/>
          <w:sz w:val="25"/>
        </w:rPr>
        <w:t>Dr. Payungsak Kaenchan</w:t>
      </w:r>
      <w:r>
        <w:rPr>
          <w:rFonts w:ascii="Avenir Next" w:hAnsi="Avenir Next" w:cs="Avenir Next"/>
          <w:b w:val="0"/>
          <w:i w:val="0"/>
          <w:color w:val="000000"/>
          <w:sz w:val="25"/>
        </w:rPr>
        <w:t xml:space="preserve"> Faculty of Liberal Arts · Mahidol University &amp; Thammasat University Email: payungsak.kae@mahidol.ac.th · payungsak.kaenchan@gmail.com Phone: 062-147-9555 Platform: futureproof-sdgs-lab.netlify.app</w:t>
      </w:r>
    </w:p>
    <w:p>
      <w:pPr>
        <w:spacing w:after="140" w:line="324" w:lineRule="auto"/>
      </w:pPr>
      <w:r>
        <w:rPr>
          <w:rFonts w:ascii="Avenir Next" w:hAnsi="Avenir Next" w:cs="Avenir Next"/>
          <w:b w:val="0"/>
          <w:i w:val="0"/>
          <w:color w:val="000000"/>
          <w:sz w:val="25"/>
        </w:rPr>
        <w:t>— End of Manual —</w:t>
      </w:r>
    </w:p>
    <w:sectPr w:rsidR="00FC693F" w:rsidRPr="0006063C" w:rsidSect="00034616">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40"/>
      <w:jc w:val="center"/>
    </w:pPr>
    <w:r>
      <w:drawing>
        <wp:inline xmlns:a="http://schemas.openxmlformats.org/drawingml/2006/main" xmlns:pic="http://schemas.openxmlformats.org/drawingml/2006/picture">
          <wp:extent cx="684000" cy="240955"/>
          <wp:docPr id="1" name="Picture 1"/>
          <wp:cNvGraphicFramePr>
            <a:graphicFrameLocks noChangeAspect="1"/>
          </wp:cNvGraphicFramePr>
          <a:graphic>
            <a:graphicData uri="http://schemas.openxmlformats.org/drawingml/2006/picture">
              <pic:pic>
                <pic:nvPicPr>
                  <pic:cNvPr id="0" name="cc-by-nc-88x31.png"/>
                  <pic:cNvPicPr/>
                </pic:nvPicPr>
                <pic:blipFill>
                  <a:blip r:embed="rId1"/>
                  <a:stretch>
                    <a:fillRect/>
                  </a:stretch>
                </pic:blipFill>
                <pic:spPr>
                  <a:xfrm>
                    <a:off x="0" y="0"/>
                    <a:ext cx="684000" cy="240955"/>
                  </a:xfrm>
                  <a:prstGeom prst="rect"/>
                </pic:spPr>
              </pic:pic>
            </a:graphicData>
          </a:graphic>
        </wp:inline>
      </w:drawing>
    </w:r>
  </w:p>
  <w:p>
    <w:pPr>
      <w:spacing w:after="20"/>
      <w:jc w:val="center"/>
    </w:pPr>
    <w:r>
      <w:rPr>
        <w:rFonts w:ascii="Menlo" w:hAnsi="Menlo" w:cs="Menlo"/>
        <w:b w:val="0"/>
        <w:i w:val="0"/>
        <w:color w:val="5A5A60"/>
        <w:sz w:val="15"/>
        <w:spacing w:val="10"/>
      </w:rPr>
      <w:t>Dr. Payungsak Kaenchan  |  Faculty of Liberal Arts, Mahidol University</w:t>
    </w:r>
  </w:p>
  <w:p>
    <w:pPr>
      <w:jc w:val="center"/>
    </w:pPr>
    <w:r>
      <w:rPr>
        <w:rFonts w:ascii="Menlo" w:hAnsi="Menlo" w:cs="Menlo"/>
        <w:b w:val="0"/>
        <w:i w:val="0"/>
        <w:color w:val="5A5A60"/>
        <w:sz w:val="13"/>
        <w:spacing w:val="6"/>
      </w:rPr>
      <w:t>Creative Commons BY-NC · Educational, non-commercial use only · No profit · Reuse or duplication must credit the author and obtain prior consent.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w:hAnsi="Avenir Next" w:cs="Avenir Next" w:eastAsia="Sukhumvit Set"/>
      <w:color w:val="000000"/>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