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FUTUREPROOF · SDG MISSION JOURNEY · REFERENCE LIST · APA 7</w:t>
      </w:r>
    </w:p>
    <w:p>
      <w:pPr>
        <w:spacing w:after="140"/>
        <w:pBdr>
          <w:bottom w:val="single" w:sz="6" w:space="4" w:color="C9A961"/>
        </w:pBdr>
      </w:pPr>
      <w:r>
        <w:rPr>
          <w:rFonts w:ascii="Baskerville" w:hAnsi="Baskerville" w:cs="Sukhumvit Set" w:eastAsia="Sukhumvit Set"/>
          <w:b w:val="0"/>
          <w:i w:val="0"/>
          <w:color w:val="7B1B1B"/>
          <w:sz w:val="32"/>
        </w:rPr>
        <w:t>วรรณกรรมอ้างอิง / References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Anderson, L. W., &amp; Krathwohl, D. R. (Eds.). (2001). A taxonomy for learning, teaching, and assessing: A revision of Bloom’s taxonomy of educational objectives. New York: Longman.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Ausubel, D. P. (1968). Educational psychology: A cognitive view. New York: Holt, Rinehart and Winston.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Borg, W. R., &amp; Gall, M. D. (1989). Educational research: An introduction (5th ed.). New York: Longman.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Bruner, J. S. (1960). The process of education. Cambridge, MA: Harvard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Bruner, J. S. (1966). Toward a theory of instruction. Cambridge, MA: Harvard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Bruner, J. S. (1996). The culture of education. Cambridge, MA: Harvard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CAST. (2024). Universal Design for Learning Guidelines (Version 3.0). Lynnfield, MA: CAST. https://udlguidelines.cast.org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Churches, A. (2008). Bloom’s Digital Taxonomy. Educational Origami. https://www.eduteka.icesi.edu.co/pdfdir/TaxonomiaBloomDigital.pdf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Council of Europe. (2020). Common European Framework of Reference for Languages: Learning, teaching, assessment — Companion volume. Strasbourg: Council of Europe Publishing.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Coyle, D., Hood, P., &amp; Marsh, D. (2010). CLIL: Content and language integrated learning. Cambridge, UK: Cambridge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Flavell, J. H. (1979). Metacognition and cognitive monitoring: A new area of cognitive–developmental inquiry. American Psychologist, 34(10), 906–911. https://doi.org/10.1037/0003-066X.34.10.906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Hattie, J. (2009). Visible learning: A synthesis of over 800 meta-analyses relating to achievement. London: Routledge.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Hattie, J. (2012). Visible learning for teachers: Maximizing impact on learning. London: Routledge.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Kimmons, R., Graham, C. R., &amp; West, R. E. (2020). The PICRAT model for technology integration in teacher preparation. Contemporary Issues in Technology and Teacher Education, 20(1), 176–198.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Krashen, S. D. (1982). Principles and practice in second language acquisition. Oxford: Pergamon.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Krashen, S. D. (1985). The input hypothesis: Issues and implications. London: Longman.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Lave, J., &amp; Wenger, E. (1991). Situated learning: Legitimate peripheral participation. Cambridge, UK: Cambridge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Mayer, R. E. (2009). Multimedia learning (2nd ed.). Cambridge, UK: Cambridge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Mayer, R. E. (Ed.). (2014). The Cambridge handbook of multimedia learning (2nd ed.). Cambridge, UK: Cambridge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Mishra, P., &amp; Koehler, M. J. (2006). Technological pedagogical content knowledge: A framework for teacher knowledge. Teachers College Record, 108(6), 1017–1054.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Mishra, P., Warr, M., &amp; Islam, R. (2023). TPACK in the age of ChatGPT and generative AI. Journal of Digital Learning in Teacher Education, 39(4), 235–251. https://doi.org/10.1080/21532974.2023.2247480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Partnership for 21st Century Learning. (2019). Framework for 21st century learning: Definitions. Hilliard, OH: Battelle for Kids. https://www.battelleforkids.org/networks/p21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Paul, R., &amp; Elder, L. (2007). The art of Socratic questioning: A companion to: The thinker’s guide to analytic thinking. Tomales, CA: Foundation for Critical Thinking.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Pavlov, I. P. (1927). Conditioned reflexes: An investigation of the physiological activity of the cerebral cortex (G. V. Anrep, Trans.). Oxford, UK: Oxford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Piaget, J. (1970). Genetic epistemology (E. Duckworth, Trans.). New York: Columbia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Skinner, B. F. (1953). Science and human behavior. New York: Free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Skinner, B. F. (1957). Verbal behavior. New York: Appleton-Century-Crofts.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Sweller, J. (1988). Cognitive load during problem solving: Effects on learning. Cognitive Science, 12(2), 257–285.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Sweller, J., van Merriënboer, J. J. G., &amp; Paas, F. (2019). Cognitive architecture and instructional design: 20 years later. Educational Psychology Review, 31, 261–292. https://doi.org/10.1007/s10648-019-09465-5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Times Higher Education. (2024). Impact Rankings 2024: Methodology. London: THE. https://www.timeshighereducation.com/impactrankings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UNESCO. (2020). Education for sustainable development: A roadmap (ESD for 2030). Paris: UNESCO. https://unesdoc.unesco.org/ark:/48223/pf0000374802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Vygotsky, L. S. (1978). Mind in society: The development of higher psychological processes (M. Cole, V. John-Steiner, S. Scribner, &amp; E. Souberman, Eds.). Cambridge, MA: Harvard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W3C. (2018). Web Content Accessibility Guidelines (WCAG) 2.1. World Wide Web Consortium. https://www.w3.org/TR/WCAG21/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Watson, J. B. (1913). Psychology as the behaviorist views it. Psychological Review, 20, 158–177.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Wenger, E. (1998). Communities of practice: Learning, meaning, and identity. Cambridge, UK: Cambridge University Press.</w:t>
      </w:r>
    </w:p>
    <w:p>
      <w:pPr>
        <w:spacing w:after="80" w:line="250" w:lineRule="auto"/>
        <w:ind w:left="255" w:hanging="255"/>
      </w:pPr>
      <w:r>
        <w:rPr>
          <w:rFonts w:ascii="Avenir Next" w:hAnsi="Avenir Next" w:cs="Sukhumvit Set" w:eastAsia="Sukhumvit Set"/>
          <w:b w:val="0"/>
          <w:i w:val="0"/>
          <w:color w:val="000000"/>
          <w:sz w:val="16"/>
        </w:rPr>
        <w:t>พระราชบัญญัติคุ้มครองข้อมูลส่วนบุคคล พ.ศ. ๒๕๖๒. (๒๕๖๒, ๒๗ พฤษภาคม). ราชกิจจานุเบกษา, ๑๓๖(๖๙ ก), ๕๒–๙๖.</w:t>
      </w:r>
    </w:p>
    <w:sectPr w:rsidR="00FC693F" w:rsidRPr="0006063C" w:rsidSect="00034616">
      <w:footerReference w:type="default" r:id="rId9"/>
      <w:type w:val="continuous"/>
      <w:pgSz w:w="11906" w:h="16838"/>
      <w:pgMar w:top="850" w:right="850" w:bottom="850" w:left="850" w:header="720" w:footer="720" w:gutter="0"/>
      <w:cols w:space="3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nlo" w:hAnsi="Menlo" w:cs="Menlo"/>
        <w:b w:val="0"/>
        <w:i w:val="0"/>
        <w:color w:val="5A5A60"/>
        <w:sz w:val="13"/>
        <w:spacing w:val="6"/>
      </w:rPr>
      <w:t>FUTUREPROOF · Reference List (APA 7) · Dr. Payungsak Kaenchan · Faculty of Liberal Arts, Mahidol University · CC BY-NC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 w:cs="Avenir Next" w:eastAsia="Sukhumvit Set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