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0"/>
        <w:jc w:val="center"/>
        <w:shd w:val="clear" w:color="auto" w:fill="F3ECDD"/>
      </w:pPr>
      <w:r>
        <w:rPr>
          <w:rFonts w:ascii="Menlo" w:hAnsi="Menlo" w:cs="Menlo"/>
          <w:b w:val="0"/>
          <w:i w:val="0"/>
          <w:color w:val="9C6F1C"/>
          <w:sz w:val="18"/>
          <w:spacing w:val="8"/>
        </w:rPr>
        <w:t>[ COVER IMAGE — drop scrutiny-report.png in /docs/document-design/covers/ ]</w:t>
      </w:r>
    </w:p>
    <w:p>
      <w:pPr>
        <w:spacing w:after="80"/>
        <w:jc w:val="center"/>
      </w:pPr>
      <w:r>
        <w:rPr>
          <w:rFonts w:ascii="Menlo" w:hAnsi="Menlo" w:cs="Sukhumvit Set" w:eastAsia="Sukhumvit Set"/>
          <w:b w:val="0"/>
          <w:i w:val="0"/>
          <w:color w:val="9C6F1C"/>
          <w:sz w:val="20"/>
          <w:spacing w:val="36"/>
        </w:rPr>
        <w:t>AUDIT · DOCUMENT SCRUTINY</w:t>
      </w:r>
    </w:p>
    <w:p>
      <w:pPr>
        <w:spacing w:after="120" w:line="245" w:lineRule="auto"/>
        <w:jc w:val="center"/>
      </w:pPr>
      <w:r>
        <w:rPr>
          <w:rFonts w:ascii="Baskerville" w:hAnsi="Baskerville" w:cs="Baskerville"/>
          <w:b w:val="0"/>
          <w:i w:val="0"/>
          <w:color w:val="7B1B1B"/>
          <w:sz w:val="64"/>
        </w:rPr>
        <w:t>Document Scrutiny</w:t>
      </w:r>
    </w:p>
    <w:p>
      <w:pPr>
        <w:spacing w:after="80"/>
        <w:jc w:val="center"/>
      </w:pPr>
      <w:r>
        <w:rPr>
          <w:rFonts w:ascii="Baskerville" w:hAnsi="Baskerville" w:cs="Baskerville"/>
          <w:b w:val="0"/>
          <w:i/>
          <w:color w:val="5A5A60"/>
          <w:sz w:val="30"/>
        </w:rPr>
        <w:t>A self-audit of the FUTUREPROOF application, with an APA-7 bibliography</w:t>
      </w:r>
    </w:p>
    <w:p>
      <w:pPr>
        <w:spacing w:after="480"/>
        <w:jc w:val="center"/>
      </w:pPr>
      <w:r>
        <w:rPr>
          <w:rFonts w:ascii="Sukhumvit Set" w:hAnsi="Sukhumvit Set" w:cs="Sukhumvit Set" w:eastAsia="Sukhumvit Set"/>
          <w:b w:val="0"/>
          <w:i w:val="0"/>
          <w:color w:val="9C6F1C"/>
          <w:sz w:val="26"/>
        </w:rPr>
        <w:t>การตรวจสอบเอกสาร · บรรณานุกรมแบบ APA 7</w:t>
      </w:r>
    </w:p>
    <w:p>
      <w:pPr>
        <w:spacing w:before="400"/>
        <w:jc w:val="center"/>
      </w:pPr>
      <w:r>
        <w:rPr>
          <w:rFonts w:ascii="Avenir Next" w:hAnsi="Avenir Next" w:cs="Avenir Next"/>
          <w:b w:val="0"/>
          <w:i w:val="0"/>
          <w:color w:val="000000"/>
          <w:sz w:val="22"/>
        </w:rPr>
        <w:t>Dr. Payungsak Kaenchan  ·  Faculty of Liberal Arts, Mahidol University</w:t>
      </w:r>
    </w:p>
    <w:p>
      <w:pPr>
        <w:jc w:val="center"/>
      </w:pPr>
      <w:r>
        <w:rPr>
          <w:rFonts w:ascii="Menlo" w:hAnsi="Menlo" w:cs="Menlo"/>
          <w:b w:val="0"/>
          <w:i w:val="0"/>
          <w:color w:val="5A5A60"/>
          <w:sz w:val="16"/>
          <w:spacing w:val="16"/>
        </w:rPr>
        <w:t>Submitted to the SPU Tech Creative Learning Awards 2569</w:t>
      </w:r>
    </w:p>
    <w:p>
      <w:r>
        <w:br w:type="page"/>
      </w:r>
    </w:p>
    <w:p>
      <w:pPr>
        <w:spacing w:after="40"/>
      </w:pPr>
      <w:r>
        <w:rPr>
          <w:rFonts w:ascii="Menlo" w:hAnsi="Menlo" w:cs="Sukhumvit Set" w:eastAsia="Sukhumvit Set"/>
          <w:b w:val="0"/>
          <w:i w:val="0"/>
          <w:color w:val="9C6F1C"/>
          <w:sz w:val="18"/>
          <w:spacing w:val="32"/>
        </w:rPr>
        <w:t>FUTUREPROOF · SDG MISSION JOURNEY   ·   DOCUMENT SCRUTINY · V1.0</w:t>
      </w:r>
    </w:p>
    <w:p>
      <w:pPr>
        <w:spacing w:before="40" w:after="80" w:line="245" w:lineRule="auto"/>
      </w:pPr>
      <w:r>
        <w:rPr>
          <w:rFonts w:ascii="Baskerville" w:hAnsi="Baskerville" w:cs="Baskerville"/>
          <w:b w:val="0"/>
          <w:i w:val="0"/>
          <w:color w:val="7B1B1B"/>
          <w:sz w:val="54"/>
        </w:rPr>
        <w:t>Document Scrutiny</w:t>
      </w:r>
    </w:p>
    <w:p>
      <w:pPr>
        <w:spacing w:after="200"/>
      </w:pPr>
      <w:r>
        <w:rPr>
          <w:rFonts w:ascii="Sukhumvit Set" w:hAnsi="Sukhumvit Set" w:cs="Sukhumvit Set" w:eastAsia="Sukhumvit Set"/>
          <w:b w:val="0"/>
          <w:i w:val="0"/>
          <w:color w:val="9C6F1C"/>
          <w:sz w:val="26"/>
        </w:rPr>
        <w:t>การตรวจสอบเอกสารผลงาน · บรรณานุกรมแบบ APA 7</w:t>
      </w:r>
    </w:p>
    <w:p>
      <w:pPr>
        <w:spacing w:before="160" w:after="0"/>
        <w:shd w:val="clear" w:color="auto" w:fill="F3ECDD"/>
        <w:pBdr>
          <w:left w:val="single" w:sz="22" w:space="8" w:color="C9A961"/>
        </w:pBdr>
      </w:pPr>
      <w:r>
        <w:rPr>
          <w:rFonts w:ascii="Menlo" w:hAnsi="Menlo" w:cs="Menlo"/>
          <w:b/>
          <w:i w:val="0"/>
          <w:color w:val="9C6F1C"/>
          <w:sz w:val="17"/>
          <w:spacing w:val="28"/>
        </w:rPr>
        <w:t>AUDIT NOTE</w:t>
      </w:r>
    </w:p>
    <w:p>
      <w:pPr>
        <w:spacing w:after="160" w:line="312" w:lineRule="auto"/>
        <w:shd w:val="clear" w:color="auto" w:fill="F3ECDD"/>
        <w:pBdr>
          <w:left w:val="single" w:sz="22" w:space="8" w:color="C9A961"/>
        </w:pBdr>
      </w:pPr>
      <w:r>
        <w:rPr>
          <w:rFonts w:ascii="Avenir Next" w:hAnsi="Avenir Next" w:cs="Avenir Next"/>
          <w:b/>
          <w:i w:val="0"/>
          <w:color w:val="000000"/>
          <w:sz w:val="23"/>
        </w:rPr>
        <w:t>Document audited:</w:t>
      </w:r>
      <w:r>
        <w:rPr>
          <w:rFonts w:ascii="Avenir Next" w:hAnsi="Avenir Next" w:cs="Avenir Next"/>
          <w:b w:val="0"/>
          <w:i w:val="0"/>
          <w:color w:val="000000"/>
          <w:sz w:val="23"/>
        </w:rPr>
        <w:t xml:space="preserve"> /หนังสือเข้าร่วมการประกวด.docx (latest, modified 25 May 2026, 16 pp · 6 177 words) </w:t>
      </w:r>
      <w:r>
        <w:rPr>
          <w:rFonts w:ascii="Avenir Next" w:hAnsi="Avenir Next" w:cs="Avenir Next"/>
          <w:b/>
          <w:i w:val="0"/>
          <w:color w:val="000000"/>
          <w:sz w:val="23"/>
        </w:rPr>
        <w:t>Competition:</w:t>
      </w:r>
      <w:r>
        <w:rPr>
          <w:rFonts w:ascii="Avenir Next" w:hAnsi="Avenir Next" w:cs="Avenir Next"/>
          <w:b w:val="0"/>
          <w:i w:val="0"/>
          <w:color w:val="000000"/>
          <w:sz w:val="23"/>
        </w:rPr>
        <w:t xml:space="preserve"> SPU TECH CREATIVE LEARNING AWARDS 2569 (selection deadline 31 May 2026) </w:t>
      </w:r>
      <w:r>
        <w:rPr>
          <w:rFonts w:ascii="Avenir Next" w:hAnsi="Avenir Next" w:cs="Avenir Next"/>
          <w:b/>
          <w:i w:val="0"/>
          <w:color w:val="000000"/>
          <w:sz w:val="23"/>
        </w:rPr>
        <w:t>Auditor:</w:t>
      </w:r>
      <w:r>
        <w:rPr>
          <w:rFonts w:ascii="Avenir Next" w:hAnsi="Avenir Next" w:cs="Avenir Next"/>
          <w:b w:val="0"/>
          <w:i w:val="0"/>
          <w:color w:val="000000"/>
          <w:sz w:val="23"/>
        </w:rPr>
        <w:t xml:space="preserve"> Critical-friend review against (a) SPU selection-round rubric and (b) Thai academic register conventions </w:t>
      </w:r>
      <w:r>
        <w:rPr>
          <w:rFonts w:ascii="Avenir Next" w:hAnsi="Avenir Next" w:cs="Avenir Next"/>
          <w:b/>
          <w:i w:val="0"/>
          <w:color w:val="000000"/>
          <w:sz w:val="23"/>
        </w:rPr>
        <w:t>Date:</w:t>
      </w:r>
      <w:r>
        <w:rPr>
          <w:rFonts w:ascii="Avenir Next" w:hAnsi="Avenir Next" w:cs="Avenir Next"/>
          <w:b w:val="0"/>
          <w:i w:val="0"/>
          <w:color w:val="000000"/>
          <w:sz w:val="23"/>
        </w:rPr>
        <w:t xml:space="preserve"> 25 May 2026</w:t>
      </w:r>
    </w:p>
    <w:p>
      <w:pPr>
        <w:spacing w:before="80" w:after="80"/>
        <w:pBdr>
          <w:bottom w:val="single" w:sz="4" w:space="4" w:color="C9A961"/>
        </w:pBdr>
      </w:pPr>
    </w:p>
    <w:p>
      <w:pPr>
        <w:spacing w:before="320" w:after="140"/>
        <w:pBdr>
          <w:bottom w:val="single" w:sz="6" w:space="4" w:color="C9A961"/>
        </w:pBdr>
      </w:pPr>
      <w:r>
        <w:rPr>
          <w:rFonts w:ascii="Baskerville" w:hAnsi="Baskerville" w:cs="Baskerville"/>
          <w:b w:val="0"/>
          <w:i w:val="0"/>
          <w:color w:val="9C6F1C"/>
          <w:sz w:val="33"/>
        </w:rPr>
        <w:t>0 · Executive summary</w:t>
      </w:r>
    </w:p>
    <w:p>
      <w:pPr>
        <w:spacing w:after="140" w:line="324" w:lineRule="auto"/>
      </w:pPr>
      <w:r>
        <w:rPr>
          <w:rFonts w:ascii="Avenir Next" w:hAnsi="Avenir Next" w:cs="Avenir Next"/>
          <w:b/>
          <w:i w:val="0"/>
          <w:color w:val="000000"/>
          <w:sz w:val="25"/>
        </w:rPr>
        <w:t>Verdict on first-round passage:</w:t>
      </w:r>
      <w:r>
        <w:rPr>
          <w:rFonts w:ascii="Avenir Next" w:hAnsi="Avenir Next" w:cs="Avenir Next"/>
          <w:b w:val="0"/>
          <w:i w:val="0"/>
          <w:color w:val="000000"/>
          <w:sz w:val="25"/>
        </w:rPr>
        <w:t xml:space="preserve"> Likely yes — but with three caveats that, if unaddressed, materially raise the risk of disqualification or top-5 exclusion.</w:t>
      </w:r>
    </w:p>
    <w:p>
      <w:pPr>
        <w:spacing w:after="140" w:line="324" w:lineRule="auto"/>
      </w:pPr>
      <w:r>
        <w:rPr>
          <w:rFonts w:ascii="Avenir Next" w:hAnsi="Avenir Next" w:cs="Avenir Next"/>
          <w:b w:val="0"/>
          <w:i w:val="0"/>
          <w:color w:val="000000"/>
          <w:sz w:val="25"/>
        </w:rPr>
        <w:t>The content is genuinely competition-strong: a defensible pedagogical spine (PICRAT + AI-TPACK as load-bearing, ten supporting frameworks), 11 well-articulated objectives, an auditable feature-to-theory mapping, real Thai institutional context, and a coherent expansion roadmap. The substance is at or above the level of the top 5 submissions in past SPU rounds.</w:t>
      </w:r>
    </w:p>
    <w:p>
      <w:pPr>
        <w:spacing w:after="140" w:line="324" w:lineRule="auto"/>
      </w:pPr>
      <w:r>
        <w:rPr>
          <w:rFonts w:ascii="Avenir Next" w:hAnsi="Avenir Next" w:cs="Avenir Next"/>
          <w:b w:val="0"/>
          <w:i w:val="0"/>
          <w:color w:val="000000"/>
          <w:sz w:val="25"/>
        </w:rPr>
        <w:t>However, three issues need attention before 31 May:</w:t>
      </w:r>
    </w:p>
    <w:p>
      <w:pPr>
        <w:spacing w:after="140" w:line="324" w:lineRule="auto"/>
      </w:pPr>
      <w:r>
        <w:rPr>
          <w:rFonts w:ascii="Avenir Next" w:hAnsi="Avenir Next" w:cs="Avenir Next"/>
          <w:b w:val="0"/>
          <w:i w:val="0"/>
          <w:color w:val="000000"/>
          <w:sz w:val="25"/>
        </w:rPr>
        <w:t xml:space="preserve">1. </w:t>
      </w:r>
      <w:r>
        <w:rPr>
          <w:rFonts w:ascii="Avenir Next" w:hAnsi="Avenir Next" w:cs="Avenir Next"/>
          <w:b/>
          <w:i w:val="0"/>
          <w:color w:val="000000"/>
          <w:sz w:val="25"/>
        </w:rPr>
        <w:t>HARD: Page over-limit.</w:t>
      </w:r>
      <w:r>
        <w:rPr>
          <w:rFonts w:ascii="Avenir Next" w:hAnsi="Avenir Next" w:cs="Avenir Next"/>
          <w:b w:val="0"/>
          <w:i w:val="0"/>
          <w:color w:val="000000"/>
          <w:sz w:val="25"/>
        </w:rPr>
        <w:t xml:space="preserve"> Current 16 pp; rule says ≤ 15. One full page must come out. </w:t>
      </w:r>
      <w:r>
        <w:rPr>
          <w:rFonts w:ascii="Avenir Next" w:hAnsi="Avenir Next" w:cs="Avenir Next"/>
          <w:b/>
          <w:i w:val="0"/>
          <w:color w:val="000000"/>
          <w:sz w:val="25"/>
        </w:rPr>
        <w:t>(Disqualification risk.)</w:t>
      </w:r>
      <w:r>
        <w:rPr>
          <w:rFonts w:ascii="Avenir Next" w:hAnsi="Avenir Next" w:cs="Avenir Next"/>
          <w:b w:val="0"/>
          <w:i w:val="0"/>
          <w:color w:val="000000"/>
          <w:sz w:val="25"/>
        </w:rPr>
        <w:t xml:space="preserve"> 2. </w:t>
      </w:r>
      <w:r>
        <w:rPr>
          <w:rFonts w:ascii="Avenir Next" w:hAnsi="Avenir Next" w:cs="Avenir Next"/>
          <w:b/>
          <w:i w:val="0"/>
          <w:color w:val="000000"/>
          <w:sz w:val="25"/>
        </w:rPr>
        <w:t>HARD: No reference list.</w:t>
      </w:r>
      <w:r>
        <w:rPr>
          <w:rFonts w:ascii="Avenir Next" w:hAnsi="Avenir Next" w:cs="Avenir Next"/>
          <w:b w:val="0"/>
          <w:i w:val="0"/>
          <w:color w:val="000000"/>
          <w:sz w:val="25"/>
        </w:rPr>
        <w:t xml:space="preserve"> Every paragraph in §3 names a theorist or framework; not one is cited in-text and there is no bibliography. </w:t>
      </w:r>
      <w:r>
        <w:rPr>
          <w:rFonts w:ascii="Avenir Next" w:hAnsi="Avenir Next" w:cs="Avenir Next"/>
          <w:b/>
          <w:i w:val="0"/>
          <w:color w:val="000000"/>
          <w:sz w:val="25"/>
        </w:rPr>
        <w:t>(Cost: criterion 1 + criterion 6, ~ 5–8 % of total score.)</w:t>
      </w:r>
      <w:r>
        <w:rPr>
          <w:rFonts w:ascii="Avenir Next" w:hAnsi="Avenir Next" w:cs="Avenir Next"/>
          <w:b w:val="0"/>
          <w:i w:val="0"/>
          <w:color w:val="000000"/>
          <w:sz w:val="25"/>
        </w:rPr>
        <w:t xml:space="preserve"> 3. </w:t>
      </w:r>
      <w:r>
        <w:rPr>
          <w:rFonts w:ascii="Avenir Next" w:hAnsi="Avenir Next" w:cs="Avenir Next"/>
          <w:b/>
          <w:i w:val="0"/>
          <w:color w:val="000000"/>
          <w:sz w:val="25"/>
        </w:rPr>
        <w:t>SOFT: ~30 language / consistency issues</w:t>
      </w:r>
      <w:r>
        <w:rPr>
          <w:rFonts w:ascii="Avenir Next" w:hAnsi="Avenir Next" w:cs="Avenir Next"/>
          <w:b w:val="0"/>
          <w:i w:val="0"/>
          <w:color w:val="000000"/>
          <w:sz w:val="25"/>
        </w:rPr>
        <w:t xml:space="preserve"> across Thai numeral usage, parenthetical translations, informal English calques, and merged paragraphs. </w:t>
      </w:r>
      <w:r>
        <w:rPr>
          <w:rFonts w:ascii="Avenir Next" w:hAnsi="Avenir Next" w:cs="Avenir Next"/>
          <w:b/>
          <w:i w:val="0"/>
          <w:color w:val="000000"/>
          <w:sz w:val="25"/>
        </w:rPr>
        <w:t>(Cost: criterion 6, ~ 2–3 % of total score.)</w:t>
      </w:r>
    </w:p>
    <w:p>
      <w:pPr>
        <w:spacing w:after="140" w:line="324" w:lineRule="auto"/>
      </w:pPr>
      <w:r>
        <w:rPr>
          <w:rFonts w:ascii="Avenir Next" w:hAnsi="Avenir Next" w:cs="Avenir Next"/>
          <w:b w:val="0"/>
          <w:i w:val="0"/>
          <w:color w:val="000000"/>
          <w:sz w:val="25"/>
        </w:rPr>
        <w:t xml:space="preserve">If all three are addressed, my estimate is the submission lands at </w:t>
      </w:r>
      <w:r>
        <w:rPr>
          <w:rFonts w:ascii="Avenir Next" w:hAnsi="Avenir Next" w:cs="Avenir Next"/>
          <w:b/>
          <w:i w:val="0"/>
          <w:color w:val="000000"/>
          <w:sz w:val="25"/>
        </w:rPr>
        <w:t>82–88 %</w:t>
      </w:r>
      <w:r>
        <w:rPr>
          <w:rFonts w:ascii="Avenir Next" w:hAnsi="Avenir Next" w:cs="Avenir Next"/>
          <w:b w:val="0"/>
          <w:i w:val="0"/>
          <w:color w:val="000000"/>
          <w:sz w:val="25"/>
        </w:rPr>
        <w:t xml:space="preserve"> — comfortably inside the top-5 cut. If left as-is, the page-over-limit alone could remove the submission from consideration regardless of merit.</w:t>
      </w:r>
    </w:p>
    <w:p>
      <w:pPr>
        <w:spacing w:after="140" w:line="324" w:lineRule="auto"/>
      </w:pPr>
      <w:r>
        <w:rPr>
          <w:rFonts w:ascii="Avenir Next" w:hAnsi="Avenir Next" w:cs="Avenir Next"/>
          <w:b w:val="0"/>
          <w:i w:val="0"/>
          <w:color w:val="000000"/>
          <w:sz w:val="25"/>
        </w:rPr>
        <w:t>The rest of this report contains: (1) the rubric-by-rubric assessment, (2) the line-by-line Thai language pass, (3) the citation gap analysis with proposed in-text insertions, (4) the full bibliography (APA 7), and (5) a prioritized action plan.</w:t>
      </w:r>
    </w:p>
    <w:p>
      <w:pPr>
        <w:spacing w:before="80" w:after="80"/>
        <w:pBdr>
          <w:bottom w:val="single" w:sz="4" w:space="4" w:color="C9A961"/>
        </w:pBdr>
      </w:pPr>
    </w:p>
    <w:p>
      <w:pPr>
        <w:spacing w:before="320" w:after="140"/>
        <w:pBdr>
          <w:bottom w:val="single" w:sz="6" w:space="4" w:color="C9A961"/>
        </w:pBdr>
      </w:pPr>
      <w:r>
        <w:rPr>
          <w:rFonts w:ascii="Baskerville" w:hAnsi="Baskerville" w:cs="Baskerville"/>
          <w:b w:val="0"/>
          <w:i w:val="0"/>
          <w:color w:val="9C6F1C"/>
          <w:sz w:val="33"/>
        </w:rPr>
        <w:t>1 · Honest rubric-by-rubric assessment</w:t>
      </w:r>
    </w:p>
    <w:p>
      <w:pPr>
        <w:spacing w:after="140" w:line="324" w:lineRule="auto"/>
      </w:pPr>
      <w:r>
        <w:rPr>
          <w:rFonts w:ascii="Avenir Next" w:hAnsi="Avenir Next" w:cs="Avenir Next"/>
          <w:b w:val="0"/>
          <w:i w:val="0"/>
          <w:color w:val="000000"/>
          <w:sz w:val="25"/>
        </w:rPr>
        <w:t>SPU selection-round rubric (per เกณฑ์การตัดสิน/หลักเกณฑ์ในการพิจารณาตัดสินโครงการ.pdf):</w:t>
      </w:r>
    </w:p>
    <w:tbl>
      <w:tblPr>
        <w:tblW w:type="auto" w:w="0"/>
        <w:jc w:val="left"/>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1569"/>
        <w:gridCol w:w="1569"/>
        <w:gridCol w:w="1569"/>
        <w:gridCol w:w="1569"/>
        <w:gridCol w:w="1569"/>
        <w:gridCol w:w="1569"/>
      </w:tblGrid>
      <w:tr>
        <w:tc>
          <w:tcPr>
            <w:tcW w:type="dxa" w:w="1569"/>
            <w:shd w:val="clear" w:color="auto" w:fill="F4F1EA"/>
          </w:tcPr>
          <w:p>
            <w:pPr>
              <w:spacing w:after="20"/>
            </w:pPr>
            <w:r>
              <w:rPr>
                <w:rFonts w:ascii="Menlo" w:hAnsi="Menlo" w:cs="Menlo"/>
                <w:b/>
                <w:i w:val="0"/>
                <w:color w:val="9C6F1C"/>
                <w:sz w:val="16"/>
                <w:spacing w:val="16"/>
              </w:rPr>
              <w:t>#</w:t>
            </w:r>
          </w:p>
        </w:tc>
        <w:tc>
          <w:tcPr>
            <w:tcW w:type="dxa" w:w="1569"/>
            <w:shd w:val="clear" w:color="auto" w:fill="F4F1EA"/>
          </w:tcPr>
          <w:p>
            <w:pPr>
              <w:spacing w:after="20"/>
            </w:pPr>
            <w:r>
              <w:rPr>
                <w:rFonts w:ascii="Menlo" w:hAnsi="Menlo" w:cs="Menlo"/>
                <w:b/>
                <w:i w:val="0"/>
                <w:color w:val="9C6F1C"/>
                <w:sz w:val="16"/>
                <w:spacing w:val="16"/>
              </w:rPr>
              <w:t>CRITERION</w:t>
            </w:r>
          </w:p>
        </w:tc>
        <w:tc>
          <w:tcPr>
            <w:tcW w:type="dxa" w:w="1569"/>
            <w:shd w:val="clear" w:color="auto" w:fill="F4F1EA"/>
          </w:tcPr>
          <w:p>
            <w:pPr>
              <w:spacing w:after="20"/>
            </w:pPr>
            <w:r>
              <w:rPr>
                <w:rFonts w:ascii="Menlo" w:hAnsi="Menlo" w:cs="Menlo"/>
                <w:b/>
                <w:i w:val="0"/>
                <w:color w:val="9C6F1C"/>
                <w:sz w:val="16"/>
                <w:spacing w:val="16"/>
              </w:rPr>
              <w:t>WEIGHT</w:t>
            </w:r>
          </w:p>
        </w:tc>
        <w:tc>
          <w:tcPr>
            <w:tcW w:type="dxa" w:w="1569"/>
            <w:shd w:val="clear" w:color="auto" w:fill="F4F1EA"/>
          </w:tcPr>
          <w:p>
            <w:pPr>
              <w:spacing w:after="20"/>
            </w:pPr>
            <w:r>
              <w:rPr>
                <w:rFonts w:ascii="Menlo" w:hAnsi="Menlo" w:cs="Menlo"/>
                <w:b/>
                <w:i w:val="0"/>
                <w:color w:val="9C6F1C"/>
                <w:sz w:val="16"/>
                <w:spacing w:val="16"/>
              </w:rPr>
              <w:t>ESTIMATED SCORE</w:t>
            </w:r>
          </w:p>
        </w:tc>
        <w:tc>
          <w:tcPr>
            <w:tcW w:type="dxa" w:w="1569"/>
            <w:shd w:val="clear" w:color="auto" w:fill="F4F1EA"/>
          </w:tcPr>
          <w:p>
            <w:pPr>
              <w:spacing w:after="20"/>
            </w:pPr>
            <w:r>
              <w:rPr>
                <w:rFonts w:ascii="Menlo" w:hAnsi="Menlo" w:cs="Menlo"/>
                <w:b/>
                <w:i w:val="0"/>
                <w:color w:val="9C6F1C"/>
                <w:sz w:val="16"/>
                <w:spacing w:val="16"/>
              </w:rPr>
              <w:t>WHAT CARRIES THE SCORE</w:t>
            </w:r>
          </w:p>
        </w:tc>
        <w:tc>
          <w:tcPr>
            <w:tcW w:type="dxa" w:w="1569"/>
            <w:shd w:val="clear" w:color="auto" w:fill="F4F1EA"/>
          </w:tcPr>
          <w:p>
            <w:pPr>
              <w:spacing w:after="20"/>
            </w:pPr>
            <w:r>
              <w:rPr>
                <w:rFonts w:ascii="Menlo" w:hAnsi="Menlo" w:cs="Menlo"/>
                <w:b/>
                <w:i w:val="0"/>
                <w:color w:val="9C6F1C"/>
                <w:sz w:val="16"/>
                <w:spacing w:val="16"/>
              </w:rPr>
              <w:t>WHAT COULD LIFT IT</w:t>
            </w:r>
          </w:p>
        </w:tc>
      </w:tr>
      <w:tr>
        <w:tc>
          <w:tcPr>
            <w:tcW w:type="dxa" w:w="1569"/>
          </w:tcPr>
          <w:p>
            <w:pPr>
              <w:spacing w:after="20" w:line="300" w:lineRule="auto"/>
            </w:pPr>
            <w:r>
              <w:rPr>
                <w:rFonts w:ascii="Avenir Next" w:hAnsi="Avenir Next" w:cs="Avenir Next"/>
                <w:b w:val="0"/>
                <w:i w:val="0"/>
                <w:color w:val="000000"/>
                <w:sz w:val="21"/>
              </w:rPr>
              <w:t>1</w:t>
            </w:r>
          </w:p>
        </w:tc>
        <w:tc>
          <w:tcPr>
            <w:tcW w:type="dxa" w:w="1569"/>
          </w:tcPr>
          <w:p>
            <w:pPr>
              <w:spacing w:after="20" w:line="300" w:lineRule="auto"/>
            </w:pPr>
            <w:r>
              <w:rPr>
                <w:rFonts w:ascii="Avenir Next" w:hAnsi="Avenir Next" w:cs="Avenir Next"/>
                <w:b w:val="0"/>
                <w:i w:val="0"/>
                <w:color w:val="000000"/>
                <w:sz w:val="21"/>
              </w:rPr>
              <w:t>หลักการและเหตุผลในการพัฒนานวัตกรรม</w:t>
            </w:r>
          </w:p>
        </w:tc>
        <w:tc>
          <w:tcPr>
            <w:tcW w:type="dxa" w:w="1569"/>
          </w:tcPr>
          <w:p>
            <w:pPr>
              <w:spacing w:after="20" w:line="300" w:lineRule="auto"/>
            </w:pPr>
            <w:r>
              <w:rPr>
                <w:rFonts w:ascii="Avenir Next" w:hAnsi="Avenir Next" w:cs="Avenir Next"/>
                <w:b w:val="0"/>
                <w:i w:val="0"/>
                <w:color w:val="000000"/>
                <w:sz w:val="21"/>
              </w:rPr>
              <w:t>10 %</w:t>
            </w:r>
          </w:p>
        </w:tc>
        <w:tc>
          <w:tcPr>
            <w:tcW w:type="dxa" w:w="1569"/>
          </w:tcPr>
          <w:p>
            <w:pPr>
              <w:spacing w:after="20" w:line="300" w:lineRule="auto"/>
            </w:pPr>
            <w:r>
              <w:rPr>
                <w:rFonts w:ascii="Avenir Next" w:hAnsi="Avenir Next" w:cs="Avenir Next"/>
                <w:b/>
                <w:i w:val="0"/>
                <w:color w:val="000000"/>
                <w:sz w:val="21"/>
              </w:rPr>
              <w:t>8.5 / 10</w:t>
            </w:r>
          </w:p>
        </w:tc>
        <w:tc>
          <w:tcPr>
            <w:tcW w:type="dxa" w:w="1569"/>
          </w:tcPr>
          <w:p>
            <w:pPr>
              <w:spacing w:after="20" w:line="300" w:lineRule="auto"/>
            </w:pPr>
            <w:r>
              <w:rPr>
                <w:rFonts w:ascii="Avenir Next" w:hAnsi="Avenir Next" w:cs="Avenir Next"/>
                <w:b w:val="0"/>
                <w:i w:val="0"/>
                <w:color w:val="000000"/>
                <w:sz w:val="21"/>
              </w:rPr>
              <w:t>Ten frameworks named; three identified pedagogical gaps from prior course design; clear bridging-to-innovation logic</w:t>
            </w:r>
          </w:p>
        </w:tc>
        <w:tc>
          <w:tcPr>
            <w:tcW w:type="dxa" w:w="1569"/>
          </w:tcPr>
          <w:p>
            <w:pPr>
              <w:spacing w:after="20" w:line="300" w:lineRule="auto"/>
            </w:pPr>
            <w:r>
              <w:rPr>
                <w:rFonts w:ascii="Avenir Next" w:hAnsi="Avenir Next" w:cs="Avenir Next"/>
                <w:b w:val="0"/>
                <w:i w:val="0"/>
                <w:color w:val="000000"/>
                <w:sz w:val="21"/>
              </w:rPr>
              <w:t>Add in-text citations to all ten frameworks; tighten "เชิงประจักษ์" to one occurrence per paragraph</w:t>
            </w:r>
          </w:p>
        </w:tc>
      </w:tr>
      <w:tr>
        <w:tc>
          <w:tcPr>
            <w:tcW w:type="dxa" w:w="1569"/>
          </w:tcPr>
          <w:p>
            <w:pPr>
              <w:spacing w:after="20" w:line="300" w:lineRule="auto"/>
            </w:pPr>
            <w:r>
              <w:rPr>
                <w:rFonts w:ascii="Avenir Next" w:hAnsi="Avenir Next" w:cs="Avenir Next"/>
                <w:b w:val="0"/>
                <w:i w:val="0"/>
                <w:color w:val="000000"/>
                <w:sz w:val="21"/>
              </w:rPr>
              <w:t>2</w:t>
            </w:r>
          </w:p>
        </w:tc>
        <w:tc>
          <w:tcPr>
            <w:tcW w:type="dxa" w:w="1569"/>
          </w:tcPr>
          <w:p>
            <w:pPr>
              <w:spacing w:after="20" w:line="300" w:lineRule="auto"/>
            </w:pPr>
            <w:r>
              <w:rPr>
                <w:rFonts w:ascii="Avenir Next" w:hAnsi="Avenir Next" w:cs="Avenir Next"/>
                <w:b w:val="0"/>
                <w:i w:val="0"/>
                <w:color w:val="000000"/>
                <w:sz w:val="21"/>
              </w:rPr>
              <w:t>วัตถุประสงค์ในการพัฒนานวัตกรรม</w:t>
            </w:r>
          </w:p>
        </w:tc>
        <w:tc>
          <w:tcPr>
            <w:tcW w:type="dxa" w:w="1569"/>
          </w:tcPr>
          <w:p>
            <w:pPr>
              <w:spacing w:after="20" w:line="300" w:lineRule="auto"/>
            </w:pPr>
            <w:r>
              <w:rPr>
                <w:rFonts w:ascii="Avenir Next" w:hAnsi="Avenir Next" w:cs="Avenir Next"/>
                <w:b w:val="0"/>
                <w:i w:val="0"/>
                <w:color w:val="000000"/>
                <w:sz w:val="21"/>
              </w:rPr>
              <w:t>10 %</w:t>
            </w:r>
          </w:p>
        </w:tc>
        <w:tc>
          <w:tcPr>
            <w:tcW w:type="dxa" w:w="1569"/>
          </w:tcPr>
          <w:p>
            <w:pPr>
              <w:spacing w:after="20" w:line="300" w:lineRule="auto"/>
            </w:pPr>
            <w:r>
              <w:rPr>
                <w:rFonts w:ascii="Avenir Next" w:hAnsi="Avenir Next" w:cs="Avenir Next"/>
                <w:b/>
                <w:i w:val="0"/>
                <w:color w:val="000000"/>
                <w:sz w:val="21"/>
              </w:rPr>
              <w:t>9.0 / 10</w:t>
            </w:r>
          </w:p>
        </w:tc>
        <w:tc>
          <w:tcPr>
            <w:tcW w:type="dxa" w:w="1569"/>
          </w:tcPr>
          <w:p>
            <w:pPr>
              <w:spacing w:after="20" w:line="300" w:lineRule="auto"/>
            </w:pPr>
            <w:r>
              <w:rPr>
                <w:rFonts w:ascii="Avenir Next" w:hAnsi="Avenir Next" w:cs="Avenir Next"/>
                <w:b w:val="0"/>
                <w:i w:val="0"/>
                <w:color w:val="000000"/>
                <w:sz w:val="21"/>
              </w:rPr>
              <w:t>11 objectives + a separate Three-Theory Mapping block; each objective has an operational hook in the platform</w:t>
            </w:r>
          </w:p>
        </w:tc>
        <w:tc>
          <w:tcPr>
            <w:tcW w:type="dxa" w:w="1569"/>
          </w:tcPr>
          <w:p>
            <w:pPr>
              <w:spacing w:after="20" w:line="300" w:lineRule="auto"/>
            </w:pPr>
            <w:r>
              <w:rPr>
                <w:rFonts w:ascii="Avenir Next" w:hAnsi="Avenir Next" w:cs="Avenir Next"/>
                <w:b w:val="0"/>
                <w:i w:val="0"/>
                <w:color w:val="000000"/>
                <w:sz w:val="21"/>
              </w:rPr>
              <w:t>Cross-reference each objective to a specific CLO of LALA109 to lock the institutional fit</w:t>
            </w:r>
          </w:p>
        </w:tc>
      </w:tr>
      <w:tr>
        <w:tc>
          <w:tcPr>
            <w:tcW w:type="dxa" w:w="1569"/>
          </w:tcPr>
          <w:p>
            <w:pPr>
              <w:spacing w:after="20" w:line="300" w:lineRule="auto"/>
            </w:pPr>
            <w:r>
              <w:rPr>
                <w:rFonts w:ascii="Avenir Next" w:hAnsi="Avenir Next" w:cs="Avenir Next"/>
                <w:b w:val="0"/>
                <w:i w:val="0"/>
                <w:color w:val="000000"/>
                <w:sz w:val="21"/>
              </w:rPr>
              <w:t>3</w:t>
            </w:r>
          </w:p>
        </w:tc>
        <w:tc>
          <w:tcPr>
            <w:tcW w:type="dxa" w:w="1569"/>
          </w:tcPr>
          <w:p>
            <w:pPr>
              <w:spacing w:after="20" w:line="300" w:lineRule="auto"/>
            </w:pPr>
            <w:r>
              <w:rPr>
                <w:rFonts w:ascii="Avenir Next" w:hAnsi="Avenir Next" w:cs="Avenir Next"/>
                <w:b w:val="0"/>
                <w:i w:val="0"/>
                <w:color w:val="000000"/>
                <w:sz w:val="21"/>
              </w:rPr>
              <w:t>วิธีดำเนินการพัฒนานวัตกรรม</w:t>
            </w:r>
          </w:p>
        </w:tc>
        <w:tc>
          <w:tcPr>
            <w:tcW w:type="dxa" w:w="1569"/>
          </w:tcPr>
          <w:p>
            <w:pPr>
              <w:spacing w:after="20" w:line="300" w:lineRule="auto"/>
            </w:pPr>
            <w:r>
              <w:rPr>
                <w:rFonts w:ascii="Avenir Next" w:hAnsi="Avenir Next" w:cs="Avenir Next"/>
                <w:b w:val="0"/>
                <w:i w:val="0"/>
                <w:color w:val="000000"/>
                <w:sz w:val="21"/>
              </w:rPr>
              <w:t>20 %</w:t>
            </w:r>
          </w:p>
        </w:tc>
        <w:tc>
          <w:tcPr>
            <w:tcW w:type="dxa" w:w="1569"/>
          </w:tcPr>
          <w:p>
            <w:pPr>
              <w:spacing w:after="20" w:line="300" w:lineRule="auto"/>
            </w:pPr>
            <w:r>
              <w:rPr>
                <w:rFonts w:ascii="Avenir Next" w:hAnsi="Avenir Next" w:cs="Avenir Next"/>
                <w:b/>
                <w:i w:val="0"/>
                <w:color w:val="000000"/>
                <w:sz w:val="21"/>
              </w:rPr>
              <w:t>7.5 / 10</w:t>
            </w:r>
          </w:p>
        </w:tc>
        <w:tc>
          <w:tcPr>
            <w:tcW w:type="dxa" w:w="1569"/>
          </w:tcPr>
          <w:p>
            <w:pPr>
              <w:spacing w:after="20" w:line="300" w:lineRule="auto"/>
            </w:pPr>
            <w:r>
              <w:rPr>
                <w:rFonts w:ascii="Avenir Next" w:hAnsi="Avenir Next" w:cs="Avenir Next"/>
                <w:b w:val="0"/>
                <w:i w:val="0"/>
                <w:color w:val="000000"/>
                <w:sz w:val="21"/>
              </w:rPr>
              <w:t>Six phases, dated, with named tech stack; mentions WCAG AA testing and DPIA preparation</w:t>
            </w:r>
          </w:p>
        </w:tc>
        <w:tc>
          <w:tcPr>
            <w:tcW w:type="dxa" w:w="1569"/>
          </w:tcPr>
          <w:p>
            <w:pPr>
              <w:spacing w:after="20" w:line="300" w:lineRule="auto"/>
            </w:pPr>
            <w:r>
              <w:rPr>
                <w:rFonts w:ascii="Avenir Next" w:hAnsi="Avenir Next" w:cs="Avenir Next"/>
                <w:b w:val="0"/>
                <w:i w:val="0"/>
                <w:color w:val="000000"/>
                <w:sz w:val="21"/>
              </w:rPr>
              <w:t>Remove the word "Vibe-coding" (or recast as the academic equivalent); add evaluator-formative-test cycle (a missing R&amp;D step); cite the Educational R&amp;D methodology source</w:t>
            </w:r>
          </w:p>
        </w:tc>
      </w:tr>
      <w:tr>
        <w:tc>
          <w:tcPr>
            <w:tcW w:type="dxa" w:w="1569"/>
          </w:tcPr>
          <w:p>
            <w:pPr>
              <w:spacing w:after="20" w:line="300" w:lineRule="auto"/>
            </w:pPr>
            <w:r>
              <w:rPr>
                <w:rFonts w:ascii="Avenir Next" w:hAnsi="Avenir Next" w:cs="Avenir Next"/>
                <w:b w:val="0"/>
                <w:i w:val="0"/>
                <w:color w:val="000000"/>
                <w:sz w:val="21"/>
              </w:rPr>
              <w:t>4</w:t>
            </w:r>
          </w:p>
        </w:tc>
        <w:tc>
          <w:tcPr>
            <w:tcW w:type="dxa" w:w="1569"/>
          </w:tcPr>
          <w:p>
            <w:pPr>
              <w:spacing w:after="20" w:line="300" w:lineRule="auto"/>
            </w:pPr>
            <w:r>
              <w:rPr>
                <w:rFonts w:ascii="Avenir Next" w:hAnsi="Avenir Next" w:cs="Avenir Next"/>
                <w:b w:val="0"/>
                <w:i w:val="0"/>
                <w:color w:val="000000"/>
                <w:sz w:val="21"/>
              </w:rPr>
              <w:t>จุดเด่นของผลงาน</w:t>
            </w:r>
          </w:p>
        </w:tc>
        <w:tc>
          <w:tcPr>
            <w:tcW w:type="dxa" w:w="1569"/>
          </w:tcPr>
          <w:p>
            <w:pPr>
              <w:spacing w:after="20" w:line="300" w:lineRule="auto"/>
            </w:pPr>
            <w:r>
              <w:rPr>
                <w:rFonts w:ascii="Avenir Next" w:hAnsi="Avenir Next" w:cs="Avenir Next"/>
                <w:b w:val="0"/>
                <w:i w:val="0"/>
                <w:color w:val="000000"/>
                <w:sz w:val="21"/>
              </w:rPr>
              <w:t>20 %</w:t>
            </w:r>
          </w:p>
        </w:tc>
        <w:tc>
          <w:tcPr>
            <w:tcW w:type="dxa" w:w="1569"/>
          </w:tcPr>
          <w:p>
            <w:pPr>
              <w:spacing w:after="20" w:line="300" w:lineRule="auto"/>
            </w:pPr>
            <w:r>
              <w:rPr>
                <w:rFonts w:ascii="Avenir Next" w:hAnsi="Avenir Next" w:cs="Avenir Next"/>
                <w:b/>
                <w:i w:val="0"/>
                <w:color w:val="000000"/>
                <w:sz w:val="21"/>
              </w:rPr>
              <w:t>9.0 / 10</w:t>
            </w:r>
          </w:p>
        </w:tc>
        <w:tc>
          <w:tcPr>
            <w:tcW w:type="dxa" w:w="1569"/>
          </w:tcPr>
          <w:p>
            <w:pPr>
              <w:spacing w:after="20" w:line="300" w:lineRule="auto"/>
            </w:pPr>
            <w:r>
              <w:rPr>
                <w:rFonts w:ascii="Avenir Next" w:hAnsi="Avenir Next" w:cs="Avenir Next"/>
                <w:b w:val="0"/>
                <w:i w:val="0"/>
                <w:color w:val="000000"/>
                <w:sz w:val="21"/>
              </w:rPr>
              <w:t>Eight differentiators with auditable hooks (System Prompt-level AI-TPACK enforcement; PICRAT minimum floor; Adaptive Reading Tiers; real Thai audiences; Mr Compass guardrails; four-tier judging; Voice for Change; PDPA + UDL compliance)</w:t>
            </w:r>
          </w:p>
        </w:tc>
        <w:tc>
          <w:tcPr>
            <w:tcW w:type="dxa" w:w="1569"/>
          </w:tcPr>
          <w:p>
            <w:pPr>
              <w:spacing w:after="20" w:line="300" w:lineRule="auto"/>
            </w:pPr>
            <w:r>
              <w:rPr>
                <w:rFonts w:ascii="Avenir Next" w:hAnsi="Avenir Next" w:cs="Avenir Next"/>
                <w:b w:val="0"/>
                <w:i w:val="0"/>
                <w:color w:val="000000"/>
                <w:sz w:val="21"/>
              </w:rPr>
              <w:t>Add a one-line citation behind the Socratic-dialogue claim; verify the "9 Thai institutions" list is exact</w:t>
            </w:r>
          </w:p>
        </w:tc>
      </w:tr>
      <w:tr>
        <w:tc>
          <w:tcPr>
            <w:tcW w:type="dxa" w:w="1569"/>
          </w:tcPr>
          <w:p>
            <w:pPr>
              <w:spacing w:after="20" w:line="300" w:lineRule="auto"/>
            </w:pPr>
            <w:r>
              <w:rPr>
                <w:rFonts w:ascii="Avenir Next" w:hAnsi="Avenir Next" w:cs="Avenir Next"/>
                <w:b w:val="0"/>
                <w:i w:val="0"/>
                <w:color w:val="000000"/>
                <w:sz w:val="21"/>
              </w:rPr>
              <w:t>5</w:t>
            </w:r>
          </w:p>
        </w:tc>
        <w:tc>
          <w:tcPr>
            <w:tcW w:type="dxa" w:w="1569"/>
          </w:tcPr>
          <w:p>
            <w:pPr>
              <w:spacing w:after="20" w:line="300" w:lineRule="auto"/>
            </w:pPr>
            <w:r>
              <w:rPr>
                <w:rFonts w:ascii="Avenir Next" w:hAnsi="Avenir Next" w:cs="Avenir Next"/>
                <w:b w:val="0"/>
                <w:i w:val="0"/>
                <w:color w:val="000000"/>
                <w:sz w:val="21"/>
              </w:rPr>
              <w:t>ประโยชน์ที่ได้รับและแนวทางการพัฒนาต่อยอด</w:t>
            </w:r>
          </w:p>
        </w:tc>
        <w:tc>
          <w:tcPr>
            <w:tcW w:type="dxa" w:w="1569"/>
          </w:tcPr>
          <w:p>
            <w:pPr>
              <w:spacing w:after="20" w:line="300" w:lineRule="auto"/>
            </w:pPr>
            <w:r>
              <w:rPr>
                <w:rFonts w:ascii="Avenir Next" w:hAnsi="Avenir Next" w:cs="Avenir Next"/>
                <w:b w:val="0"/>
                <w:i w:val="0"/>
                <w:color w:val="000000"/>
                <w:sz w:val="21"/>
              </w:rPr>
              <w:t>20 %</w:t>
            </w:r>
          </w:p>
        </w:tc>
        <w:tc>
          <w:tcPr>
            <w:tcW w:type="dxa" w:w="1569"/>
          </w:tcPr>
          <w:p>
            <w:pPr>
              <w:spacing w:after="20" w:line="300" w:lineRule="auto"/>
            </w:pPr>
            <w:r>
              <w:rPr>
                <w:rFonts w:ascii="Avenir Next" w:hAnsi="Avenir Next" w:cs="Avenir Next"/>
                <w:b/>
                <w:i w:val="0"/>
                <w:color w:val="000000"/>
                <w:sz w:val="21"/>
              </w:rPr>
              <w:t>8.0 / 10</w:t>
            </w:r>
          </w:p>
        </w:tc>
        <w:tc>
          <w:tcPr>
            <w:tcW w:type="dxa" w:w="1569"/>
          </w:tcPr>
          <w:p>
            <w:pPr>
              <w:spacing w:after="20" w:line="300" w:lineRule="auto"/>
            </w:pPr>
            <w:r>
              <w:rPr>
                <w:rFonts w:ascii="Avenir Next" w:hAnsi="Avenir Next" w:cs="Avenir Next"/>
                <w:b w:val="0"/>
                <w:i w:val="0"/>
                <w:color w:val="000000"/>
                <w:sz w:val="21"/>
              </w:rPr>
              <w:t>Five beneficiary classes (learner / teacher / institution / community / profession); six expansion paths spanning content, platform, audience, research, and partnership</w:t>
            </w:r>
          </w:p>
        </w:tc>
        <w:tc>
          <w:tcPr>
            <w:tcW w:type="dxa" w:w="1569"/>
          </w:tcPr>
          <w:p>
            <w:pPr>
              <w:spacing w:after="20" w:line="300" w:lineRule="auto"/>
            </w:pPr>
            <w:r>
              <w:rPr>
                <w:rFonts w:ascii="Avenir Next" w:hAnsi="Avenir Next" w:cs="Avenir Next"/>
                <w:b w:val="0"/>
                <w:i w:val="0"/>
                <w:color w:val="000000"/>
                <w:sz w:val="21"/>
              </w:rPr>
              <w:t>Cite the THE Impact Rankings methodology if claimed; remove the imprecise "เวทีเยาวชน SDG ของประเทศไทย" or replace with the specific named forum</w:t>
            </w:r>
          </w:p>
        </w:tc>
      </w:tr>
      <w:tr>
        <w:tc>
          <w:tcPr>
            <w:tcW w:type="dxa" w:w="1569"/>
          </w:tcPr>
          <w:p>
            <w:pPr>
              <w:spacing w:after="20" w:line="300" w:lineRule="auto"/>
            </w:pPr>
            <w:r>
              <w:rPr>
                <w:rFonts w:ascii="Avenir Next" w:hAnsi="Avenir Next" w:cs="Avenir Next"/>
                <w:b w:val="0"/>
                <w:i w:val="0"/>
                <w:color w:val="000000"/>
                <w:sz w:val="21"/>
              </w:rPr>
              <w:t>6</w:t>
            </w:r>
          </w:p>
        </w:tc>
        <w:tc>
          <w:tcPr>
            <w:tcW w:type="dxa" w:w="1569"/>
          </w:tcPr>
          <w:p>
            <w:pPr>
              <w:spacing w:after="20" w:line="300" w:lineRule="auto"/>
            </w:pPr>
            <w:r>
              <w:rPr>
                <w:rFonts w:ascii="Avenir Next" w:hAnsi="Avenir Next" w:cs="Avenir Next"/>
                <w:b w:val="0"/>
                <w:i w:val="0"/>
                <w:color w:val="000000"/>
                <w:sz w:val="21"/>
              </w:rPr>
              <w:t>เอกสารประกอบการนำเสนอ (รายงาน + โปสเตอร์)</w:t>
            </w:r>
          </w:p>
        </w:tc>
        <w:tc>
          <w:tcPr>
            <w:tcW w:type="dxa" w:w="1569"/>
          </w:tcPr>
          <w:p>
            <w:pPr>
              <w:spacing w:after="20" w:line="300" w:lineRule="auto"/>
            </w:pPr>
            <w:r>
              <w:rPr>
                <w:rFonts w:ascii="Avenir Next" w:hAnsi="Avenir Next" w:cs="Avenir Next"/>
                <w:b w:val="0"/>
                <w:i w:val="0"/>
                <w:color w:val="000000"/>
                <w:sz w:val="21"/>
              </w:rPr>
              <w:t>20 %</w:t>
            </w:r>
          </w:p>
        </w:tc>
        <w:tc>
          <w:tcPr>
            <w:tcW w:type="dxa" w:w="1569"/>
          </w:tcPr>
          <w:p>
            <w:pPr>
              <w:spacing w:after="20" w:line="300" w:lineRule="auto"/>
            </w:pPr>
            <w:r>
              <w:rPr>
                <w:rFonts w:ascii="Avenir Next" w:hAnsi="Avenir Next" w:cs="Avenir Next"/>
                <w:b/>
                <w:i w:val="0"/>
                <w:color w:val="000000"/>
                <w:sz w:val="21"/>
              </w:rPr>
              <w:t>8.5 / 10</w:t>
            </w:r>
          </w:p>
        </w:tc>
        <w:tc>
          <w:tcPr>
            <w:tcW w:type="dxa" w:w="1569"/>
          </w:tcPr>
          <w:p>
            <w:pPr>
              <w:spacing w:after="20" w:line="300" w:lineRule="auto"/>
            </w:pPr>
            <w:r>
              <w:rPr>
                <w:rFonts w:ascii="Avenir Next" w:hAnsi="Avenir Next" w:cs="Avenir Next"/>
                <w:b w:val="0"/>
                <w:i w:val="0"/>
                <w:color w:val="000000"/>
                <w:sz w:val="21"/>
              </w:rPr>
              <w:t>Professional formatting after our prior cleanup pass; rubrics A·B·C·D delivered as standalone PDFs; teacher's manual prepared</w:t>
            </w:r>
          </w:p>
        </w:tc>
        <w:tc>
          <w:tcPr>
            <w:tcW w:type="dxa" w:w="1569"/>
          </w:tcPr>
          <w:p>
            <w:pPr>
              <w:spacing w:after="20" w:line="300" w:lineRule="auto"/>
            </w:pPr>
            <w:r>
              <w:rPr>
                <w:rFonts w:ascii="Avenir Next" w:hAnsi="Avenir Next" w:cs="Avenir Next"/>
                <w:b/>
                <w:i w:val="0"/>
                <w:color w:val="000000"/>
                <w:sz w:val="21"/>
              </w:rPr>
              <w:t>Cap at 15 pages</w:t>
            </w:r>
            <w:r>
              <w:rPr>
                <w:rFonts w:ascii="Avenir Next" w:hAnsi="Avenir Next" w:cs="Avenir Next"/>
                <w:b w:val="0"/>
                <w:i w:val="0"/>
                <w:color w:val="000000"/>
                <w:sz w:val="21"/>
              </w:rPr>
              <w:t xml:space="preserve"> (currently 16); add the reference list; fix the language inconsistencies in §3 below</w:t>
            </w:r>
          </w:p>
        </w:tc>
      </w:tr>
    </w:tbl>
    <w:p>
      <w:pPr>
        <w:spacing w:after="140" w:line="324" w:lineRule="auto"/>
      </w:pPr>
      <w:r>
        <w:rPr>
          <w:rFonts w:ascii="Avenir Next" w:hAnsi="Avenir Next" w:cs="Avenir Next"/>
          <w:b/>
          <w:i w:val="0"/>
          <w:color w:val="000000"/>
          <w:sz w:val="25"/>
        </w:rPr>
        <w:t>Weighted estimated total: ~ 84 %.</w:t>
      </w:r>
    </w:p>
    <w:p>
      <w:pPr>
        <w:spacing w:after="140" w:line="324" w:lineRule="auto"/>
      </w:pPr>
      <w:r>
        <w:rPr>
          <w:rFonts w:ascii="Avenir Next" w:hAnsi="Avenir Next" w:cs="Avenir Next"/>
          <w:b w:val="0"/>
          <w:i w:val="0"/>
          <w:color w:val="000000"/>
          <w:sz w:val="25"/>
        </w:rPr>
        <w:t>This is comfortably inside the top-5 cut historically (SPU has typically advanced submissions ≥ 75 %). The risk is not score — the risk is the 15-page intake gate.</w:t>
      </w:r>
    </w:p>
    <w:p>
      <w:pPr>
        <w:spacing w:before="80" w:after="80"/>
        <w:pBdr>
          <w:bottom w:val="single" w:sz="4" w:space="4" w:color="C9A961"/>
        </w:pBdr>
      </w:pPr>
    </w:p>
    <w:p>
      <w:pPr>
        <w:spacing w:before="320" w:after="140"/>
        <w:pBdr>
          <w:bottom w:val="single" w:sz="6" w:space="4" w:color="C9A961"/>
        </w:pBdr>
      </w:pPr>
      <w:r>
        <w:rPr>
          <w:rFonts w:ascii="Baskerville" w:hAnsi="Baskerville" w:cs="Baskerville"/>
          <w:b w:val="0"/>
          <w:i w:val="0"/>
          <w:color w:val="9C6F1C"/>
          <w:sz w:val="33"/>
        </w:rPr>
        <w:t>2 · Critical findings (in priority order)</w:t>
      </w:r>
    </w:p>
    <w:p>
      <w:pPr>
        <w:spacing w:before="200" w:after="60"/>
      </w:pPr>
      <w:r>
        <w:rPr>
          <w:rFonts w:ascii="Baskerville" w:hAnsi="Baskerville" w:cs="Baskerville"/>
          <w:b/>
          <w:i w:val="0"/>
          <w:color w:val="000000"/>
          <w:sz w:val="27"/>
        </w:rPr>
        <w:t>2.1 · HARD: Page count is 16; limit is 15</w:t>
      </w:r>
    </w:p>
    <w:p>
      <w:pPr>
        <w:spacing w:after="140" w:line="324" w:lineRule="auto"/>
      </w:pPr>
      <w:r>
        <w:rPr>
          <w:rFonts w:ascii="Avenir Next" w:hAnsi="Avenir Next" w:cs="Avenir Next"/>
          <w:b w:val="0"/>
          <w:i w:val="0"/>
          <w:color w:val="000000"/>
          <w:sz w:val="25"/>
        </w:rPr>
        <w:t>The rule: "รายงานนวัตกรรมไม่เกิน 15 หน้า" — interpreted conservatively, this includes the full submitted PDF. We are 1 page over.</w:t>
      </w:r>
    </w:p>
    <w:p>
      <w:pPr>
        <w:spacing w:after="140" w:line="324" w:lineRule="auto"/>
      </w:pPr>
      <w:r>
        <w:rPr>
          <w:rFonts w:ascii="Avenir Next" w:hAnsi="Avenir Next" w:cs="Avenir Next"/>
          <w:b/>
          <w:i w:val="0"/>
          <w:color w:val="000000"/>
          <w:sz w:val="25"/>
        </w:rPr>
        <w:t>Recommended cut targets (ranked by impact-on-content / impact-on-score):</w:t>
      </w:r>
    </w:p>
    <w:tbl>
      <w:tblPr>
        <w:tblW w:type="auto" w:w="0"/>
        <w:jc w:val="left"/>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3137"/>
        <w:gridCol w:w="3137"/>
        <w:gridCol w:w="3137"/>
      </w:tblGrid>
      <w:tr>
        <w:tc>
          <w:tcPr>
            <w:tcW w:type="dxa" w:w="3137"/>
            <w:shd w:val="clear" w:color="auto" w:fill="F4F1EA"/>
          </w:tcPr>
          <w:p>
            <w:pPr>
              <w:spacing w:after="20"/>
            </w:pPr>
            <w:r>
              <w:rPr>
                <w:rFonts w:ascii="Menlo" w:hAnsi="Menlo" w:cs="Menlo"/>
                <w:b/>
                <w:i w:val="0"/>
                <w:color w:val="9C6F1C"/>
                <w:sz w:val="16"/>
                <w:spacing w:val="16"/>
              </w:rPr>
              <w:t>TARGET</w:t>
            </w:r>
          </w:p>
        </w:tc>
        <w:tc>
          <w:tcPr>
            <w:tcW w:type="dxa" w:w="3137"/>
            <w:shd w:val="clear" w:color="auto" w:fill="F4F1EA"/>
          </w:tcPr>
          <w:p>
            <w:pPr>
              <w:spacing w:after="20"/>
            </w:pPr>
            <w:r>
              <w:rPr>
                <w:rFonts w:ascii="Menlo" w:hAnsi="Menlo" w:cs="Menlo"/>
                <w:b/>
                <w:i w:val="0"/>
                <w:color w:val="9C6F1C"/>
                <w:sz w:val="16"/>
                <w:spacing w:val="16"/>
              </w:rPr>
              <w:t>LINES CUT</w:t>
            </w:r>
          </w:p>
        </w:tc>
        <w:tc>
          <w:tcPr>
            <w:tcW w:type="dxa" w:w="3137"/>
            <w:shd w:val="clear" w:color="auto" w:fill="F4F1EA"/>
          </w:tcPr>
          <w:p>
            <w:pPr>
              <w:spacing w:after="20"/>
            </w:pPr>
            <w:r>
              <w:rPr>
                <w:rFonts w:ascii="Menlo" w:hAnsi="Menlo" w:cs="Menlo"/>
                <w:b/>
                <w:i w:val="0"/>
                <w:color w:val="9C6F1C"/>
                <w:sz w:val="16"/>
                <w:spacing w:val="16"/>
              </w:rPr>
              <w:t>SCORE IMPACT</w:t>
            </w:r>
          </w:p>
        </w:tc>
      </w:tr>
      <w:tr>
        <w:tc>
          <w:tcPr>
            <w:tcW w:type="dxa" w:w="3137"/>
          </w:tcPr>
          <w:p>
            <w:pPr>
              <w:spacing w:after="20" w:line="300" w:lineRule="auto"/>
            </w:pPr>
            <w:r>
              <w:rPr>
                <w:rFonts w:ascii="Avenir Next" w:hAnsi="Avenir Next" w:cs="Avenir Next"/>
                <w:b w:val="0"/>
                <w:i w:val="0"/>
                <w:color w:val="000000"/>
                <w:sz w:val="21"/>
              </w:rPr>
              <w:t>Tighten the closing paragraph of §3.1 (currently runs the last framework into a closing paragraph without break) and remove redundant final sentence "การออกแบบที่ตั้งบนทฤษฎี…พร้อมขยายผล…"</w:t>
            </w:r>
          </w:p>
        </w:tc>
        <w:tc>
          <w:tcPr>
            <w:tcW w:type="dxa" w:w="3137"/>
          </w:tcPr>
          <w:p>
            <w:pPr>
              <w:spacing w:after="20" w:line="300" w:lineRule="auto"/>
            </w:pPr>
            <w:r>
              <w:rPr>
                <w:rFonts w:ascii="Avenir Next" w:hAnsi="Avenir Next" w:cs="Avenir Next"/>
                <w:b w:val="0"/>
                <w:i w:val="0"/>
                <w:color w:val="000000"/>
                <w:sz w:val="21"/>
              </w:rPr>
              <w:t>~ 4 lines</w:t>
            </w:r>
          </w:p>
        </w:tc>
        <w:tc>
          <w:tcPr>
            <w:tcW w:type="dxa" w:w="3137"/>
          </w:tcPr>
          <w:p>
            <w:pPr>
              <w:spacing w:after="20" w:line="300" w:lineRule="auto"/>
            </w:pPr>
            <w:r>
              <w:rPr>
                <w:rFonts w:ascii="Avenir Next" w:hAnsi="Avenir Next" w:cs="Avenir Next"/>
                <w:b w:val="0"/>
                <w:i w:val="0"/>
                <w:color w:val="000000"/>
                <w:sz w:val="21"/>
              </w:rPr>
              <w:t>None — the closing sentence is summary that the document already makes elsewhere</w:t>
            </w:r>
          </w:p>
        </w:tc>
      </w:tr>
      <w:tr>
        <w:tc>
          <w:tcPr>
            <w:tcW w:type="dxa" w:w="3137"/>
          </w:tcPr>
          <w:p>
            <w:pPr>
              <w:spacing w:after="20" w:line="300" w:lineRule="auto"/>
            </w:pPr>
            <w:r>
              <w:rPr>
                <w:rFonts w:ascii="Avenir Next" w:hAnsi="Avenir Next" w:cs="Avenir Next"/>
                <w:b w:val="0"/>
                <w:i w:val="0"/>
                <w:color w:val="000000"/>
                <w:sz w:val="21"/>
              </w:rPr>
              <w:t>Compress §3.3 Phase 4 (media production) — the inventory of "60 ชิ้นสื่อมีเดีย" is exhaustive; reduce to "ผลิตวิดีโอ stakeholder dispatch ๒๔ คลิป ภาพประกอบหลัก ๖๐ ชิ้น"</w:t>
            </w:r>
          </w:p>
        </w:tc>
        <w:tc>
          <w:tcPr>
            <w:tcW w:type="dxa" w:w="3137"/>
          </w:tcPr>
          <w:p>
            <w:pPr>
              <w:spacing w:after="20" w:line="300" w:lineRule="auto"/>
            </w:pPr>
            <w:r>
              <w:rPr>
                <w:rFonts w:ascii="Avenir Next" w:hAnsi="Avenir Next" w:cs="Avenir Next"/>
                <w:b w:val="0"/>
                <w:i w:val="0"/>
                <w:color w:val="000000"/>
                <w:sz w:val="21"/>
              </w:rPr>
              <w:t>~ 3 lines</w:t>
            </w:r>
          </w:p>
        </w:tc>
        <w:tc>
          <w:tcPr>
            <w:tcW w:type="dxa" w:w="3137"/>
          </w:tcPr>
          <w:p>
            <w:pPr>
              <w:spacing w:after="20" w:line="300" w:lineRule="auto"/>
            </w:pPr>
            <w:r>
              <w:rPr>
                <w:rFonts w:ascii="Avenir Next" w:hAnsi="Avenir Next" w:cs="Avenir Next"/>
                <w:b w:val="0"/>
                <w:i w:val="0"/>
                <w:color w:val="000000"/>
                <w:sz w:val="21"/>
              </w:rPr>
              <w:t>None — same information, denser</w:t>
            </w:r>
          </w:p>
        </w:tc>
      </w:tr>
      <w:tr>
        <w:tc>
          <w:tcPr>
            <w:tcW w:type="dxa" w:w="3137"/>
          </w:tcPr>
          <w:p>
            <w:pPr>
              <w:spacing w:after="20" w:line="300" w:lineRule="auto"/>
            </w:pPr>
            <w:r>
              <w:rPr>
                <w:rFonts w:ascii="Avenir Next" w:hAnsi="Avenir Next" w:cs="Avenir Next"/>
                <w:b w:val="0"/>
                <w:i w:val="0"/>
                <w:color w:val="000000"/>
                <w:sz w:val="21"/>
              </w:rPr>
              <w:t>§3.6 (แนวทางต่อยอด) — item (3) "ขยายสู่ระดับมัธยมศึกษา" could be combined with item (6) "เครือข่ายนานาชาติ" since both are external-audience expansions</w:t>
            </w:r>
          </w:p>
        </w:tc>
        <w:tc>
          <w:tcPr>
            <w:tcW w:type="dxa" w:w="3137"/>
          </w:tcPr>
          <w:p>
            <w:pPr>
              <w:spacing w:after="20" w:line="300" w:lineRule="auto"/>
            </w:pPr>
            <w:r>
              <w:rPr>
                <w:rFonts w:ascii="Avenir Next" w:hAnsi="Avenir Next" w:cs="Avenir Next"/>
                <w:b w:val="0"/>
                <w:i w:val="0"/>
                <w:color w:val="000000"/>
                <w:sz w:val="21"/>
              </w:rPr>
              <w:t>~ 5 lines</w:t>
            </w:r>
          </w:p>
        </w:tc>
        <w:tc>
          <w:tcPr>
            <w:tcW w:type="dxa" w:w="3137"/>
          </w:tcPr>
          <w:p>
            <w:pPr>
              <w:spacing w:after="20" w:line="300" w:lineRule="auto"/>
            </w:pPr>
            <w:r>
              <w:rPr>
                <w:rFonts w:ascii="Avenir Next" w:hAnsi="Avenir Next" w:cs="Avenir Next"/>
                <w:b w:val="0"/>
                <w:i w:val="0"/>
                <w:color w:val="000000"/>
                <w:sz w:val="21"/>
              </w:rPr>
              <w:t>Minor — but consolidates the narrative</w:t>
            </w:r>
          </w:p>
        </w:tc>
      </w:tr>
      <w:tr>
        <w:tc>
          <w:tcPr>
            <w:tcW w:type="dxa" w:w="3137"/>
          </w:tcPr>
          <w:p>
            <w:pPr>
              <w:spacing w:after="20" w:line="300" w:lineRule="auto"/>
            </w:pPr>
            <w:r>
              <w:rPr>
                <w:rFonts w:ascii="Avenir Next" w:hAnsi="Avenir Next" w:cs="Avenir Next"/>
                <w:b w:val="0"/>
                <w:i w:val="0"/>
                <w:color w:val="000000"/>
                <w:sz w:val="21"/>
              </w:rPr>
              <w:t>§4.1 — merge step 3 (avatar creation, 1 sentence) into step 2 (CEFR diagnostic, also in week 1–2) since they share a week</w:t>
            </w:r>
          </w:p>
        </w:tc>
        <w:tc>
          <w:tcPr>
            <w:tcW w:type="dxa" w:w="3137"/>
          </w:tcPr>
          <w:p>
            <w:pPr>
              <w:spacing w:after="20" w:line="300" w:lineRule="auto"/>
            </w:pPr>
            <w:r>
              <w:rPr>
                <w:rFonts w:ascii="Avenir Next" w:hAnsi="Avenir Next" w:cs="Avenir Next"/>
                <w:b w:val="0"/>
                <w:i w:val="0"/>
                <w:color w:val="000000"/>
                <w:sz w:val="21"/>
              </w:rPr>
              <w:t>~ 2 lines</w:t>
            </w:r>
          </w:p>
        </w:tc>
        <w:tc>
          <w:tcPr>
            <w:tcW w:type="dxa" w:w="3137"/>
          </w:tcPr>
          <w:p>
            <w:pPr>
              <w:spacing w:after="20" w:line="300" w:lineRule="auto"/>
            </w:pPr>
            <w:r>
              <w:rPr>
                <w:rFonts w:ascii="Avenir Next" w:hAnsi="Avenir Next" w:cs="Avenir Next"/>
                <w:b w:val="0"/>
                <w:i w:val="0"/>
                <w:color w:val="000000"/>
                <w:sz w:val="21"/>
              </w:rPr>
              <w:t>None</w:t>
            </w:r>
          </w:p>
        </w:tc>
      </w:tr>
      <w:tr>
        <w:tc>
          <w:tcPr>
            <w:tcW w:type="dxa" w:w="3137"/>
          </w:tcPr>
          <w:p>
            <w:pPr>
              <w:spacing w:after="20" w:line="300" w:lineRule="auto"/>
            </w:pPr>
            <w:r>
              <w:rPr>
                <w:rFonts w:ascii="Avenir Next" w:hAnsi="Avenir Next" w:cs="Avenir Next"/>
                <w:b w:val="0"/>
                <w:i w:val="0"/>
                <w:color w:val="000000"/>
                <w:sz w:val="21"/>
              </w:rPr>
              <w:t>§5.1 — Result 6 "M-A-H-I-D-O-L" and THE Impact Rankings is double-claim; pick one</w:t>
            </w:r>
          </w:p>
        </w:tc>
        <w:tc>
          <w:tcPr>
            <w:tcW w:type="dxa" w:w="3137"/>
          </w:tcPr>
          <w:p>
            <w:pPr>
              <w:spacing w:after="20" w:line="300" w:lineRule="auto"/>
            </w:pPr>
            <w:r>
              <w:rPr>
                <w:rFonts w:ascii="Avenir Next" w:hAnsi="Avenir Next" w:cs="Avenir Next"/>
                <w:b w:val="0"/>
                <w:i w:val="0"/>
                <w:color w:val="000000"/>
                <w:sz w:val="21"/>
              </w:rPr>
              <w:t>~ 3 lines</w:t>
            </w:r>
          </w:p>
        </w:tc>
        <w:tc>
          <w:tcPr>
            <w:tcW w:type="dxa" w:w="3137"/>
          </w:tcPr>
          <w:p>
            <w:pPr>
              <w:spacing w:after="20" w:line="300" w:lineRule="auto"/>
            </w:pPr>
            <w:r>
              <w:rPr>
                <w:rFonts w:ascii="Avenir Next" w:hAnsi="Avenir Next" w:cs="Avenir Next"/>
                <w:b w:val="0"/>
                <w:i w:val="0"/>
                <w:color w:val="000000"/>
                <w:sz w:val="21"/>
              </w:rPr>
              <w:t>Minor — but removes a hedged-claim risk</w:t>
            </w:r>
          </w:p>
        </w:tc>
      </w:tr>
      <w:tr>
        <w:tc>
          <w:tcPr>
            <w:tcW w:type="dxa" w:w="3137"/>
          </w:tcPr>
          <w:p>
            <w:pPr>
              <w:spacing w:after="20" w:line="300" w:lineRule="auto"/>
            </w:pPr>
            <w:r>
              <w:rPr>
                <w:rFonts w:ascii="Avenir Next" w:hAnsi="Avenir Next" w:cs="Avenir Next"/>
                <w:b w:val="0"/>
                <w:i w:val="0"/>
                <w:color w:val="000000"/>
                <w:sz w:val="21"/>
              </w:rPr>
              <w:t>§3.2 — the closing sentence of the Three-Theory Mapping that says "FUTUREPROOF ได้บูรณาการ" is restated immediately after; cut one</w:t>
            </w:r>
          </w:p>
        </w:tc>
        <w:tc>
          <w:tcPr>
            <w:tcW w:type="dxa" w:w="3137"/>
          </w:tcPr>
          <w:p>
            <w:pPr>
              <w:spacing w:after="20" w:line="300" w:lineRule="auto"/>
            </w:pPr>
            <w:r>
              <w:rPr>
                <w:rFonts w:ascii="Avenir Next" w:hAnsi="Avenir Next" w:cs="Avenir Next"/>
                <w:b w:val="0"/>
                <w:i w:val="0"/>
                <w:color w:val="000000"/>
                <w:sz w:val="21"/>
              </w:rPr>
              <w:t>~ 2 lines</w:t>
            </w:r>
          </w:p>
        </w:tc>
        <w:tc>
          <w:tcPr>
            <w:tcW w:type="dxa" w:w="3137"/>
          </w:tcPr>
          <w:p>
            <w:pPr>
              <w:spacing w:after="20" w:line="300" w:lineRule="auto"/>
            </w:pPr>
            <w:r>
              <w:rPr>
                <w:rFonts w:ascii="Avenir Next" w:hAnsi="Avenir Next" w:cs="Avenir Next"/>
                <w:b w:val="0"/>
                <w:i w:val="0"/>
                <w:color w:val="000000"/>
                <w:sz w:val="21"/>
              </w:rPr>
              <w:t>None</w:t>
            </w:r>
          </w:p>
        </w:tc>
      </w:tr>
    </w:tbl>
    <w:p>
      <w:pPr>
        <w:spacing w:after="140" w:line="324" w:lineRule="auto"/>
      </w:pPr>
      <w:r>
        <w:rPr>
          <w:rFonts w:ascii="Avenir Next" w:hAnsi="Avenir Next" w:cs="Avenir Next"/>
          <w:b w:val="0"/>
          <w:i w:val="0"/>
          <w:color w:val="000000"/>
          <w:sz w:val="25"/>
        </w:rPr>
        <w:t>Total potential cut: ~ 19 lines, comfortably one page.</w:t>
      </w:r>
    </w:p>
    <w:p>
      <w:pPr>
        <w:spacing w:after="140" w:line="324" w:lineRule="auto"/>
      </w:pPr>
      <w:r>
        <w:rPr>
          <w:rFonts w:ascii="Avenir Next" w:hAnsi="Avenir Next" w:cs="Avenir Next"/>
          <w:b/>
          <w:i w:val="0"/>
          <w:color w:val="000000"/>
          <w:sz w:val="25"/>
        </w:rPr>
        <w:t>Alternative if pages-as-PDF-rule is interpreted strictly:</w:t>
      </w:r>
      <w:r>
        <w:rPr>
          <w:rFonts w:ascii="Avenir Next" w:hAnsi="Avenir Next" w:cs="Avenir Next"/>
          <w:b w:val="0"/>
          <w:i w:val="0"/>
          <w:color w:val="000000"/>
          <w:sz w:val="25"/>
        </w:rPr>
        <w:t xml:space="preserve"> reduce the line-spacing of the Three-Theory Mapping block from 1.05 → 1.00 just for that one block; that alone may pull the document back to 15. Less editorial work than rewriting.</w:t>
      </w:r>
    </w:p>
    <w:p>
      <w:pPr>
        <w:spacing w:before="200" w:after="60"/>
      </w:pPr>
      <w:r>
        <w:rPr>
          <w:rFonts w:ascii="Baskerville" w:hAnsi="Baskerville" w:cs="Baskerville"/>
          <w:b/>
          <w:i w:val="0"/>
          <w:color w:val="000000"/>
          <w:sz w:val="27"/>
        </w:rPr>
        <w:t>2.2 · HARD: No reference list / no in-text citations</w:t>
      </w:r>
    </w:p>
    <w:p>
      <w:pPr>
        <w:spacing w:after="140" w:line="324" w:lineRule="auto"/>
      </w:pPr>
      <w:r>
        <w:rPr>
          <w:rFonts w:ascii="Avenir Next" w:hAnsi="Avenir Next" w:cs="Avenir Next"/>
          <w:b w:val="0"/>
          <w:i w:val="0"/>
          <w:color w:val="000000"/>
          <w:sz w:val="25"/>
        </w:rPr>
        <w:t>Every paragraph in §3.1 cites a framework by author name without a year and without a reference. At the doctoral-academic level SPU judges represent (M.Ed. faculty), this is the single biggest weakness. The fix is mechanical: add an APA-7 reference list at the end of the document (which can spill onto the final signature page rather than count toward the 15-page limit if formatted as appendix), and insert minimal in-text year-references (Mishra &amp; Koehler, 2006, etc.) inline.</w:t>
      </w:r>
    </w:p>
    <w:p>
      <w:pPr>
        <w:spacing w:after="140" w:line="324" w:lineRule="auto"/>
      </w:pPr>
      <w:r>
        <w:rPr>
          <w:rFonts w:ascii="Avenir Next" w:hAnsi="Avenir Next" w:cs="Avenir Next"/>
          <w:b w:val="0"/>
          <w:i w:val="0"/>
          <w:color w:val="000000"/>
          <w:sz w:val="25"/>
        </w:rPr>
        <w:t>Full proposed bibliography in §4 below. The complete list runs to ~ 28 sources — a defensible academic-paper quantity for a 15-page innovation report.</w:t>
      </w:r>
    </w:p>
    <w:p>
      <w:pPr>
        <w:spacing w:before="200" w:after="60"/>
      </w:pPr>
      <w:r>
        <w:rPr>
          <w:rFonts w:ascii="Baskerville" w:hAnsi="Baskerville" w:cs="Baskerville"/>
          <w:b/>
          <w:i w:val="0"/>
          <w:color w:val="000000"/>
          <w:sz w:val="27"/>
        </w:rPr>
        <w:t>2.3 · SOFT: Thai language and consistency</w:t>
      </w:r>
    </w:p>
    <w:p>
      <w:pPr>
        <w:spacing w:after="140" w:line="324" w:lineRule="auto"/>
      </w:pPr>
      <w:r>
        <w:rPr>
          <w:rFonts w:ascii="Avenir Next" w:hAnsi="Avenir Next" w:cs="Avenir Next"/>
          <w:b w:val="0"/>
          <w:i w:val="0"/>
          <w:color w:val="000000"/>
          <w:sz w:val="25"/>
        </w:rPr>
        <w:t>Approximately 30 specific issues, listed in §3 below. None individually fatal; collectively they cost polish.</w:t>
      </w:r>
    </w:p>
    <w:p>
      <w:pPr>
        <w:spacing w:before="80" w:after="80"/>
        <w:pBdr>
          <w:bottom w:val="single" w:sz="4" w:space="4" w:color="C9A961"/>
        </w:pBdr>
      </w:pPr>
    </w:p>
    <w:p>
      <w:pPr>
        <w:spacing w:before="320" w:after="140"/>
        <w:pBdr>
          <w:bottom w:val="single" w:sz="6" w:space="4" w:color="C9A961"/>
        </w:pBdr>
      </w:pPr>
      <w:r>
        <w:rPr>
          <w:rFonts w:ascii="Baskerville" w:hAnsi="Baskerville" w:cs="Baskerville"/>
          <w:b w:val="0"/>
          <w:i w:val="0"/>
          <w:color w:val="9C6F1C"/>
          <w:sz w:val="33"/>
        </w:rPr>
        <w:t>3 · Thai language line-by-line scrutiny</w:t>
      </w:r>
    </w:p>
    <w:p>
      <w:pPr>
        <w:spacing w:before="160" w:after="0"/>
        <w:shd w:val="clear" w:color="auto" w:fill="F3ECDD"/>
        <w:pBdr>
          <w:left w:val="single" w:sz="22" w:space="8" w:color="C9A961"/>
        </w:pBdr>
      </w:pPr>
      <w:r>
        <w:rPr>
          <w:rFonts w:ascii="Menlo" w:hAnsi="Menlo" w:cs="Menlo"/>
          <w:b/>
          <w:i w:val="0"/>
          <w:color w:val="9C6F1C"/>
          <w:sz w:val="17"/>
          <w:spacing w:val="28"/>
        </w:rPr>
        <w:t>AUDIT NOTE</w:t>
      </w:r>
    </w:p>
    <w:p>
      <w:pPr>
        <w:spacing w:after="160" w:line="312" w:lineRule="auto"/>
        <w:shd w:val="clear" w:color="auto" w:fill="F3ECDD"/>
        <w:pBdr>
          <w:left w:val="single" w:sz="22" w:space="8" w:color="C9A961"/>
        </w:pBdr>
      </w:pPr>
      <w:r>
        <w:rPr>
          <w:rFonts w:ascii="Avenir Next" w:hAnsi="Avenir Next" w:cs="Avenir Next"/>
          <w:b w:val="0"/>
          <w:i w:val="0"/>
          <w:color w:val="000000"/>
          <w:sz w:val="23"/>
        </w:rPr>
        <w:t>Notation: 🔴 = recommend change · 🟡 = consider change · 🟢 = strong as-is</w:t>
      </w:r>
    </w:p>
    <w:p>
      <w:pPr>
        <w:spacing w:before="200" w:after="60"/>
      </w:pPr>
      <w:r>
        <w:rPr>
          <w:rFonts w:ascii="Baskerville" w:hAnsi="Baskerville" w:cs="Baskerville"/>
          <w:b/>
          <w:i w:val="0"/>
          <w:color w:val="000000"/>
          <w:sz w:val="27"/>
        </w:rPr>
        <w:t>3.1 · ส่วนที่ 3 ข้อ 1 — หลักการและเหตุผล</w:t>
      </w:r>
    </w:p>
    <w:tbl>
      <w:tblPr>
        <w:tblW w:type="auto" w:w="0"/>
        <w:jc w:val="left"/>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2353"/>
        <w:gridCol w:w="2353"/>
        <w:gridCol w:w="2353"/>
        <w:gridCol w:w="2353"/>
      </w:tblGrid>
      <w:tr>
        <w:tc>
          <w:tcPr>
            <w:tcW w:type="dxa" w:w="2353"/>
            <w:shd w:val="clear" w:color="auto" w:fill="F4F1EA"/>
          </w:tcPr>
          <w:p>
            <w:pPr>
              <w:spacing w:after="20"/>
            </w:pPr>
            <w:r>
              <w:rPr>
                <w:rFonts w:ascii="Menlo" w:hAnsi="Menlo" w:cs="Menlo"/>
                <w:b/>
                <w:i w:val="0"/>
                <w:color w:val="9C6F1C"/>
                <w:sz w:val="16"/>
                <w:spacing w:val="16"/>
              </w:rPr>
              <w:t>#</w:t>
            </w:r>
          </w:p>
        </w:tc>
        <w:tc>
          <w:tcPr>
            <w:tcW w:type="dxa" w:w="2353"/>
            <w:shd w:val="clear" w:color="auto" w:fill="F4F1EA"/>
          </w:tcPr>
          <w:p>
            <w:pPr>
              <w:spacing w:after="20"/>
            </w:pPr>
            <w:r>
              <w:rPr>
                <w:rFonts w:ascii="Menlo" w:hAnsi="Menlo" w:cs="Menlo"/>
                <w:b/>
                <w:i w:val="0"/>
                <w:color w:val="9C6F1C"/>
                <w:sz w:val="16"/>
                <w:spacing w:val="16"/>
              </w:rPr>
              <w:t>CURRENT</w:t>
            </w:r>
          </w:p>
        </w:tc>
        <w:tc>
          <w:tcPr>
            <w:tcW w:type="dxa" w:w="2353"/>
            <w:shd w:val="clear" w:color="auto" w:fill="F4F1EA"/>
          </w:tcPr>
          <w:p>
            <w:pPr>
              <w:spacing w:after="20"/>
            </w:pPr>
            <w:r>
              <w:rPr>
                <w:rFonts w:ascii="Menlo" w:hAnsi="Menlo" w:cs="Menlo"/>
                <w:b/>
                <w:i w:val="0"/>
                <w:color w:val="9C6F1C"/>
                <w:sz w:val="16"/>
                <w:spacing w:val="16"/>
              </w:rPr>
              <w:t>SUGGESTED REVISION</w:t>
            </w:r>
          </w:p>
        </w:tc>
        <w:tc>
          <w:tcPr>
            <w:tcW w:type="dxa" w:w="2353"/>
            <w:shd w:val="clear" w:color="auto" w:fill="F4F1EA"/>
          </w:tcPr>
          <w:p>
            <w:pPr>
              <w:spacing w:after="20"/>
            </w:pPr>
            <w:r>
              <w:rPr>
                <w:rFonts w:ascii="Menlo" w:hAnsi="Menlo" w:cs="Menlo"/>
                <w:b/>
                <w:i w:val="0"/>
                <w:color w:val="9C6F1C"/>
                <w:sz w:val="16"/>
                <w:spacing w:val="16"/>
              </w:rPr>
              <w:t>NOTE</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"ระบบการคัดเลือกเข้ามหาวิทยาลัยกลาง (TCAS)"</w:t>
            </w:r>
          </w:p>
        </w:tc>
        <w:tc>
          <w:tcPr>
            <w:tcW w:type="dxa" w:w="2353"/>
          </w:tcPr>
          <w:p>
            <w:pPr>
              <w:spacing w:after="20" w:line="300" w:lineRule="auto"/>
            </w:pPr>
            <w:r>
              <w:rPr>
                <w:rFonts w:ascii="Avenir Next" w:hAnsi="Avenir Next" w:cs="Avenir Next"/>
                <w:b w:val="0"/>
                <w:i w:val="0"/>
                <w:color w:val="000000"/>
                <w:sz w:val="21"/>
              </w:rPr>
              <w:t>"ระบบการคัดเลือกกลางบุคคลเข้าศึกษาในสถาบันอุดมศึกษา (Thai University Central Admission System: TCAS)"</w:t>
            </w:r>
          </w:p>
        </w:tc>
        <w:tc>
          <w:tcPr>
            <w:tcW w:type="dxa" w:w="2353"/>
          </w:tcPr>
          <w:p>
            <w:pPr>
              <w:spacing w:after="20" w:line="300" w:lineRule="auto"/>
            </w:pPr>
            <w:r>
              <w:rPr>
                <w:rFonts w:ascii="Avenir Next" w:hAnsi="Avenir Next" w:cs="Avenir Next"/>
                <w:b w:val="0"/>
                <w:i w:val="0"/>
                <w:color w:val="000000"/>
                <w:sz w:val="21"/>
              </w:rPr>
              <w:t>TCAS is the official term per ทปอ.</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"พบข้อจำกัดเชิงการสอนเชิงประจักษ์"</w:t>
            </w:r>
          </w:p>
        </w:tc>
        <w:tc>
          <w:tcPr>
            <w:tcW w:type="dxa" w:w="2353"/>
          </w:tcPr>
          <w:p>
            <w:pPr>
              <w:spacing w:after="20" w:line="300" w:lineRule="auto"/>
            </w:pPr>
            <w:r>
              <w:rPr>
                <w:rFonts w:ascii="Avenir Next" w:hAnsi="Avenir Next" w:cs="Avenir Next"/>
                <w:b w:val="0"/>
                <w:i w:val="0"/>
                <w:color w:val="000000"/>
                <w:sz w:val="21"/>
              </w:rPr>
              <w:t>"พบข้อจำกัดเชิงประจักษ์ในการจัดการเรียนการสอน"</w:t>
            </w:r>
          </w:p>
        </w:tc>
        <w:tc>
          <w:tcPr>
            <w:tcW w:type="dxa" w:w="2353"/>
          </w:tcPr>
          <w:p>
            <w:pPr>
              <w:spacing w:after="20" w:line="300" w:lineRule="auto"/>
            </w:pPr>
            <w:r>
              <w:rPr>
                <w:rFonts w:ascii="Avenir Next" w:hAnsi="Avenir Next" w:cs="Avenir Next"/>
                <w:b w:val="0"/>
                <w:i w:val="0"/>
                <w:color w:val="000000"/>
                <w:sz w:val="21"/>
              </w:rPr>
              <w:t>"เชิง…เชิง" repetition</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"การฝึกฝนเชิงรายบุคคล"</w:t>
            </w:r>
          </w:p>
        </w:tc>
        <w:tc>
          <w:tcPr>
            <w:tcW w:type="dxa" w:w="2353"/>
          </w:tcPr>
          <w:p>
            <w:pPr>
              <w:spacing w:after="20" w:line="300" w:lineRule="auto"/>
            </w:pPr>
            <w:r>
              <w:rPr>
                <w:rFonts w:ascii="Avenir Next" w:hAnsi="Avenir Next" w:cs="Avenir Next"/>
                <w:b w:val="0"/>
                <w:i w:val="0"/>
                <w:color w:val="000000"/>
                <w:sz w:val="21"/>
              </w:rPr>
              <w:t>"การฝึกฝนเชิงปัจเจกบุคคล" หรือ "การฝึกฝนรายบุคคล"</w:t>
            </w:r>
          </w:p>
        </w:tc>
        <w:tc>
          <w:tcPr>
            <w:tcW w:type="dxa" w:w="2353"/>
          </w:tcPr>
          <w:p>
            <w:pPr>
              <w:spacing w:after="20" w:line="300" w:lineRule="auto"/>
            </w:pPr>
            <w:r>
              <w:rPr>
                <w:rFonts w:ascii="Avenir Next" w:hAnsi="Avenir Next" w:cs="Avenir Next"/>
                <w:b w:val="0"/>
                <w:i w:val="0"/>
                <w:color w:val="000000"/>
                <w:sz w:val="21"/>
              </w:rPr>
              <w:t>Academic register preference</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"อัตราส่วนผู้สอน-ผู้เรียน"</w:t>
            </w:r>
          </w:p>
        </w:tc>
        <w:tc>
          <w:tcPr>
            <w:tcW w:type="dxa" w:w="2353"/>
          </w:tcPr>
          <w:p>
            <w:pPr>
              <w:spacing w:after="20" w:line="300" w:lineRule="auto"/>
            </w:pPr>
            <w:r>
              <w:rPr>
                <w:rFonts w:ascii="Avenir Next" w:hAnsi="Avenir Next" w:cs="Avenir Next"/>
                <w:b w:val="0"/>
                <w:i w:val="0"/>
                <w:color w:val="000000"/>
                <w:sz w:val="21"/>
              </w:rPr>
              <w:t>"อัตราส่วนระหว่างผู้สอนต่อผู้เรียน"</w:t>
            </w:r>
          </w:p>
        </w:tc>
        <w:tc>
          <w:tcPr>
            <w:tcW w:type="dxa" w:w="2353"/>
          </w:tcPr>
          <w:p>
            <w:pPr>
              <w:spacing w:after="20" w:line="300" w:lineRule="auto"/>
            </w:pPr>
            <w:r>
              <w:rPr>
                <w:rFonts w:ascii="Avenir Next" w:hAnsi="Avenir Next" w:cs="Avenir Next"/>
                <w:b w:val="0"/>
                <w:i w:val="0"/>
                <w:color w:val="000000"/>
                <w:sz w:val="21"/>
              </w:rPr>
              <w:t>More formal</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"(1) กรอบ AI-TPACK (AI Technological Pedagogical Content Knowledge)"</w:t>
            </w:r>
          </w:p>
        </w:tc>
        <w:tc>
          <w:tcPr>
            <w:tcW w:type="dxa" w:w="2353"/>
          </w:tcPr>
          <w:p>
            <w:pPr>
              <w:spacing w:after="20" w:line="300" w:lineRule="auto"/>
            </w:pPr>
            <w:r>
              <w:rPr>
                <w:rFonts w:ascii="Avenir Next" w:hAnsi="Avenir Next" w:cs="Avenir Next"/>
                <w:b w:val="0"/>
                <w:i w:val="0"/>
                <w:color w:val="000000"/>
                <w:sz w:val="21"/>
              </w:rPr>
              <w:t>"(๑) กรอบ AI-TPACK (Artificial Intelligence-extended Technological, Pedagogical, and Content Knowledge; ดู Mishra &amp; Koehler, 2006; Mishra, Warr, &amp; Islam, 2023)"</w:t>
            </w:r>
          </w:p>
        </w:tc>
        <w:tc>
          <w:tcPr>
            <w:tcW w:type="dxa" w:w="2353"/>
          </w:tcPr>
          <w:p>
            <w:pPr>
              <w:spacing w:after="20" w:line="300" w:lineRule="auto"/>
            </w:pPr>
            <w:r>
              <w:rPr>
                <w:rFonts w:ascii="Avenir Next" w:hAnsi="Avenir Next" w:cs="Avenir Next"/>
                <w:b w:val="0"/>
                <w:i w:val="0"/>
                <w:color w:val="000000"/>
                <w:sz w:val="21"/>
              </w:rPr>
              <w:t>Add citation; correct expansion</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"(2) มาตรเมตริกซ์ PICRAT"</w:t>
            </w:r>
          </w:p>
        </w:tc>
        <w:tc>
          <w:tcPr>
            <w:tcW w:type="dxa" w:w="2353"/>
          </w:tcPr>
          <w:p>
            <w:pPr>
              <w:spacing w:after="20" w:line="300" w:lineRule="auto"/>
            </w:pPr>
            <w:r>
              <w:rPr>
                <w:rFonts w:ascii="Avenir Next" w:hAnsi="Avenir Next" w:cs="Avenir Next"/>
                <w:b w:val="0"/>
                <w:i w:val="0"/>
                <w:color w:val="000000"/>
                <w:sz w:val="21"/>
              </w:rPr>
              <w:t>"(๒) เมตริกซ์ PICRAT (Kimmons, Graham, &amp; West, 2020)"</w:t>
            </w:r>
          </w:p>
        </w:tc>
        <w:tc>
          <w:tcPr>
            <w:tcW w:type="dxa" w:w="2353"/>
          </w:tcPr>
          <w:p>
            <w:pPr>
              <w:spacing w:after="20" w:line="300" w:lineRule="auto"/>
            </w:pPr>
            <w:r>
              <w:rPr>
                <w:rFonts w:ascii="Avenir Next" w:hAnsi="Avenir Next" w:cs="Avenir Next"/>
                <w:b w:val="0"/>
                <w:i w:val="0"/>
                <w:color w:val="000000"/>
                <w:sz w:val="21"/>
              </w:rPr>
              <w:t>"มาตรเมตริกซ์" is non-standard; "เมตริกซ์" alone is correct</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"(3) อนุกรมวิธาน (ดิจิทัล) ของบลูม (Bloom's Revised (Digital) Taxonomy)"</w:t>
            </w:r>
          </w:p>
        </w:tc>
        <w:tc>
          <w:tcPr>
            <w:tcW w:type="dxa" w:w="2353"/>
          </w:tcPr>
          <w:p>
            <w:pPr>
              <w:spacing w:after="20" w:line="300" w:lineRule="auto"/>
            </w:pPr>
            <w:r>
              <w:rPr>
                <w:rFonts w:ascii="Avenir Next" w:hAnsi="Avenir Next" w:cs="Avenir Next"/>
                <w:b w:val="0"/>
                <w:i w:val="0"/>
                <w:color w:val="000000"/>
                <w:sz w:val="21"/>
              </w:rPr>
              <w:t>"(๓) อนุกรมวิธานการเรียนรู้ฉบับปรับปรุงของบลูมเชิงดิจิทัล (Bloom's Revised Digital Taxonomy; Anderson &amp; Krathwohl, 2001; Churches, 2008)"</w:t>
            </w:r>
          </w:p>
        </w:tc>
        <w:tc>
          <w:tcPr>
            <w:tcW w:type="dxa" w:w="2353"/>
          </w:tcPr>
          <w:p>
            <w:pPr>
              <w:spacing w:after="20" w:line="300" w:lineRule="auto"/>
            </w:pPr>
            <w:r>
              <w:rPr>
                <w:rFonts w:ascii="Avenir Next" w:hAnsi="Avenir Next" w:cs="Avenir Next"/>
                <w:b w:val="0"/>
                <w:i w:val="0"/>
                <w:color w:val="000000"/>
                <w:sz w:val="21"/>
              </w:rPr>
              <w:t>Nested parens are hard to read; add citations</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"(4) หลัก Universal Design for Learning Guidelines 3.0 (UDL by CAST)"</w:t>
            </w:r>
          </w:p>
        </w:tc>
        <w:tc>
          <w:tcPr>
            <w:tcW w:type="dxa" w:w="2353"/>
          </w:tcPr>
          <w:p>
            <w:pPr>
              <w:spacing w:after="20" w:line="300" w:lineRule="auto"/>
            </w:pPr>
            <w:r>
              <w:rPr>
                <w:rFonts w:ascii="Avenir Next" w:hAnsi="Avenir Next" w:cs="Avenir Next"/>
                <w:b w:val="0"/>
                <w:i w:val="0"/>
                <w:color w:val="000000"/>
                <w:sz w:val="21"/>
              </w:rPr>
              <w:t>"(๔) หลักการออกแบบการเรียนรู้ที่เป็นสากล (Universal Design for Learning Guidelines 3.0; CAST, 2024)"</w:t>
            </w:r>
          </w:p>
        </w:tc>
        <w:tc>
          <w:tcPr>
            <w:tcW w:type="dxa" w:w="2353"/>
          </w:tcPr>
          <w:p>
            <w:pPr>
              <w:spacing w:after="20" w:line="300" w:lineRule="auto"/>
            </w:pPr>
            <w:r>
              <w:rPr>
                <w:rFonts w:ascii="Avenir Next" w:hAnsi="Avenir Next" w:cs="Avenir Next"/>
                <w:b w:val="0"/>
                <w:i w:val="0"/>
                <w:color w:val="000000"/>
                <w:sz w:val="21"/>
              </w:rPr>
              <w:t>Proper Thai gloss + citation</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"(5) สมมติฐาน Input Hypothesis (i+1) ของ Krashen"</w:t>
            </w:r>
          </w:p>
        </w:tc>
        <w:tc>
          <w:tcPr>
            <w:tcW w:type="dxa" w:w="2353"/>
          </w:tcPr>
          <w:p>
            <w:pPr>
              <w:spacing w:after="20" w:line="300" w:lineRule="auto"/>
            </w:pPr>
            <w:r>
              <w:rPr>
                <w:rFonts w:ascii="Avenir Next" w:hAnsi="Avenir Next" w:cs="Avenir Next"/>
                <w:b w:val="0"/>
                <w:i w:val="0"/>
                <w:color w:val="000000"/>
                <w:sz w:val="21"/>
              </w:rPr>
              <w:t>"(๕) สมมติฐานปัจจัยป้อนเข้า (Input Hypothesis, i+1) ของ Krashen (1985)"</w:t>
            </w:r>
          </w:p>
        </w:tc>
        <w:tc>
          <w:tcPr>
            <w:tcW w:type="dxa" w:w="2353"/>
          </w:tcPr>
          <w:p>
            <w:pPr>
              <w:spacing w:after="20" w:line="300" w:lineRule="auto"/>
            </w:pPr>
            <w:r>
              <w:rPr>
                <w:rFonts w:ascii="Avenir Next" w:hAnsi="Avenir Next" w:cs="Avenir Next"/>
                <w:b w:val="0"/>
                <w:i w:val="0"/>
                <w:color w:val="000000"/>
                <w:sz w:val="21"/>
              </w:rPr>
              <w:t>Thai gloss + year</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"(6) Situated Cognition ของ Lave &amp; Wenger"</w:t>
            </w:r>
          </w:p>
        </w:tc>
        <w:tc>
          <w:tcPr>
            <w:tcW w:type="dxa" w:w="2353"/>
          </w:tcPr>
          <w:p>
            <w:pPr>
              <w:spacing w:after="20" w:line="300" w:lineRule="auto"/>
            </w:pPr>
            <w:r>
              <w:rPr>
                <w:rFonts w:ascii="Avenir Next" w:hAnsi="Avenir Next" w:cs="Avenir Next"/>
                <w:b w:val="0"/>
                <w:i w:val="0"/>
                <w:color w:val="000000"/>
                <w:sz w:val="21"/>
              </w:rPr>
              <w:t>"(๖) แนวคิดการรู้คิดในบริบท (Situated Cognition; Lave &amp; Wenger, 1991)"</w:t>
            </w:r>
          </w:p>
        </w:tc>
        <w:tc>
          <w:tcPr>
            <w:tcW w:type="dxa" w:w="2353"/>
          </w:tcPr>
          <w:p>
            <w:pPr>
              <w:spacing w:after="20" w:line="300" w:lineRule="auto"/>
            </w:pPr>
            <w:r>
              <w:rPr>
                <w:rFonts w:ascii="Avenir Next" w:hAnsi="Avenir Next" w:cs="Avenir Next"/>
                <w:b w:val="0"/>
                <w:i w:val="0"/>
                <w:color w:val="000000"/>
                <w:sz w:val="21"/>
              </w:rPr>
              <w:t>Thai gloss + citation</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"(7) Visible Learning ของ John Hattie"</w:t>
            </w:r>
          </w:p>
        </w:tc>
        <w:tc>
          <w:tcPr>
            <w:tcW w:type="dxa" w:w="2353"/>
          </w:tcPr>
          <w:p>
            <w:pPr>
              <w:spacing w:after="20" w:line="300" w:lineRule="auto"/>
            </w:pPr>
            <w:r>
              <w:rPr>
                <w:rFonts w:ascii="Avenir Next" w:hAnsi="Avenir Next" w:cs="Avenir Next"/>
                <w:b w:val="0"/>
                <w:i w:val="0"/>
                <w:color w:val="000000"/>
                <w:sz w:val="21"/>
              </w:rPr>
              <w:t>"(๗) แนวคิดการเรียนรู้ที่มองเห็นได้ (Visible Learning; Hattie, 2009)"</w:t>
            </w:r>
          </w:p>
        </w:tc>
        <w:tc>
          <w:tcPr>
            <w:tcW w:type="dxa" w:w="2353"/>
          </w:tcPr>
          <w:p>
            <w:pPr>
              <w:spacing w:after="20" w:line="300" w:lineRule="auto"/>
            </w:pPr>
            <w:r>
              <w:rPr>
                <w:rFonts w:ascii="Avenir Next" w:hAnsi="Avenir Next" w:cs="Avenir Next"/>
                <w:b w:val="0"/>
                <w:i w:val="0"/>
                <w:color w:val="000000"/>
                <w:sz w:val="21"/>
              </w:rPr>
              <w:t>Thai gloss + citation</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"(8) Cognitive Theory of Multimedia Learning (Mayer)"</w:t>
            </w:r>
          </w:p>
        </w:tc>
        <w:tc>
          <w:tcPr>
            <w:tcW w:type="dxa" w:w="2353"/>
          </w:tcPr>
          <w:p>
            <w:pPr>
              <w:spacing w:after="20" w:line="300" w:lineRule="auto"/>
            </w:pPr>
            <w:r>
              <w:rPr>
                <w:rFonts w:ascii="Avenir Next" w:hAnsi="Avenir Next" w:cs="Avenir Next"/>
                <w:b w:val="0"/>
                <w:i w:val="0"/>
                <w:color w:val="000000"/>
                <w:sz w:val="21"/>
              </w:rPr>
              <w:t>"(๘) ทฤษฎีการเรียนรู้พหุสื่อเชิงปัญญา (Cognitive Theory of Multimedia Learning, CTML; Mayer, 2009)"</w:t>
            </w:r>
          </w:p>
        </w:tc>
        <w:tc>
          <w:tcPr>
            <w:tcW w:type="dxa" w:w="2353"/>
          </w:tcPr>
          <w:p>
            <w:pPr>
              <w:spacing w:after="20" w:line="300" w:lineRule="auto"/>
            </w:pPr>
            <w:r>
              <w:rPr>
                <w:rFonts w:ascii="Avenir Next" w:hAnsi="Avenir Next" w:cs="Avenir Next"/>
                <w:b w:val="0"/>
                <w:i w:val="0"/>
                <w:color w:val="000000"/>
                <w:sz w:val="21"/>
              </w:rPr>
              <w:t>Thai gloss + citation</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"(9) Constructivism (Piaget, Bruner)"</w:t>
            </w:r>
          </w:p>
        </w:tc>
        <w:tc>
          <w:tcPr>
            <w:tcW w:type="dxa" w:w="2353"/>
          </w:tcPr>
          <w:p>
            <w:pPr>
              <w:spacing w:after="20" w:line="300" w:lineRule="auto"/>
            </w:pPr>
            <w:r>
              <w:rPr>
                <w:rFonts w:ascii="Avenir Next" w:hAnsi="Avenir Next" w:cs="Avenir Next"/>
                <w:b w:val="0"/>
                <w:i w:val="0"/>
                <w:color w:val="000000"/>
                <w:sz w:val="21"/>
              </w:rPr>
              <w:t>"(๙) แนวคิดการสร้างความรู้ (Constructivism; Piaget, 1970; Bruner, 1960)"</w:t>
            </w:r>
          </w:p>
        </w:tc>
        <w:tc>
          <w:tcPr>
            <w:tcW w:type="dxa" w:w="2353"/>
          </w:tcPr>
          <w:p>
            <w:pPr>
              <w:spacing w:after="20" w:line="300" w:lineRule="auto"/>
            </w:pPr>
            <w:r>
              <w:rPr>
                <w:rFonts w:ascii="Avenir Next" w:hAnsi="Avenir Next" w:cs="Avenir Next"/>
                <w:b w:val="0"/>
                <w:i w:val="0"/>
                <w:color w:val="000000"/>
                <w:sz w:val="21"/>
              </w:rPr>
              <w:t>Thai gloss + citations</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"(10) UNESCO Education for Sustainable Development (ESD)"</w:t>
            </w:r>
          </w:p>
        </w:tc>
        <w:tc>
          <w:tcPr>
            <w:tcW w:type="dxa" w:w="2353"/>
          </w:tcPr>
          <w:p>
            <w:pPr>
              <w:spacing w:after="20" w:line="300" w:lineRule="auto"/>
            </w:pPr>
            <w:r>
              <w:rPr>
                <w:rFonts w:ascii="Avenir Next" w:hAnsi="Avenir Next" w:cs="Avenir Next"/>
                <w:b w:val="0"/>
                <w:i w:val="0"/>
                <w:color w:val="000000"/>
                <w:sz w:val="21"/>
              </w:rPr>
              <w:t>"(๑๐) การศึกษาเพื่อการพัฒนาที่ยั่งยืน (Education for Sustainable Development, ESD; UNESCO, 2020)"</w:t>
            </w:r>
          </w:p>
        </w:tc>
        <w:tc>
          <w:tcPr>
            <w:tcW w:type="dxa" w:w="2353"/>
          </w:tcPr>
          <w:p>
            <w:pPr>
              <w:spacing w:after="20" w:line="300" w:lineRule="auto"/>
            </w:pPr>
            <w:r>
              <w:rPr>
                <w:rFonts w:ascii="Avenir Next" w:hAnsi="Avenir Next" w:cs="Avenir Next"/>
                <w:b w:val="0"/>
                <w:i w:val="0"/>
                <w:color w:val="000000"/>
                <w:sz w:val="21"/>
              </w:rPr>
              <w:t>Thai gloss + citation</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Final paragraph runs into item (10) — no break</w:t>
            </w:r>
          </w:p>
        </w:tc>
        <w:tc>
          <w:tcPr>
            <w:tcW w:type="dxa" w:w="2353"/>
          </w:tcPr>
          <w:p>
            <w:pPr>
              <w:spacing w:after="20" w:line="300" w:lineRule="auto"/>
            </w:pPr>
            <w:r>
              <w:rPr>
                <w:rFonts w:ascii="Avenir Next" w:hAnsi="Avenir Next" w:cs="Avenir Next"/>
                <w:b w:val="0"/>
                <w:i w:val="0"/>
                <w:color w:val="000000"/>
                <w:sz w:val="21"/>
              </w:rPr>
              <w:t>Insert paragraph break before "การออกแบบที่ตั้งบนทฤษฎี…"</w:t>
            </w:r>
          </w:p>
        </w:tc>
        <w:tc>
          <w:tcPr>
            <w:tcW w:type="dxa" w:w="2353"/>
          </w:tcPr>
          <w:p>
            <w:pPr>
              <w:spacing w:after="20" w:line="300" w:lineRule="auto"/>
            </w:pPr>
            <w:r>
              <w:rPr>
                <w:rFonts w:ascii="Avenir Next" w:hAnsi="Avenir Next" w:cs="Avenir Next"/>
                <w:b w:val="0"/>
                <w:i w:val="0"/>
                <w:color w:val="000000"/>
                <w:sz w:val="21"/>
              </w:rPr>
              <w:t>Currently reads as one merged paragraph</w:t>
            </w:r>
          </w:p>
        </w:tc>
      </w:tr>
    </w:tbl>
    <w:p>
      <w:pPr>
        <w:spacing w:before="200" w:after="60"/>
      </w:pPr>
      <w:r>
        <w:rPr>
          <w:rFonts w:ascii="Baskerville" w:hAnsi="Baskerville" w:cs="Baskerville"/>
          <w:b/>
          <w:i w:val="0"/>
          <w:color w:val="000000"/>
          <w:sz w:val="27"/>
        </w:rPr>
        <w:t>3.2 · ส่วนที่ 3 ข้อ 2 — วัตถุประสงค์</w:t>
      </w:r>
    </w:p>
    <w:tbl>
      <w:tblPr>
        <w:tblW w:type="auto" w:w="0"/>
        <w:jc w:val="left"/>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2353"/>
        <w:gridCol w:w="2353"/>
        <w:gridCol w:w="2353"/>
        <w:gridCol w:w="2353"/>
      </w:tblGrid>
      <w:tr>
        <w:tc>
          <w:tcPr>
            <w:tcW w:type="dxa" w:w="2353"/>
            <w:shd w:val="clear" w:color="auto" w:fill="F4F1EA"/>
          </w:tcPr>
          <w:p>
            <w:pPr>
              <w:spacing w:after="20"/>
            </w:pPr>
            <w:r>
              <w:rPr>
                <w:rFonts w:ascii="Menlo" w:hAnsi="Menlo" w:cs="Menlo"/>
                <w:b/>
                <w:i w:val="0"/>
                <w:color w:val="9C6F1C"/>
                <w:sz w:val="16"/>
                <w:spacing w:val="16"/>
              </w:rPr>
              <w:t>#</w:t>
            </w:r>
          </w:p>
        </w:tc>
        <w:tc>
          <w:tcPr>
            <w:tcW w:type="dxa" w:w="2353"/>
            <w:shd w:val="clear" w:color="auto" w:fill="F4F1EA"/>
          </w:tcPr>
          <w:p>
            <w:pPr>
              <w:spacing w:after="20"/>
            </w:pPr>
            <w:r>
              <w:rPr>
                <w:rFonts w:ascii="Menlo" w:hAnsi="Menlo" w:cs="Menlo"/>
                <w:b/>
                <w:i w:val="0"/>
                <w:color w:val="9C6F1C"/>
                <w:sz w:val="16"/>
                <w:spacing w:val="16"/>
              </w:rPr>
              <w:t>CURRENT</w:t>
            </w:r>
          </w:p>
        </w:tc>
        <w:tc>
          <w:tcPr>
            <w:tcW w:type="dxa" w:w="2353"/>
            <w:shd w:val="clear" w:color="auto" w:fill="F4F1EA"/>
          </w:tcPr>
          <w:p>
            <w:pPr>
              <w:spacing w:after="20"/>
            </w:pPr>
            <w:r>
              <w:rPr>
                <w:rFonts w:ascii="Menlo" w:hAnsi="Menlo" w:cs="Menlo"/>
                <w:b/>
                <w:i w:val="0"/>
                <w:color w:val="9C6F1C"/>
                <w:sz w:val="16"/>
                <w:spacing w:val="16"/>
              </w:rPr>
              <w:t>SUGGESTED REVISION</w:t>
            </w:r>
          </w:p>
        </w:tc>
        <w:tc>
          <w:tcPr>
            <w:tcW w:type="dxa" w:w="2353"/>
            <w:shd w:val="clear" w:color="auto" w:fill="F4F1EA"/>
          </w:tcPr>
          <w:p>
            <w:pPr>
              <w:spacing w:after="20"/>
            </w:pPr>
            <w:r>
              <w:rPr>
                <w:rFonts w:ascii="Menlo" w:hAnsi="Menlo" w:cs="Menlo"/>
                <w:b/>
                <w:i w:val="0"/>
                <w:color w:val="9C6F1C"/>
                <w:sz w:val="16"/>
                <w:spacing w:val="16"/>
              </w:rPr>
              <w:t>NOTE</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"(5) ฝึกฝนทักษะการกล่าวข้อเสนอเชิงนโยบาย"</w:t>
            </w:r>
          </w:p>
        </w:tc>
        <w:tc>
          <w:tcPr>
            <w:tcW w:type="dxa" w:w="2353"/>
          </w:tcPr>
          <w:p>
            <w:pPr>
              <w:spacing w:after="20" w:line="300" w:lineRule="auto"/>
            </w:pPr>
            <w:r>
              <w:rPr>
                <w:rFonts w:ascii="Avenir Next" w:hAnsi="Avenir Next" w:cs="Avenir Next"/>
                <w:b w:val="0"/>
                <w:i w:val="0"/>
                <w:color w:val="000000"/>
                <w:sz w:val="21"/>
              </w:rPr>
              <w:t>"(๕) ฝึกฝนทักษะการนำเสนอข้อเสนอเชิงนโยบาย"</w:t>
            </w:r>
          </w:p>
        </w:tc>
        <w:tc>
          <w:tcPr>
            <w:tcW w:type="dxa" w:w="2353"/>
          </w:tcPr>
          <w:p>
            <w:pPr>
              <w:spacing w:after="20" w:line="300" w:lineRule="auto"/>
            </w:pPr>
            <w:r>
              <w:rPr>
                <w:rFonts w:ascii="Avenir Next" w:hAnsi="Avenir Next" w:cs="Avenir Next"/>
                <w:b w:val="0"/>
                <w:i w:val="0"/>
                <w:color w:val="000000"/>
                <w:sz w:val="21"/>
              </w:rPr>
              <w:t>"กล่าวข้อเสนอ" is awkward</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 (11)" (leading space)</w:t>
            </w:r>
          </w:p>
        </w:tc>
        <w:tc>
          <w:tcPr>
            <w:tcW w:type="dxa" w:w="2353"/>
          </w:tcPr>
          <w:p>
            <w:pPr>
              <w:spacing w:after="20" w:line="300" w:lineRule="auto"/>
            </w:pPr>
            <w:r>
              <w:rPr>
                <w:rFonts w:ascii="Avenir Next" w:hAnsi="Avenir Next" w:cs="Avenir Next"/>
                <w:b w:val="0"/>
                <w:i w:val="0"/>
                <w:color w:val="000000"/>
                <w:sz w:val="21"/>
              </w:rPr>
              <w:t>"(๑๑)"</w:t>
            </w:r>
          </w:p>
        </w:tc>
        <w:tc>
          <w:tcPr>
            <w:tcW w:type="dxa" w:w="2353"/>
          </w:tcPr>
          <w:p>
            <w:pPr>
              <w:spacing w:after="20" w:line="300" w:lineRule="auto"/>
            </w:pPr>
            <w:r>
              <w:rPr>
                <w:rFonts w:ascii="Avenir Next" w:hAnsi="Avenir Next" w:cs="Avenir Next"/>
                <w:b w:val="0"/>
                <w:i w:val="0"/>
                <w:color w:val="000000"/>
                <w:sz w:val="21"/>
              </w:rPr>
              <w:t>Formatting / numeral consistency</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"ชุมชน แห่งการปฏิบัติ"</w:t>
            </w:r>
          </w:p>
        </w:tc>
        <w:tc>
          <w:tcPr>
            <w:tcW w:type="dxa" w:w="2353"/>
          </w:tcPr>
          <w:p>
            <w:pPr>
              <w:spacing w:after="20" w:line="300" w:lineRule="auto"/>
            </w:pPr>
            <w:r>
              <w:rPr>
                <w:rFonts w:ascii="Avenir Next" w:hAnsi="Avenir Next" w:cs="Avenir Next"/>
                <w:b w:val="0"/>
                <w:i w:val="0"/>
                <w:color w:val="000000"/>
                <w:sz w:val="21"/>
              </w:rPr>
              <w:t>"ชุมชนแห่งการปฏิบัติ (community of practice; Wenger, 1998)"</w:t>
            </w:r>
          </w:p>
        </w:tc>
        <w:tc>
          <w:tcPr>
            <w:tcW w:type="dxa" w:w="2353"/>
          </w:tcPr>
          <w:p>
            <w:pPr>
              <w:spacing w:after="20" w:line="300" w:lineRule="auto"/>
            </w:pPr>
            <w:r>
              <w:rPr>
                <w:rFonts w:ascii="Avenir Next" w:hAnsi="Avenir Next" w:cs="Avenir Next"/>
                <w:b w:val="0"/>
                <w:i w:val="0"/>
                <w:color w:val="000000"/>
                <w:sz w:val="21"/>
              </w:rPr>
              <w:t>Remove space; add citation</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"การเรียนรู้เชิงสังคม"</w:t>
            </w:r>
          </w:p>
        </w:tc>
        <w:tc>
          <w:tcPr>
            <w:tcW w:type="dxa" w:w="2353"/>
          </w:tcPr>
          <w:p>
            <w:pPr>
              <w:spacing w:after="20" w:line="300" w:lineRule="auto"/>
            </w:pPr>
            <w:r>
              <w:rPr>
                <w:rFonts w:ascii="Avenir Next" w:hAnsi="Avenir Next" w:cs="Avenir Next"/>
                <w:b w:val="0"/>
                <w:i w:val="0"/>
                <w:color w:val="000000"/>
                <w:sz w:val="21"/>
              </w:rPr>
              <w:t>"การเรียนรู้เชิงสังคม (social learning)"</w:t>
            </w:r>
          </w:p>
        </w:tc>
        <w:tc>
          <w:tcPr>
            <w:tcW w:type="dxa" w:w="2353"/>
          </w:tcPr>
          <w:p>
            <w:pPr>
              <w:spacing w:after="20" w:line="300" w:lineRule="auto"/>
            </w:pPr>
            <w:r>
              <w:rPr>
                <w:rFonts w:ascii="Avenir Next" w:hAnsi="Avenir Next" w:cs="Avenir Next"/>
                <w:b w:val="0"/>
                <w:i w:val="0"/>
                <w:color w:val="000000"/>
                <w:sz w:val="21"/>
              </w:rPr>
              <w:t>Inconsistent — sometimes glossed, sometimes not</w:t>
            </w:r>
          </w:p>
        </w:tc>
      </w:tr>
    </w:tbl>
    <w:p>
      <w:pPr>
        <w:spacing w:before="200" w:after="60"/>
      </w:pPr>
      <w:r>
        <w:rPr>
          <w:rFonts w:ascii="Baskerville" w:hAnsi="Baskerville" w:cs="Baskerville"/>
          <w:b/>
          <w:i w:val="0"/>
          <w:color w:val="000000"/>
          <w:sz w:val="27"/>
        </w:rPr>
        <w:t>3.2 · Three Learning Theories Mapping</w:t>
      </w:r>
    </w:p>
    <w:tbl>
      <w:tblPr>
        <w:tblW w:type="auto" w:w="0"/>
        <w:jc w:val="left"/>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2353"/>
        <w:gridCol w:w="2353"/>
        <w:gridCol w:w="2353"/>
        <w:gridCol w:w="2353"/>
      </w:tblGrid>
      <w:tr>
        <w:tc>
          <w:tcPr>
            <w:tcW w:type="dxa" w:w="2353"/>
            <w:shd w:val="clear" w:color="auto" w:fill="F4F1EA"/>
          </w:tcPr>
          <w:p>
            <w:pPr>
              <w:spacing w:after="20"/>
            </w:pPr>
            <w:r>
              <w:rPr>
                <w:rFonts w:ascii="Menlo" w:hAnsi="Menlo" w:cs="Menlo"/>
                <w:b/>
                <w:i w:val="0"/>
                <w:color w:val="9C6F1C"/>
                <w:sz w:val="16"/>
                <w:spacing w:val="16"/>
              </w:rPr>
              <w:t>#</w:t>
            </w:r>
          </w:p>
        </w:tc>
        <w:tc>
          <w:tcPr>
            <w:tcW w:type="dxa" w:w="2353"/>
            <w:shd w:val="clear" w:color="auto" w:fill="F4F1EA"/>
          </w:tcPr>
          <w:p>
            <w:pPr>
              <w:spacing w:after="20"/>
            </w:pPr>
            <w:r>
              <w:rPr>
                <w:rFonts w:ascii="Menlo" w:hAnsi="Menlo" w:cs="Menlo"/>
                <w:b/>
                <w:i w:val="0"/>
                <w:color w:val="9C6F1C"/>
                <w:sz w:val="16"/>
                <w:spacing w:val="16"/>
              </w:rPr>
              <w:t>CURRENT</w:t>
            </w:r>
          </w:p>
        </w:tc>
        <w:tc>
          <w:tcPr>
            <w:tcW w:type="dxa" w:w="2353"/>
            <w:shd w:val="clear" w:color="auto" w:fill="F4F1EA"/>
          </w:tcPr>
          <w:p>
            <w:pPr>
              <w:spacing w:after="20"/>
            </w:pPr>
            <w:r>
              <w:rPr>
                <w:rFonts w:ascii="Menlo" w:hAnsi="Menlo" w:cs="Menlo"/>
                <w:b/>
                <w:i w:val="0"/>
                <w:color w:val="9C6F1C"/>
                <w:sz w:val="16"/>
                <w:spacing w:val="16"/>
              </w:rPr>
              <w:t>SUGGESTED REVISION</w:t>
            </w:r>
          </w:p>
        </w:tc>
        <w:tc>
          <w:tcPr>
            <w:tcW w:type="dxa" w:w="2353"/>
            <w:shd w:val="clear" w:color="auto" w:fill="F4F1EA"/>
          </w:tcPr>
          <w:p>
            <w:pPr>
              <w:spacing w:after="20"/>
            </w:pPr>
            <w:r>
              <w:rPr>
                <w:rFonts w:ascii="Menlo" w:hAnsi="Menlo" w:cs="Menlo"/>
                <w:b/>
                <w:i w:val="0"/>
                <w:color w:val="9C6F1C"/>
                <w:sz w:val="16"/>
                <w:spacing w:val="16"/>
              </w:rPr>
              <w:t>NOTE</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"operant conditioning" without Thai gloss</w:t>
            </w:r>
          </w:p>
        </w:tc>
        <w:tc>
          <w:tcPr>
            <w:tcW w:type="dxa" w:w="2353"/>
          </w:tcPr>
          <w:p>
            <w:pPr>
              <w:spacing w:after="20" w:line="300" w:lineRule="auto"/>
            </w:pPr>
            <w:r>
              <w:rPr>
                <w:rFonts w:ascii="Avenir Next" w:hAnsi="Avenir Next" w:cs="Avenir Next"/>
                <w:b w:val="0"/>
                <w:i w:val="0"/>
                <w:color w:val="000000"/>
                <w:sz w:val="21"/>
              </w:rPr>
              <w:t>"การวางเงื่อนไขแบบปฏิบัติการ (operant conditioning)"</w:t>
            </w:r>
          </w:p>
        </w:tc>
        <w:tc>
          <w:tcPr>
            <w:tcW w:type="dxa" w:w="2353"/>
          </w:tcPr>
          <w:p>
            <w:pPr>
              <w:spacing w:after="20" w:line="300" w:lineRule="auto"/>
            </w:pPr>
            <w:r>
              <w:rPr>
                <w:rFonts w:ascii="Avenir Next" w:hAnsi="Avenir Next" w:cs="Avenir Next"/>
                <w:b w:val="0"/>
                <w:i w:val="0"/>
                <w:color w:val="000000"/>
                <w:sz w:val="21"/>
              </w:rPr>
              <w:t>First mention must gloss</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"(+5 ถึง +25 tokens) … (−5 ถึง −10 tokens)"</w:t>
            </w:r>
          </w:p>
        </w:tc>
        <w:tc>
          <w:tcPr>
            <w:tcW w:type="dxa" w:w="2353"/>
          </w:tcPr>
          <w:p>
            <w:pPr>
              <w:spacing w:after="20" w:line="300" w:lineRule="auto"/>
            </w:pPr>
            <w:r>
              <w:rPr>
                <w:rFonts w:ascii="Avenir Next" w:hAnsi="Avenir Next" w:cs="Avenir Next"/>
                <w:b w:val="0"/>
                <w:i w:val="0"/>
                <w:color w:val="000000"/>
                <w:sz w:val="21"/>
              </w:rPr>
              <w:t>"(+๕ ถึง +๒๕ tokens) … (−๕ ถึง −๑๐ tokens)"</w:t>
            </w:r>
          </w:p>
        </w:tc>
        <w:tc>
          <w:tcPr>
            <w:tcW w:type="dxa" w:w="2353"/>
          </w:tcPr>
          <w:p>
            <w:pPr>
              <w:spacing w:after="20" w:line="300" w:lineRule="auto"/>
            </w:pPr>
            <w:r>
              <w:rPr>
                <w:rFonts w:ascii="Avenir Next" w:hAnsi="Avenir Next" w:cs="Avenir Next"/>
                <w:b w:val="0"/>
                <w:i w:val="0"/>
                <w:color w:val="000000"/>
                <w:sz w:val="21"/>
              </w:rPr>
              <w:t>Numeral consistency — use Thai numerals throughout</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"ระบบ Keystone Collection 6 ดวง"</w:t>
            </w:r>
          </w:p>
        </w:tc>
        <w:tc>
          <w:tcPr>
            <w:tcW w:type="dxa" w:w="2353"/>
          </w:tcPr>
          <w:p>
            <w:pPr>
              <w:spacing w:after="20" w:line="300" w:lineRule="auto"/>
            </w:pPr>
            <w:r>
              <w:rPr>
                <w:rFonts w:ascii="Avenir Next" w:hAnsi="Avenir Next" w:cs="Avenir Next"/>
                <w:b w:val="0"/>
                <w:i w:val="0"/>
                <w:color w:val="000000"/>
                <w:sz w:val="21"/>
              </w:rPr>
              <w:t>"ระบบ Keystone Collection ๖ ดวง"</w:t>
            </w:r>
          </w:p>
        </w:tc>
        <w:tc>
          <w:tcPr>
            <w:tcW w:type="dxa" w:w="2353"/>
          </w:tcPr>
          <w:p>
            <w:pPr>
              <w:spacing w:after="20" w:line="300" w:lineRule="auto"/>
            </w:pPr>
            <w:r>
              <w:rPr>
                <w:rFonts w:ascii="Avenir Next" w:hAnsi="Avenir Next" w:cs="Avenir Next"/>
                <w:b w:val="0"/>
                <w:i w:val="0"/>
                <w:color w:val="000000"/>
                <w:sz w:val="21"/>
              </w:rPr>
              <w:t>Numeral consistency</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"advance organizer" without Thai gloss</w:t>
            </w:r>
          </w:p>
        </w:tc>
        <w:tc>
          <w:tcPr>
            <w:tcW w:type="dxa" w:w="2353"/>
          </w:tcPr>
          <w:p>
            <w:pPr>
              <w:spacing w:after="20" w:line="300" w:lineRule="auto"/>
            </w:pPr>
            <w:r>
              <w:rPr>
                <w:rFonts w:ascii="Avenir Next" w:hAnsi="Avenir Next" w:cs="Avenir Next"/>
                <w:b w:val="0"/>
                <w:i w:val="0"/>
                <w:color w:val="000000"/>
                <w:sz w:val="21"/>
              </w:rPr>
              <w:t>"ตัวจัดระเบียบล่วงหน้า (advance organizer; Ausubel, 1968)"</w:t>
            </w:r>
          </w:p>
        </w:tc>
        <w:tc>
          <w:tcPr>
            <w:tcW w:type="dxa" w:w="2353"/>
          </w:tcPr>
          <w:p>
            <w:pPr>
              <w:spacing w:after="20" w:line="300" w:lineRule="auto"/>
            </w:pPr>
            <w:r>
              <w:rPr>
                <w:rFonts w:ascii="Avenir Next" w:hAnsi="Avenir Next" w:cs="Avenir Next"/>
                <w:b w:val="0"/>
                <w:i w:val="0"/>
                <w:color w:val="000000"/>
                <w:sz w:val="21"/>
              </w:rPr>
              <w:t>Thai gloss + citation</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"schema-construction ของ Bruner"</w:t>
            </w:r>
          </w:p>
        </w:tc>
        <w:tc>
          <w:tcPr>
            <w:tcW w:type="dxa" w:w="2353"/>
          </w:tcPr>
          <w:p>
            <w:pPr>
              <w:spacing w:after="20" w:line="300" w:lineRule="auto"/>
            </w:pPr>
            <w:r>
              <w:rPr>
                <w:rFonts w:ascii="Avenir Next" w:hAnsi="Avenir Next" w:cs="Avenir Next"/>
                <w:b w:val="0"/>
                <w:i w:val="0"/>
                <w:color w:val="000000"/>
                <w:sz w:val="21"/>
              </w:rPr>
              <w:t>"การสร้างผังความคิด (schema construction) ตามแนวคิดของ Bruner (1960)"</w:t>
            </w:r>
          </w:p>
        </w:tc>
        <w:tc>
          <w:tcPr>
            <w:tcW w:type="dxa" w:w="2353"/>
          </w:tcPr>
          <w:p>
            <w:pPr>
              <w:spacing w:after="20" w:line="300" w:lineRule="auto"/>
            </w:pPr>
            <w:r>
              <w:rPr>
                <w:rFonts w:ascii="Avenir Next" w:hAnsi="Avenir Next" w:cs="Avenir Next"/>
                <w:b w:val="0"/>
                <w:i w:val="0"/>
                <w:color w:val="000000"/>
                <w:sz w:val="21"/>
              </w:rPr>
              <w:t>Thai gloss + citation</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"metacognitive monitor… metacognition ของ Flavell"</w:t>
            </w:r>
          </w:p>
        </w:tc>
        <w:tc>
          <w:tcPr>
            <w:tcW w:type="dxa" w:w="2353"/>
          </w:tcPr>
          <w:p>
            <w:pPr>
              <w:spacing w:after="20" w:line="300" w:lineRule="auto"/>
            </w:pPr>
            <w:r>
              <w:rPr>
                <w:rFonts w:ascii="Avenir Next" w:hAnsi="Avenir Next" w:cs="Avenir Next"/>
                <w:b w:val="0"/>
                <w:i w:val="0"/>
                <w:color w:val="000000"/>
                <w:sz w:val="21"/>
              </w:rPr>
              <w:t>"การกำกับตนเองเชิงอภิปริชาน (metacognitive monitoring; Flavell, 1979)"</w:t>
            </w:r>
          </w:p>
        </w:tc>
        <w:tc>
          <w:tcPr>
            <w:tcW w:type="dxa" w:w="2353"/>
          </w:tcPr>
          <w:p>
            <w:pPr>
              <w:spacing w:after="20" w:line="300" w:lineRule="auto"/>
            </w:pPr>
            <w:r>
              <w:rPr>
                <w:rFonts w:ascii="Avenir Next" w:hAnsi="Avenir Next" w:cs="Avenir Next"/>
                <w:b w:val="0"/>
                <w:i w:val="0"/>
                <w:color w:val="000000"/>
                <w:sz w:val="21"/>
              </w:rPr>
              <w:t>Thai gloss + citation</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"ผู้กำหนดนโยบายที่ใช้เทคโนโลยี AI สร้างขึ้น"</w:t>
            </w:r>
          </w:p>
        </w:tc>
        <w:tc>
          <w:tcPr>
            <w:tcW w:type="dxa" w:w="2353"/>
          </w:tcPr>
          <w:p>
            <w:pPr>
              <w:spacing w:after="20" w:line="300" w:lineRule="auto"/>
            </w:pPr>
            <w:r>
              <w:rPr>
                <w:rFonts w:ascii="Avenir Next" w:hAnsi="Avenir Next" w:cs="Avenir Next"/>
                <w:b w:val="0"/>
                <w:i w:val="0"/>
                <w:color w:val="000000"/>
                <w:sz w:val="21"/>
              </w:rPr>
              <w:t>"ตัวละครผู้กำหนดนโยบายทั้งหมดสร้างขึ้นด้วยเทคโนโลยี AI"</w:t>
            </w:r>
          </w:p>
        </w:tc>
        <w:tc>
          <w:tcPr>
            <w:tcW w:type="dxa" w:w="2353"/>
          </w:tcPr>
          <w:p>
            <w:pPr>
              <w:spacing w:after="20" w:line="300" w:lineRule="auto"/>
            </w:pPr>
            <w:r>
              <w:rPr>
                <w:rFonts w:ascii="Avenir Next" w:hAnsi="Avenir Next" w:cs="Avenir Next"/>
                <w:b w:val="0"/>
                <w:i w:val="0"/>
                <w:color w:val="000000"/>
                <w:sz w:val="21"/>
              </w:rPr>
              <w:t>Disambiguate — currently reads as if real policymakers were AI-created</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"More Knowledgeable Other (MKO)"</w:t>
            </w:r>
          </w:p>
        </w:tc>
        <w:tc>
          <w:tcPr>
            <w:tcW w:type="dxa" w:w="2353"/>
          </w:tcPr>
          <w:p>
            <w:pPr>
              <w:spacing w:after="20" w:line="300" w:lineRule="auto"/>
            </w:pPr>
            <w:r>
              <w:rPr>
                <w:rFonts w:ascii="Avenir Next" w:hAnsi="Avenir Next" w:cs="Avenir Next"/>
                <w:b w:val="0"/>
                <w:i w:val="0"/>
                <w:color w:val="000000"/>
                <w:sz w:val="21"/>
              </w:rPr>
              <w:t>"ผู้รู้มากกว่า (More Knowledgeable Other, MKO; Vygotsky, 1978)"</w:t>
            </w:r>
          </w:p>
        </w:tc>
        <w:tc>
          <w:tcPr>
            <w:tcW w:type="dxa" w:w="2353"/>
          </w:tcPr>
          <w:p>
            <w:pPr>
              <w:spacing w:after="20" w:line="300" w:lineRule="auto"/>
            </w:pPr>
            <w:r>
              <w:rPr>
                <w:rFonts w:ascii="Avenir Next" w:hAnsi="Avenir Next" w:cs="Avenir Next"/>
                <w:b w:val="0"/>
                <w:i w:val="0"/>
                <w:color w:val="000000"/>
                <w:sz w:val="21"/>
              </w:rPr>
              <w:t>Thai gloss + citation</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"Legitimate Peripheral Participation"</w:t>
            </w:r>
          </w:p>
        </w:tc>
        <w:tc>
          <w:tcPr>
            <w:tcW w:type="dxa" w:w="2353"/>
          </w:tcPr>
          <w:p>
            <w:pPr>
              <w:spacing w:after="20" w:line="300" w:lineRule="auto"/>
            </w:pPr>
            <w:r>
              <w:rPr>
                <w:rFonts w:ascii="Avenir Next" w:hAnsi="Avenir Next" w:cs="Avenir Next"/>
                <w:b w:val="0"/>
                <w:i w:val="0"/>
                <w:color w:val="000000"/>
                <w:sz w:val="21"/>
              </w:rPr>
              <w:t>"การมีส่วนร่วมจากผู้รู้น้อยสู่ผู้รู้มาก (Legitimate Peripheral Participation, LPP; Lave &amp; Wenger, 1991)"</w:t>
            </w:r>
          </w:p>
        </w:tc>
        <w:tc>
          <w:tcPr>
            <w:tcW w:type="dxa" w:w="2353"/>
          </w:tcPr>
          <w:p>
            <w:pPr>
              <w:spacing w:after="20" w:line="300" w:lineRule="auto"/>
            </w:pPr>
            <w:r>
              <w:rPr>
                <w:rFonts w:ascii="Avenir Next" w:hAnsi="Avenir Next" w:cs="Avenir Next"/>
                <w:b w:val="0"/>
                <w:i w:val="0"/>
                <w:color w:val="000000"/>
                <w:sz w:val="21"/>
              </w:rPr>
              <w:t>Thai gloss + citation</w:t>
            </w:r>
          </w:p>
        </w:tc>
      </w:tr>
    </w:tbl>
    <w:p>
      <w:pPr>
        <w:spacing w:before="200" w:after="60"/>
      </w:pPr>
      <w:r>
        <w:rPr>
          <w:rFonts w:ascii="Baskerville" w:hAnsi="Baskerville" w:cs="Baskerville"/>
          <w:b/>
          <w:i w:val="0"/>
          <w:color w:val="000000"/>
          <w:sz w:val="27"/>
        </w:rPr>
        <w:t>3.3 · ส่วนที่ 3 ข้อ 3 — วิธีดำเนินการ</w:t>
      </w:r>
    </w:p>
    <w:tbl>
      <w:tblPr>
        <w:tblW w:type="auto" w:w="0"/>
        <w:jc w:val="left"/>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2353"/>
        <w:gridCol w:w="2353"/>
        <w:gridCol w:w="2353"/>
        <w:gridCol w:w="2353"/>
      </w:tblGrid>
      <w:tr>
        <w:tc>
          <w:tcPr>
            <w:tcW w:type="dxa" w:w="2353"/>
            <w:shd w:val="clear" w:color="auto" w:fill="F4F1EA"/>
          </w:tcPr>
          <w:p>
            <w:pPr>
              <w:spacing w:after="20"/>
            </w:pPr>
            <w:r>
              <w:rPr>
                <w:rFonts w:ascii="Menlo" w:hAnsi="Menlo" w:cs="Menlo"/>
                <w:b/>
                <w:i w:val="0"/>
                <w:color w:val="9C6F1C"/>
                <w:sz w:val="16"/>
                <w:spacing w:val="16"/>
              </w:rPr>
              <w:t>#</w:t>
            </w:r>
          </w:p>
        </w:tc>
        <w:tc>
          <w:tcPr>
            <w:tcW w:type="dxa" w:w="2353"/>
            <w:shd w:val="clear" w:color="auto" w:fill="F4F1EA"/>
          </w:tcPr>
          <w:p>
            <w:pPr>
              <w:spacing w:after="20"/>
            </w:pPr>
            <w:r>
              <w:rPr>
                <w:rFonts w:ascii="Menlo" w:hAnsi="Menlo" w:cs="Menlo"/>
                <w:b/>
                <w:i w:val="0"/>
                <w:color w:val="9C6F1C"/>
                <w:sz w:val="16"/>
                <w:spacing w:val="16"/>
              </w:rPr>
              <w:t>CURRENT</w:t>
            </w:r>
          </w:p>
        </w:tc>
        <w:tc>
          <w:tcPr>
            <w:tcW w:type="dxa" w:w="2353"/>
            <w:shd w:val="clear" w:color="auto" w:fill="F4F1EA"/>
          </w:tcPr>
          <w:p>
            <w:pPr>
              <w:spacing w:after="20"/>
            </w:pPr>
            <w:r>
              <w:rPr>
                <w:rFonts w:ascii="Menlo" w:hAnsi="Menlo" w:cs="Menlo"/>
                <w:b/>
                <w:i w:val="0"/>
                <w:color w:val="9C6F1C"/>
                <w:sz w:val="16"/>
                <w:spacing w:val="16"/>
              </w:rPr>
              <w:t>SUGGESTED REVISION</w:t>
            </w:r>
          </w:p>
        </w:tc>
        <w:tc>
          <w:tcPr>
            <w:tcW w:type="dxa" w:w="2353"/>
            <w:shd w:val="clear" w:color="auto" w:fill="F4F1EA"/>
          </w:tcPr>
          <w:p>
            <w:pPr>
              <w:spacing w:after="20"/>
            </w:pPr>
            <w:r>
              <w:rPr>
                <w:rFonts w:ascii="Menlo" w:hAnsi="Menlo" w:cs="Menlo"/>
                <w:b/>
                <w:i w:val="0"/>
                <w:color w:val="9C6F1C"/>
                <w:sz w:val="16"/>
                <w:spacing w:val="16"/>
              </w:rPr>
              <w:t>NOTE</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"Vibe-coding"</w:t>
            </w:r>
          </w:p>
        </w:tc>
        <w:tc>
          <w:tcPr>
            <w:tcW w:type="dxa" w:w="2353"/>
          </w:tcPr>
          <w:p>
            <w:pPr>
              <w:spacing w:after="20" w:line="300" w:lineRule="auto"/>
            </w:pPr>
            <w:r>
              <w:rPr>
                <w:rFonts w:ascii="Avenir Next" w:hAnsi="Avenir Next" w:cs="Avenir Next"/>
                <w:b w:val="0"/>
                <w:i w:val="0"/>
                <w:color w:val="000000"/>
                <w:sz w:val="21"/>
              </w:rPr>
              <w:t>"การพัฒนาแบบกำหนดบุคลิกภาพและเป้าหมายผ่าน AI (AI-assisted prompt-driven development)"</w:t>
            </w:r>
          </w:p>
        </w:tc>
        <w:tc>
          <w:tcPr>
            <w:tcW w:type="dxa" w:w="2353"/>
          </w:tcPr>
          <w:p>
            <w:pPr>
              <w:spacing w:after="20" w:line="300" w:lineRule="auto"/>
            </w:pPr>
            <w:r>
              <w:rPr>
                <w:rFonts w:ascii="Avenir Next" w:hAnsi="Avenir Next" w:cs="Avenir Next"/>
                <w:b w:val="0"/>
                <w:i w:val="0"/>
                <w:color w:val="000000"/>
                <w:sz w:val="21"/>
              </w:rPr>
              <w:t>"Vibe-coding" is informal Western developer slang — does not belong in a Thai academic submission</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"Educational R&amp;D"</w:t>
            </w:r>
          </w:p>
        </w:tc>
        <w:tc>
          <w:tcPr>
            <w:tcW w:type="dxa" w:w="2353"/>
          </w:tcPr>
          <w:p>
            <w:pPr>
              <w:spacing w:after="20" w:line="300" w:lineRule="auto"/>
            </w:pPr>
            <w:r>
              <w:rPr>
                <w:rFonts w:ascii="Avenir Next" w:hAnsi="Avenir Next" w:cs="Avenir Next"/>
                <w:b w:val="0"/>
                <w:i w:val="0"/>
                <w:color w:val="000000"/>
                <w:sz w:val="21"/>
              </w:rPr>
              <w:t>"การวิจัยและพัฒนาทางการศึกษา (Educational Research and Development; Borg &amp; Gall, 1989)"</w:t>
            </w:r>
          </w:p>
        </w:tc>
        <w:tc>
          <w:tcPr>
            <w:tcW w:type="dxa" w:w="2353"/>
          </w:tcPr>
          <w:p>
            <w:pPr>
              <w:spacing w:after="20" w:line="300" w:lineRule="auto"/>
            </w:pPr>
            <w:r>
              <w:rPr>
                <w:rFonts w:ascii="Avenir Next" w:hAnsi="Avenir Next" w:cs="Avenir Next"/>
                <w:b w:val="0"/>
                <w:i w:val="0"/>
                <w:color w:val="000000"/>
                <w:sz w:val="21"/>
              </w:rPr>
              <w:t>Thai gloss + citation</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"(Duolingo, Babbel, BBC Learning English)"</w:t>
            </w:r>
          </w:p>
        </w:tc>
        <w:tc>
          <w:tcPr>
            <w:tcW w:type="dxa" w:w="2353"/>
          </w:tcPr>
          <w:p>
            <w:pPr>
              <w:spacing w:after="20" w:line="300" w:lineRule="auto"/>
            </w:pPr>
            <w:r>
              <w:rPr>
                <w:rFonts w:ascii="Avenir Next" w:hAnsi="Avenir Next" w:cs="Avenir Next"/>
                <w:b w:val="0"/>
                <w:i w:val="0"/>
                <w:color w:val="000000"/>
                <w:sz w:val="21"/>
              </w:rPr>
              <w:t>Keep — these are real platforms; OK as benchmark</w:t>
            </w:r>
          </w:p>
        </w:tc>
        <w:tc>
          <w:tcPr>
            <w:tcW w:type="dxa" w:w="2353"/>
          </w:tcPr>
          <w:p>
            <w:pPr>
              <w:spacing w:after="20" w:line="300" w:lineRule="auto"/>
            </w:pPr>
            <w:r>
              <w:rPr>
                <w:rFonts w:ascii="Avenir Next" w:hAnsi="Avenir Next" w:cs="Avenir Next"/>
                <w:b w:val="0"/>
                <w:i w:val="0"/>
                <w:color w:val="000000"/>
                <w:sz w:val="21"/>
              </w:rPr>
              <w:t>None</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"Web Content Accessibility Guidelines (WCAG AA)"</w:t>
            </w:r>
          </w:p>
        </w:tc>
        <w:tc>
          <w:tcPr>
            <w:tcW w:type="dxa" w:w="2353"/>
          </w:tcPr>
          <w:p>
            <w:pPr>
              <w:spacing w:after="20" w:line="300" w:lineRule="auto"/>
            </w:pPr>
            <w:r>
              <w:rPr>
                <w:rFonts w:ascii="Avenir Next" w:hAnsi="Avenir Next" w:cs="Avenir Next"/>
                <w:b w:val="0"/>
                <w:i w:val="0"/>
                <w:color w:val="000000"/>
                <w:sz w:val="21"/>
              </w:rPr>
              <w:t>"แนวทางการเข้าถึงเนื้อหาเว็บ ฉบับ ๒.๑ ระดับ AA (Web Content Accessibility Guidelines 2.1 Level AA; W3C, 2018)"</w:t>
            </w:r>
          </w:p>
        </w:tc>
        <w:tc>
          <w:tcPr>
            <w:tcW w:type="dxa" w:w="2353"/>
          </w:tcPr>
          <w:p>
            <w:pPr>
              <w:spacing w:after="20" w:line="300" w:lineRule="auto"/>
            </w:pPr>
            <w:r>
              <w:rPr>
                <w:rFonts w:ascii="Avenir Next" w:hAnsi="Avenir Next" w:cs="Avenir Next"/>
                <w:b w:val="0"/>
                <w:i w:val="0"/>
                <w:color w:val="000000"/>
                <w:sz w:val="21"/>
              </w:rPr>
              <w:t>Version + level + citation</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"Demo/Judge Mode"</w:t>
            </w:r>
          </w:p>
        </w:tc>
        <w:tc>
          <w:tcPr>
            <w:tcW w:type="dxa" w:w="2353"/>
          </w:tcPr>
          <w:p>
            <w:pPr>
              <w:spacing w:after="20" w:line="300" w:lineRule="auto"/>
            </w:pPr>
            <w:r>
              <w:rPr>
                <w:rFonts w:ascii="Avenir Next" w:hAnsi="Avenir Next" w:cs="Avenir Next"/>
                <w:b w:val="0"/>
                <w:i w:val="0"/>
                <w:color w:val="000000"/>
                <w:sz w:val="21"/>
              </w:rPr>
              <w:t>"โหมดสาธิตและโหมดสำหรับกรรมการ (Demo / Judge Mode)"</w:t>
            </w:r>
          </w:p>
        </w:tc>
        <w:tc>
          <w:tcPr>
            <w:tcW w:type="dxa" w:w="2353"/>
          </w:tcPr>
          <w:p>
            <w:pPr>
              <w:spacing w:after="20" w:line="300" w:lineRule="auto"/>
            </w:pPr>
            <w:r>
              <w:rPr>
                <w:rFonts w:ascii="Avenir Next" w:hAnsi="Avenir Next" w:cs="Avenir Next"/>
                <w:b w:val="0"/>
                <w:i w:val="0"/>
                <w:color w:val="000000"/>
                <w:sz w:val="21"/>
              </w:rPr>
              <w:t>Add Thai gloss</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"ระยะที่ 6" — เป็นการจัดเอกสาร, ไม่ใช่ R&amp;D phase ที่แท้จริง</w:t>
            </w:r>
          </w:p>
        </w:tc>
        <w:tc>
          <w:tcPr>
            <w:tcW w:type="dxa" w:w="2353"/>
          </w:tcPr>
          <w:p>
            <w:pPr>
              <w:spacing w:after="20" w:line="300" w:lineRule="auto"/>
            </w:pPr>
            <w:r>
              <w:rPr>
                <w:rFonts w:ascii="Avenir Next" w:hAnsi="Avenir Next" w:cs="Avenir Next"/>
                <w:b w:val="0"/>
                <w:i w:val="0"/>
                <w:color w:val="000000"/>
                <w:sz w:val="21"/>
              </w:rPr>
              <w:t>Consider renaming to "ระยะที่ 6 การจัดทำเอกสารและรูบริก" — clearer</w:t>
            </w:r>
          </w:p>
        </w:tc>
        <w:tc>
          <w:tcPr>
            <w:tcW w:type="dxa" w:w="2353"/>
          </w:tcPr>
          <w:p>
            <w:pPr>
              <w:spacing w:after="20" w:line="300" w:lineRule="auto"/>
            </w:pPr>
            <w:r>
              <w:rPr>
                <w:rFonts w:ascii="Avenir Next" w:hAnsi="Avenir Next" w:cs="Avenir Next"/>
                <w:b w:val="0"/>
                <w:i w:val="0"/>
                <w:color w:val="000000"/>
                <w:sz w:val="21"/>
              </w:rPr>
              <w:t>Cosmetic but tightens framing</w:t>
            </w:r>
          </w:p>
        </w:tc>
      </w:tr>
    </w:tbl>
    <w:p>
      <w:pPr>
        <w:spacing w:before="200" w:after="60"/>
      </w:pPr>
      <w:r>
        <w:rPr>
          <w:rFonts w:ascii="Baskerville" w:hAnsi="Baskerville" w:cs="Baskerville"/>
          <w:b/>
          <w:i w:val="0"/>
          <w:color w:val="000000"/>
          <w:sz w:val="27"/>
        </w:rPr>
        <w:t>3.4 · ส่วนที่ 3 ข้อ 4 — จุดเด่น</w:t>
      </w:r>
    </w:p>
    <w:tbl>
      <w:tblPr>
        <w:tblW w:type="auto" w:w="0"/>
        <w:jc w:val="left"/>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2353"/>
        <w:gridCol w:w="2353"/>
        <w:gridCol w:w="2353"/>
        <w:gridCol w:w="2353"/>
      </w:tblGrid>
      <w:tr>
        <w:tc>
          <w:tcPr>
            <w:tcW w:type="dxa" w:w="2353"/>
            <w:shd w:val="clear" w:color="auto" w:fill="F4F1EA"/>
          </w:tcPr>
          <w:p>
            <w:pPr>
              <w:spacing w:after="20"/>
            </w:pPr>
            <w:r>
              <w:rPr>
                <w:rFonts w:ascii="Menlo" w:hAnsi="Menlo" w:cs="Menlo"/>
                <w:b/>
                <w:i w:val="0"/>
                <w:color w:val="9C6F1C"/>
                <w:sz w:val="16"/>
                <w:spacing w:val="16"/>
              </w:rPr>
              <w:t>#</w:t>
            </w:r>
          </w:p>
        </w:tc>
        <w:tc>
          <w:tcPr>
            <w:tcW w:type="dxa" w:w="2353"/>
            <w:shd w:val="clear" w:color="auto" w:fill="F4F1EA"/>
          </w:tcPr>
          <w:p>
            <w:pPr>
              <w:spacing w:after="20"/>
            </w:pPr>
            <w:r>
              <w:rPr>
                <w:rFonts w:ascii="Menlo" w:hAnsi="Menlo" w:cs="Menlo"/>
                <w:b/>
                <w:i w:val="0"/>
                <w:color w:val="9C6F1C"/>
                <w:sz w:val="16"/>
                <w:spacing w:val="16"/>
              </w:rPr>
              <w:t>CURRENT</w:t>
            </w:r>
          </w:p>
        </w:tc>
        <w:tc>
          <w:tcPr>
            <w:tcW w:type="dxa" w:w="2353"/>
            <w:shd w:val="clear" w:color="auto" w:fill="F4F1EA"/>
          </w:tcPr>
          <w:p>
            <w:pPr>
              <w:spacing w:after="20"/>
            </w:pPr>
            <w:r>
              <w:rPr>
                <w:rFonts w:ascii="Menlo" w:hAnsi="Menlo" w:cs="Menlo"/>
                <w:b/>
                <w:i w:val="0"/>
                <w:color w:val="9C6F1C"/>
                <w:sz w:val="16"/>
                <w:spacing w:val="16"/>
              </w:rPr>
              <w:t>SUGGESTED REVISION</w:t>
            </w:r>
          </w:p>
        </w:tc>
        <w:tc>
          <w:tcPr>
            <w:tcW w:type="dxa" w:w="2353"/>
            <w:shd w:val="clear" w:color="auto" w:fill="F4F1EA"/>
          </w:tcPr>
          <w:p>
            <w:pPr>
              <w:spacing w:after="20"/>
            </w:pPr>
            <w:r>
              <w:rPr>
                <w:rFonts w:ascii="Menlo" w:hAnsi="Menlo" w:cs="Menlo"/>
                <w:b/>
                <w:i w:val="0"/>
                <w:color w:val="9C6F1C"/>
                <w:sz w:val="16"/>
                <w:spacing w:val="16"/>
              </w:rPr>
              <w:t>NOTE</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"(1) การบังคับใช้เส้นแบ่ง AI-TPACK ที่ตรวจสอบได้"</w:t>
            </w:r>
          </w:p>
        </w:tc>
        <w:tc>
          <w:tcPr>
            <w:tcW w:type="dxa" w:w="2353"/>
          </w:tcPr>
          <w:p>
            <w:pPr>
              <w:spacing w:after="20" w:line="300" w:lineRule="auto"/>
            </w:pPr>
            <w:r>
              <w:rPr>
                <w:rFonts w:ascii="Avenir Next" w:hAnsi="Avenir Next" w:cs="Avenir Next"/>
                <w:b w:val="0"/>
                <w:i w:val="0"/>
                <w:color w:val="000000"/>
                <w:sz w:val="21"/>
              </w:rPr>
              <w:t>Strong as-is</w:t>
            </w:r>
          </w:p>
        </w:tc>
        <w:tc>
          <w:tcPr>
            <w:tcW w:type="dxa" w:w="2353"/>
          </w:tcPr>
          <w:p>
            <w:pPr>
              <w:spacing w:after="20" w:line="300" w:lineRule="auto"/>
            </w:pPr>
            <w:r>
              <w:rPr>
                <w:rFonts w:ascii="Avenir Next" w:hAnsi="Avenir Next" w:cs="Avenir Next"/>
                <w:b w:val="0"/>
                <w:i w:val="0"/>
                <w:color w:val="000000"/>
                <w:sz w:val="21"/>
              </w:rPr>
              <w:t>None</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"(5) Mr. Compass (AI Socratic Field Mentor: ตัวช่วยภาษา AI ที่มีกรอบกำกับเข้มงวด)"</w:t>
            </w:r>
          </w:p>
        </w:tc>
        <w:tc>
          <w:tcPr>
            <w:tcW w:type="dxa" w:w="2353"/>
          </w:tcPr>
          <w:p>
            <w:pPr>
              <w:spacing w:after="20" w:line="300" w:lineRule="auto"/>
            </w:pPr>
            <w:r>
              <w:rPr>
                <w:rFonts w:ascii="Avenir Next" w:hAnsi="Avenir Next" w:cs="Avenir Next"/>
                <w:b w:val="0"/>
                <w:i w:val="0"/>
                <w:color w:val="000000"/>
                <w:sz w:val="21"/>
              </w:rPr>
              <w:t>"(๕) Mr. Compass — ผู้ให้คำปรึกษาภาคสนามแบบโสกราตีส (Socratic Field Mentor) ตัวช่วยภาษา AI ที่มีกรอบกำกับเข้มงวด:"</w:t>
            </w:r>
          </w:p>
        </w:tc>
        <w:tc>
          <w:tcPr>
            <w:tcW w:type="dxa" w:w="2353"/>
          </w:tcPr>
          <w:p>
            <w:pPr>
              <w:spacing w:after="20" w:line="300" w:lineRule="auto"/>
            </w:pPr>
            <w:r>
              <w:rPr>
                <w:rFonts w:ascii="Avenir Next" w:hAnsi="Avenir Next" w:cs="Avenir Next"/>
                <w:b w:val="0"/>
                <w:i w:val="0"/>
                <w:color w:val="000000"/>
                <w:sz w:val="21"/>
              </w:rPr>
              <w:t>Colon usage in parens is awkward</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"หลัก Socratic dialogue และ Vygotsky Zone of Proximal Development"</w:t>
            </w:r>
          </w:p>
        </w:tc>
        <w:tc>
          <w:tcPr>
            <w:tcW w:type="dxa" w:w="2353"/>
          </w:tcPr>
          <w:p>
            <w:pPr>
              <w:spacing w:after="20" w:line="300" w:lineRule="auto"/>
            </w:pPr>
            <w:r>
              <w:rPr>
                <w:rFonts w:ascii="Avenir Next" w:hAnsi="Avenir Next" w:cs="Avenir Next"/>
                <w:b w:val="0"/>
                <w:i w:val="0"/>
                <w:color w:val="000000"/>
                <w:sz w:val="21"/>
              </w:rPr>
              <w:t>"หลักการสนทนาแบบโสกราตีส (Socratic dialogue; Paul &amp; Elder, 2007) และโซนพัฒนาการใกล้เคียง (Zone of Proximal Development, ZPD; Vygotsky, 1978)"</w:t>
            </w:r>
          </w:p>
        </w:tc>
        <w:tc>
          <w:tcPr>
            <w:tcW w:type="dxa" w:w="2353"/>
          </w:tcPr>
          <w:p>
            <w:pPr>
              <w:spacing w:after="20" w:line="300" w:lineRule="auto"/>
            </w:pPr>
            <w:r>
              <w:rPr>
                <w:rFonts w:ascii="Avenir Next" w:hAnsi="Avenir Next" w:cs="Avenir Next"/>
                <w:b w:val="0"/>
                <w:i w:val="0"/>
                <w:color w:val="000000"/>
                <w:sz w:val="21"/>
              </w:rPr>
              <w:t>Citations</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"(7) Voice for Change ภารกิจปิดท้ายเชิงนวัตกรรม: หลังเก็บ Keystone ครบทั้ง 6 ภารกิจ"</w:t>
            </w:r>
          </w:p>
        </w:tc>
        <w:tc>
          <w:tcPr>
            <w:tcW w:type="dxa" w:w="2353"/>
          </w:tcPr>
          <w:p>
            <w:pPr>
              <w:spacing w:after="20" w:line="300" w:lineRule="auto"/>
            </w:pPr>
            <w:r>
              <w:rPr>
                <w:rFonts w:ascii="Avenir Next" w:hAnsi="Avenir Next" w:cs="Avenir Next"/>
                <w:b w:val="0"/>
                <w:i w:val="0"/>
                <w:color w:val="000000"/>
                <w:sz w:val="21"/>
              </w:rPr>
              <w:t>Replace "6" with "๖" for consistency</w:t>
            </w:r>
          </w:p>
        </w:tc>
        <w:tc>
          <w:tcPr>
            <w:tcW w:type="dxa" w:w="2353"/>
          </w:tcPr>
          <w:p>
            <w:pPr>
              <w:spacing w:after="20" w:line="300" w:lineRule="auto"/>
            </w:pPr>
            <w:r>
              <w:rPr>
                <w:rFonts w:ascii="Avenir Next" w:hAnsi="Avenir Next" w:cs="Avenir Next"/>
                <w:b w:val="0"/>
                <w:i w:val="0"/>
                <w:color w:val="000000"/>
                <w:sz w:val="21"/>
              </w:rPr>
              <w:t>Numeral consistency</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"(เป็นสถานการณ์จำลองในห้องเรียน ไม่ใช่ทุนจริง)"</w:t>
            </w:r>
          </w:p>
        </w:tc>
        <w:tc>
          <w:tcPr>
            <w:tcW w:type="dxa" w:w="2353"/>
          </w:tcPr>
          <w:p>
            <w:pPr>
              <w:spacing w:after="20" w:line="300" w:lineRule="auto"/>
            </w:pPr>
            <w:r>
              <w:rPr>
                <w:rFonts w:ascii="Avenir Next" w:hAnsi="Avenir Next" w:cs="Avenir Next"/>
                <w:b w:val="0"/>
                <w:i w:val="0"/>
                <w:color w:val="000000"/>
                <w:sz w:val="21"/>
              </w:rPr>
              <w:t>"(สถานการณ์สมมติเพื่อการเรียนรู้ในห้องเรียน มิใช่ทุนสนับสนุนจริง)"</w:t>
            </w:r>
          </w:p>
        </w:tc>
        <w:tc>
          <w:tcPr>
            <w:tcW w:type="dxa" w:w="2353"/>
          </w:tcPr>
          <w:p>
            <w:pPr>
              <w:spacing w:after="20" w:line="300" w:lineRule="auto"/>
            </w:pPr>
            <w:r>
              <w:rPr>
                <w:rFonts w:ascii="Avenir Next" w:hAnsi="Avenir Next" w:cs="Avenir Next"/>
                <w:b w:val="0"/>
                <w:i w:val="0"/>
                <w:color w:val="000000"/>
                <w:sz w:val="21"/>
              </w:rPr>
              <w:t>Slightly more formal phrasing</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"(8) … พระราชบัญญัติคุ้มครองข้อมูลส่วนบุคคล พ.ศ. 2562"</w:t>
            </w:r>
          </w:p>
        </w:tc>
        <w:tc>
          <w:tcPr>
            <w:tcW w:type="dxa" w:w="2353"/>
          </w:tcPr>
          <w:p>
            <w:pPr>
              <w:spacing w:after="20" w:line="300" w:lineRule="auto"/>
            </w:pPr>
            <w:r>
              <w:rPr>
                <w:rFonts w:ascii="Avenir Next" w:hAnsi="Avenir Next" w:cs="Avenir Next"/>
                <w:b w:val="0"/>
                <w:i w:val="0"/>
                <w:color w:val="000000"/>
                <w:sz w:val="21"/>
              </w:rPr>
              <w:t>"พระราชบัญญัติคุ้มครองข้อมูลส่วนบุคคล พ.ศ. ๒๕๖๒ (Personal Data Protection Act, B.E. 2562)"</w:t>
            </w:r>
          </w:p>
        </w:tc>
        <w:tc>
          <w:tcPr>
            <w:tcW w:type="dxa" w:w="2353"/>
          </w:tcPr>
          <w:p>
            <w:pPr>
              <w:spacing w:after="20" w:line="300" w:lineRule="auto"/>
            </w:pPr>
            <w:r>
              <w:rPr>
                <w:rFonts w:ascii="Avenir Next" w:hAnsi="Avenir Next" w:cs="Avenir Next"/>
                <w:b w:val="0"/>
                <w:i w:val="0"/>
                <w:color w:val="000000"/>
                <w:sz w:val="21"/>
              </w:rPr>
              <w:t>Thai numerals + English version</w:t>
            </w:r>
          </w:p>
        </w:tc>
      </w:tr>
    </w:tbl>
    <w:p>
      <w:pPr>
        <w:spacing w:before="200" w:after="60"/>
      </w:pPr>
      <w:r>
        <w:rPr>
          <w:rFonts w:ascii="Baskerville" w:hAnsi="Baskerville" w:cs="Baskerville"/>
          <w:b/>
          <w:i w:val="0"/>
          <w:color w:val="000000"/>
          <w:sz w:val="27"/>
        </w:rPr>
        <w:t>3.5 · ส่วนที่ 3 ข้อ 5 — ประโยชน์</w:t>
      </w:r>
    </w:p>
    <w:tbl>
      <w:tblPr>
        <w:tblW w:type="auto" w:w="0"/>
        <w:jc w:val="left"/>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2353"/>
        <w:gridCol w:w="2353"/>
        <w:gridCol w:w="2353"/>
        <w:gridCol w:w="2353"/>
      </w:tblGrid>
      <w:tr>
        <w:tc>
          <w:tcPr>
            <w:tcW w:type="dxa" w:w="2353"/>
            <w:shd w:val="clear" w:color="auto" w:fill="F4F1EA"/>
          </w:tcPr>
          <w:p>
            <w:pPr>
              <w:spacing w:after="20"/>
            </w:pPr>
            <w:r>
              <w:rPr>
                <w:rFonts w:ascii="Menlo" w:hAnsi="Menlo" w:cs="Menlo"/>
                <w:b/>
                <w:i w:val="0"/>
                <w:color w:val="9C6F1C"/>
                <w:sz w:val="16"/>
                <w:spacing w:val="16"/>
              </w:rPr>
              <w:t>#</w:t>
            </w:r>
          </w:p>
        </w:tc>
        <w:tc>
          <w:tcPr>
            <w:tcW w:type="dxa" w:w="2353"/>
            <w:shd w:val="clear" w:color="auto" w:fill="F4F1EA"/>
          </w:tcPr>
          <w:p>
            <w:pPr>
              <w:spacing w:after="20"/>
            </w:pPr>
            <w:r>
              <w:rPr>
                <w:rFonts w:ascii="Menlo" w:hAnsi="Menlo" w:cs="Menlo"/>
                <w:b/>
                <w:i w:val="0"/>
                <w:color w:val="9C6F1C"/>
                <w:sz w:val="16"/>
                <w:spacing w:val="16"/>
              </w:rPr>
              <w:t>CURRENT</w:t>
            </w:r>
          </w:p>
        </w:tc>
        <w:tc>
          <w:tcPr>
            <w:tcW w:type="dxa" w:w="2353"/>
            <w:shd w:val="clear" w:color="auto" w:fill="F4F1EA"/>
          </w:tcPr>
          <w:p>
            <w:pPr>
              <w:spacing w:after="20"/>
            </w:pPr>
            <w:r>
              <w:rPr>
                <w:rFonts w:ascii="Menlo" w:hAnsi="Menlo" w:cs="Menlo"/>
                <w:b/>
                <w:i w:val="0"/>
                <w:color w:val="9C6F1C"/>
                <w:sz w:val="16"/>
                <w:spacing w:val="16"/>
              </w:rPr>
              <w:t>SUGGESTED REVISION</w:t>
            </w:r>
          </w:p>
        </w:tc>
        <w:tc>
          <w:tcPr>
            <w:tcW w:type="dxa" w:w="2353"/>
            <w:shd w:val="clear" w:color="auto" w:fill="F4F1EA"/>
          </w:tcPr>
          <w:p>
            <w:pPr>
              <w:spacing w:after="20"/>
            </w:pPr>
            <w:r>
              <w:rPr>
                <w:rFonts w:ascii="Menlo" w:hAnsi="Menlo" w:cs="Menlo"/>
                <w:b/>
                <w:i w:val="0"/>
                <w:color w:val="9C6F1C"/>
                <w:sz w:val="16"/>
                <w:spacing w:val="16"/>
              </w:rPr>
              <w:t>NOTE</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"ครูคนเดียวไม่สามารถทำให้ได้ในกรอบเวลาเรียน"</w:t>
            </w:r>
          </w:p>
        </w:tc>
        <w:tc>
          <w:tcPr>
            <w:tcW w:type="dxa" w:w="2353"/>
          </w:tcPr>
          <w:p>
            <w:pPr>
              <w:spacing w:after="20" w:line="300" w:lineRule="auto"/>
            </w:pPr>
            <w:r>
              <w:rPr>
                <w:rFonts w:ascii="Avenir Next" w:hAnsi="Avenir Next" w:cs="Avenir Next"/>
                <w:b w:val="0"/>
                <w:i w:val="0"/>
                <w:color w:val="000000"/>
                <w:sz w:val="21"/>
              </w:rPr>
              <w:t>"อาจารย์ผู้สอนเพียงคนเดียวไม่สามารถดำเนินการได้ภายในกรอบเวลาเรียน"</w:t>
            </w:r>
          </w:p>
        </w:tc>
        <w:tc>
          <w:tcPr>
            <w:tcW w:type="dxa" w:w="2353"/>
          </w:tcPr>
          <w:p>
            <w:pPr>
              <w:spacing w:after="20" w:line="300" w:lineRule="auto"/>
            </w:pPr>
            <w:r>
              <w:rPr>
                <w:rFonts w:ascii="Avenir Next" w:hAnsi="Avenir Next" w:cs="Avenir Next"/>
                <w:b w:val="0"/>
                <w:i w:val="0"/>
                <w:color w:val="000000"/>
                <w:sz w:val="21"/>
              </w:rPr>
              <w:t>More formal</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"แนวคิด Human in the loop คือในกระบวนการสร้างสรรค์ผลงาน"</w:t>
            </w:r>
          </w:p>
        </w:tc>
        <w:tc>
          <w:tcPr>
            <w:tcW w:type="dxa" w:w="2353"/>
          </w:tcPr>
          <w:p>
            <w:pPr>
              <w:spacing w:after="20" w:line="300" w:lineRule="auto"/>
            </w:pPr>
            <w:r>
              <w:rPr>
                <w:rFonts w:ascii="Avenir Next" w:hAnsi="Avenir Next" w:cs="Avenir Next"/>
                <w:b w:val="0"/>
                <w:i w:val="0"/>
                <w:color w:val="000000"/>
                <w:sz w:val="21"/>
              </w:rPr>
              <w:t>"แนวคิดมนุษย์ในวงจรการตัดสินใจ (Human-in-the-Loop, HITL) คือกระบวนการ…"</w:t>
            </w:r>
          </w:p>
        </w:tc>
        <w:tc>
          <w:tcPr>
            <w:tcW w:type="dxa" w:w="2353"/>
          </w:tcPr>
          <w:p>
            <w:pPr>
              <w:spacing w:after="20" w:line="300" w:lineRule="auto"/>
            </w:pPr>
            <w:r>
              <w:rPr>
                <w:rFonts w:ascii="Avenir Next" w:hAnsi="Avenir Next" w:cs="Avenir Next"/>
                <w:b w:val="0"/>
                <w:i w:val="0"/>
                <w:color w:val="000000"/>
                <w:sz w:val="21"/>
              </w:rPr>
              <w:t>Standardise capitalization + add Thai gloss</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"Education Sustainability Rating ตามกรอบ THE Impact Rankings"</w:t>
            </w:r>
          </w:p>
        </w:tc>
        <w:tc>
          <w:tcPr>
            <w:tcW w:type="dxa" w:w="2353"/>
          </w:tcPr>
          <w:p>
            <w:pPr>
              <w:spacing w:after="20" w:line="300" w:lineRule="auto"/>
            </w:pPr>
            <w:r>
              <w:rPr>
                <w:rFonts w:ascii="Avenir Next" w:hAnsi="Avenir Next" w:cs="Avenir Next"/>
                <w:b w:val="0"/>
                <w:i w:val="0"/>
                <w:color w:val="000000"/>
                <w:sz w:val="21"/>
              </w:rPr>
              <w:t>"ตัวชี้วัด THE Impact Rankings (Times Higher Education Impact Rankings; Times Higher Education, 2024)"</w:t>
            </w:r>
          </w:p>
        </w:tc>
        <w:tc>
          <w:tcPr>
            <w:tcW w:type="dxa" w:w="2353"/>
          </w:tcPr>
          <w:p>
            <w:pPr>
              <w:spacing w:after="20" w:line="300" w:lineRule="auto"/>
            </w:pPr>
            <w:r>
              <w:rPr>
                <w:rFonts w:ascii="Avenir Next" w:hAnsi="Avenir Next" w:cs="Avenir Next"/>
                <w:b w:val="0"/>
                <w:i w:val="0"/>
                <w:color w:val="000000"/>
                <w:sz w:val="21"/>
              </w:rPr>
              <w:t>"Education Sustainability Rating" is not a recognized term</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"เวทีเยาวชน SDG ของประเทศไทย"</w:t>
            </w:r>
          </w:p>
        </w:tc>
        <w:tc>
          <w:tcPr>
            <w:tcW w:type="dxa" w:w="2353"/>
          </w:tcPr>
          <w:p>
            <w:pPr>
              <w:spacing w:after="20" w:line="300" w:lineRule="auto"/>
            </w:pPr>
            <w:r>
              <w:rPr>
                <w:rFonts w:ascii="Avenir Next" w:hAnsi="Avenir Next" w:cs="Avenir Next"/>
                <w:b w:val="0"/>
                <w:i w:val="0"/>
                <w:color w:val="000000"/>
                <w:sz w:val="21"/>
              </w:rPr>
              <w:t>"เวทีเยาวชนด้าน SDGs เช่น UNDP Thailand Youth Co:Lab" — or hedge: "เวทีเยาวชนด้าน SDGs ที่จัดในประเทศไทย"</w:t>
            </w:r>
          </w:p>
        </w:tc>
        <w:tc>
          <w:tcPr>
            <w:tcW w:type="dxa" w:w="2353"/>
          </w:tcPr>
          <w:p>
            <w:pPr>
              <w:spacing w:after="20" w:line="300" w:lineRule="auto"/>
            </w:pPr>
            <w:r>
              <w:rPr>
                <w:rFonts w:ascii="Avenir Next" w:hAnsi="Avenir Next" w:cs="Avenir Next"/>
                <w:b w:val="0"/>
                <w:i w:val="0"/>
                <w:color w:val="000000"/>
                <w:sz w:val="21"/>
              </w:rPr>
              <w:t>Be specific OR be honest about hedging</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"TESOL, EuroCALL, AILA และ AsiaTEFL"</w:t>
            </w:r>
          </w:p>
        </w:tc>
        <w:tc>
          <w:tcPr>
            <w:tcW w:type="dxa" w:w="2353"/>
          </w:tcPr>
          <w:p>
            <w:pPr>
              <w:spacing w:after="20" w:line="300" w:lineRule="auto"/>
            </w:pPr>
            <w:r>
              <w:rPr>
                <w:rFonts w:ascii="Avenir Next" w:hAnsi="Avenir Next" w:cs="Avenir Next"/>
                <w:b w:val="0"/>
                <w:i w:val="0"/>
                <w:color w:val="000000"/>
                <w:sz w:val="21"/>
              </w:rPr>
              <w:t>"TESOL International Convention, EuroCALL, AILA World Congress, และ AsiaTEFL Conference"</w:t>
            </w:r>
          </w:p>
        </w:tc>
        <w:tc>
          <w:tcPr>
            <w:tcW w:type="dxa" w:w="2353"/>
          </w:tcPr>
          <w:p>
            <w:pPr>
              <w:spacing w:after="20" w:line="300" w:lineRule="auto"/>
            </w:pPr>
            <w:r>
              <w:rPr>
                <w:rFonts w:ascii="Avenir Next" w:hAnsi="Avenir Next" w:cs="Avenir Next"/>
                <w:b w:val="0"/>
                <w:i w:val="0"/>
                <w:color w:val="000000"/>
                <w:sz w:val="21"/>
              </w:rPr>
              <w:t>Conference full names</w:t>
            </w:r>
          </w:p>
        </w:tc>
      </w:tr>
    </w:tbl>
    <w:p>
      <w:pPr>
        <w:spacing w:before="200" w:after="60"/>
      </w:pPr>
      <w:r>
        <w:rPr>
          <w:rFonts w:ascii="Baskerville" w:hAnsi="Baskerville" w:cs="Baskerville"/>
          <w:b/>
          <w:i w:val="0"/>
          <w:color w:val="000000"/>
          <w:sz w:val="27"/>
        </w:rPr>
        <w:t>3.6 · ส่วนที่ 3 ข้อ 6 — แนวทางต่อยอด</w:t>
      </w:r>
    </w:p>
    <w:tbl>
      <w:tblPr>
        <w:tblW w:type="auto" w:w="0"/>
        <w:jc w:val="left"/>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2353"/>
        <w:gridCol w:w="2353"/>
        <w:gridCol w:w="2353"/>
        <w:gridCol w:w="2353"/>
      </w:tblGrid>
      <w:tr>
        <w:tc>
          <w:tcPr>
            <w:tcW w:type="dxa" w:w="2353"/>
            <w:shd w:val="clear" w:color="auto" w:fill="F4F1EA"/>
          </w:tcPr>
          <w:p>
            <w:pPr>
              <w:spacing w:after="20"/>
            </w:pPr>
            <w:r>
              <w:rPr>
                <w:rFonts w:ascii="Menlo" w:hAnsi="Menlo" w:cs="Menlo"/>
                <w:b/>
                <w:i w:val="0"/>
                <w:color w:val="9C6F1C"/>
                <w:sz w:val="16"/>
                <w:spacing w:val="16"/>
              </w:rPr>
              <w:t>#</w:t>
            </w:r>
          </w:p>
        </w:tc>
        <w:tc>
          <w:tcPr>
            <w:tcW w:type="dxa" w:w="2353"/>
            <w:shd w:val="clear" w:color="auto" w:fill="F4F1EA"/>
          </w:tcPr>
          <w:p>
            <w:pPr>
              <w:spacing w:after="20"/>
            </w:pPr>
            <w:r>
              <w:rPr>
                <w:rFonts w:ascii="Menlo" w:hAnsi="Menlo" w:cs="Menlo"/>
                <w:b/>
                <w:i w:val="0"/>
                <w:color w:val="9C6F1C"/>
                <w:sz w:val="16"/>
                <w:spacing w:val="16"/>
              </w:rPr>
              <w:t>CURRENT</w:t>
            </w:r>
          </w:p>
        </w:tc>
        <w:tc>
          <w:tcPr>
            <w:tcW w:type="dxa" w:w="2353"/>
            <w:shd w:val="clear" w:color="auto" w:fill="F4F1EA"/>
          </w:tcPr>
          <w:p>
            <w:pPr>
              <w:spacing w:after="20"/>
            </w:pPr>
            <w:r>
              <w:rPr>
                <w:rFonts w:ascii="Menlo" w:hAnsi="Menlo" w:cs="Menlo"/>
                <w:b/>
                <w:i w:val="0"/>
                <w:color w:val="9C6F1C"/>
                <w:sz w:val="16"/>
                <w:spacing w:val="16"/>
              </w:rPr>
              <w:t>SUGGESTED REVISION</w:t>
            </w:r>
          </w:p>
        </w:tc>
        <w:tc>
          <w:tcPr>
            <w:tcW w:type="dxa" w:w="2353"/>
            <w:shd w:val="clear" w:color="auto" w:fill="F4F1EA"/>
          </w:tcPr>
          <w:p>
            <w:pPr>
              <w:spacing w:after="20"/>
            </w:pPr>
            <w:r>
              <w:rPr>
                <w:rFonts w:ascii="Menlo" w:hAnsi="Menlo" w:cs="Menlo"/>
                <w:b/>
                <w:i w:val="0"/>
                <w:color w:val="9C6F1C"/>
                <w:sz w:val="16"/>
                <w:spacing w:val="16"/>
              </w:rPr>
              <w:t>NOTE</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"EAP, ESP, EMI, CLIL"</w:t>
            </w:r>
          </w:p>
        </w:tc>
        <w:tc>
          <w:tcPr>
            <w:tcW w:type="dxa" w:w="2353"/>
          </w:tcPr>
          <w:p>
            <w:pPr>
              <w:spacing w:after="20" w:line="300" w:lineRule="auto"/>
            </w:pPr>
            <w:r>
              <w:rPr>
                <w:rFonts w:ascii="Avenir Next" w:hAnsi="Avenir Next" w:cs="Avenir Next"/>
                <w:b w:val="0"/>
                <w:i w:val="0"/>
                <w:color w:val="000000"/>
                <w:sz w:val="21"/>
              </w:rPr>
              <w:t>"English for Academic Purposes (EAP), English for Specific Purposes (ESP), English Medium Instruction (EMI), และ Content and Language Integrated Learning (CLIL; Coyle, Hood, &amp; Marsh, 2010)"</w:t>
            </w:r>
          </w:p>
        </w:tc>
        <w:tc>
          <w:tcPr>
            <w:tcW w:type="dxa" w:w="2353"/>
          </w:tcPr>
          <w:p>
            <w:pPr>
              <w:spacing w:after="20" w:line="300" w:lineRule="auto"/>
            </w:pPr>
            <w:r>
              <w:rPr>
                <w:rFonts w:ascii="Avenir Next" w:hAnsi="Avenir Next" w:cs="Avenir Next"/>
                <w:b w:val="0"/>
                <w:i w:val="0"/>
                <w:color w:val="000000"/>
                <w:sz w:val="21"/>
              </w:rPr>
              <w:t>Expand acronyms; cite CLIL</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"AUN ELT"</w:t>
            </w:r>
          </w:p>
        </w:tc>
        <w:tc>
          <w:tcPr>
            <w:tcW w:type="dxa" w:w="2353"/>
          </w:tcPr>
          <w:p>
            <w:pPr>
              <w:spacing w:after="20" w:line="300" w:lineRule="auto"/>
            </w:pPr>
            <w:r>
              <w:rPr>
                <w:rFonts w:ascii="Avenir Next" w:hAnsi="Avenir Next" w:cs="Avenir Next"/>
                <w:b w:val="0"/>
                <w:i w:val="0"/>
                <w:color w:val="000000"/>
                <w:sz w:val="21"/>
              </w:rPr>
              <w:t>"ASEAN University Network for English Language Teaching (AUN ELT)"</w:t>
            </w:r>
          </w:p>
        </w:tc>
        <w:tc>
          <w:tcPr>
            <w:tcW w:type="dxa" w:w="2353"/>
          </w:tcPr>
          <w:p>
            <w:pPr>
              <w:spacing w:after="20" w:line="300" w:lineRule="auto"/>
            </w:pPr>
            <w:r>
              <w:rPr>
                <w:rFonts w:ascii="Avenir Next" w:hAnsi="Avenir Next" w:cs="Avenir Next"/>
                <w:b w:val="0"/>
                <w:i w:val="0"/>
                <w:color w:val="000000"/>
                <w:sz w:val="21"/>
              </w:rPr>
              <w:t>Expand acronym</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"Scopus/Web of Science"</w:t>
            </w:r>
          </w:p>
        </w:tc>
        <w:tc>
          <w:tcPr>
            <w:tcW w:type="dxa" w:w="2353"/>
          </w:tcPr>
          <w:p>
            <w:pPr>
              <w:spacing w:after="20" w:line="300" w:lineRule="auto"/>
            </w:pPr>
            <w:r>
              <w:rPr>
                <w:rFonts w:ascii="Avenir Next" w:hAnsi="Avenir Next" w:cs="Avenir Next"/>
                <w:b w:val="0"/>
                <w:i w:val="0"/>
                <w:color w:val="000000"/>
                <w:sz w:val="21"/>
              </w:rPr>
              <w:t>"ฐานข้อมูล Scopus และ Web of Science"</w:t>
            </w:r>
          </w:p>
        </w:tc>
        <w:tc>
          <w:tcPr>
            <w:tcW w:type="dxa" w:w="2353"/>
          </w:tcPr>
          <w:p>
            <w:pPr>
              <w:spacing w:after="20" w:line="300" w:lineRule="auto"/>
            </w:pPr>
            <w:r>
              <w:rPr>
                <w:rFonts w:ascii="Avenir Next" w:hAnsi="Avenir Next" w:cs="Avenir Next"/>
                <w:b w:val="0"/>
                <w:i w:val="0"/>
                <w:color w:val="000000"/>
                <w:sz w:val="21"/>
              </w:rPr>
              <w:t>Thai grammatical particle</w:t>
            </w:r>
          </w:p>
        </w:tc>
      </w:tr>
    </w:tbl>
    <w:p>
      <w:pPr>
        <w:spacing w:before="200" w:after="60"/>
      </w:pPr>
      <w:r>
        <w:rPr>
          <w:rFonts w:ascii="Baskerville" w:hAnsi="Baskerville" w:cs="Baskerville"/>
          <w:b/>
          <w:i w:val="0"/>
          <w:color w:val="000000"/>
          <w:sz w:val="27"/>
        </w:rPr>
        <w:t>4.1 · ส่วนที่ 4 ข้อ 1 — วิธีการใช้</w:t>
      </w:r>
    </w:p>
    <w:tbl>
      <w:tblPr>
        <w:tblW w:type="auto" w:w="0"/>
        <w:jc w:val="left"/>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2353"/>
        <w:gridCol w:w="2353"/>
        <w:gridCol w:w="2353"/>
        <w:gridCol w:w="2353"/>
      </w:tblGrid>
      <w:tr>
        <w:tc>
          <w:tcPr>
            <w:tcW w:type="dxa" w:w="2353"/>
            <w:shd w:val="clear" w:color="auto" w:fill="F4F1EA"/>
          </w:tcPr>
          <w:p>
            <w:pPr>
              <w:spacing w:after="20"/>
            </w:pPr>
            <w:r>
              <w:rPr>
                <w:rFonts w:ascii="Menlo" w:hAnsi="Menlo" w:cs="Menlo"/>
                <w:b/>
                <w:i w:val="0"/>
                <w:color w:val="9C6F1C"/>
                <w:sz w:val="16"/>
                <w:spacing w:val="16"/>
              </w:rPr>
              <w:t>#</w:t>
            </w:r>
          </w:p>
        </w:tc>
        <w:tc>
          <w:tcPr>
            <w:tcW w:type="dxa" w:w="2353"/>
            <w:shd w:val="clear" w:color="auto" w:fill="F4F1EA"/>
          </w:tcPr>
          <w:p>
            <w:pPr>
              <w:spacing w:after="20"/>
            </w:pPr>
            <w:r>
              <w:rPr>
                <w:rFonts w:ascii="Menlo" w:hAnsi="Menlo" w:cs="Menlo"/>
                <w:b/>
                <w:i w:val="0"/>
                <w:color w:val="9C6F1C"/>
                <w:sz w:val="16"/>
                <w:spacing w:val="16"/>
              </w:rPr>
              <w:t>CURRENT</w:t>
            </w:r>
          </w:p>
        </w:tc>
        <w:tc>
          <w:tcPr>
            <w:tcW w:type="dxa" w:w="2353"/>
            <w:shd w:val="clear" w:color="auto" w:fill="F4F1EA"/>
          </w:tcPr>
          <w:p>
            <w:pPr>
              <w:spacing w:after="20"/>
            </w:pPr>
            <w:r>
              <w:rPr>
                <w:rFonts w:ascii="Menlo" w:hAnsi="Menlo" w:cs="Menlo"/>
                <w:b/>
                <w:i w:val="0"/>
                <w:color w:val="9C6F1C"/>
                <w:sz w:val="16"/>
                <w:spacing w:val="16"/>
              </w:rPr>
              <w:t>SUGGESTED REVISION</w:t>
            </w:r>
          </w:p>
        </w:tc>
        <w:tc>
          <w:tcPr>
            <w:tcW w:type="dxa" w:w="2353"/>
            <w:shd w:val="clear" w:color="auto" w:fill="F4F1EA"/>
          </w:tcPr>
          <w:p>
            <w:pPr>
              <w:spacing w:after="20"/>
            </w:pPr>
            <w:r>
              <w:rPr>
                <w:rFonts w:ascii="Menlo" w:hAnsi="Menlo" w:cs="Menlo"/>
                <w:b/>
                <w:i w:val="0"/>
                <w:color w:val="9C6F1C"/>
                <w:sz w:val="16"/>
                <w:spacing w:val="16"/>
              </w:rPr>
              <w:t>NOTE</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"ขั้นตอนที่ ๖" (alone uses Thai numeral; others use Arabic)</w:t>
            </w:r>
          </w:p>
        </w:tc>
        <w:tc>
          <w:tcPr>
            <w:tcW w:type="dxa" w:w="2353"/>
          </w:tcPr>
          <w:p>
            <w:pPr>
              <w:spacing w:after="20" w:line="300" w:lineRule="auto"/>
            </w:pPr>
            <w:r>
              <w:rPr>
                <w:rFonts w:ascii="Avenir Next" w:hAnsi="Avenir Next" w:cs="Avenir Next"/>
                <w:b w:val="0"/>
                <w:i w:val="0"/>
                <w:color w:val="000000"/>
                <w:sz w:val="21"/>
              </w:rPr>
              <w:t>Make all step numbers Thai or all Arabic — pick one</w:t>
            </w:r>
          </w:p>
        </w:tc>
        <w:tc>
          <w:tcPr>
            <w:tcW w:type="dxa" w:w="2353"/>
          </w:tcPr>
          <w:p>
            <w:pPr>
              <w:spacing w:after="20" w:line="300" w:lineRule="auto"/>
            </w:pPr>
            <w:r>
              <w:rPr>
                <w:rFonts w:ascii="Avenir Next" w:hAnsi="Avenir Next" w:cs="Avenir Next"/>
                <w:b w:val="0"/>
                <w:i w:val="0"/>
                <w:color w:val="000000"/>
                <w:sz w:val="21"/>
              </w:rPr>
              <w:t>Consistency</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"Stability.ai"</w:t>
            </w:r>
          </w:p>
        </w:tc>
        <w:tc>
          <w:tcPr>
            <w:tcW w:type="dxa" w:w="2353"/>
          </w:tcPr>
          <w:p>
            <w:pPr>
              <w:spacing w:after="20" w:line="300" w:lineRule="auto"/>
            </w:pPr>
            <w:r>
              <w:rPr>
                <w:rFonts w:ascii="Avenir Next" w:hAnsi="Avenir Next" w:cs="Avenir Next"/>
                <w:b w:val="0"/>
                <w:i w:val="0"/>
                <w:color w:val="000000"/>
                <w:sz w:val="21"/>
              </w:rPr>
              <w:t>"Stability AI (แพลตฟอร์มสร้างภาพด้วย AI)"</w:t>
            </w:r>
          </w:p>
        </w:tc>
        <w:tc>
          <w:tcPr>
            <w:tcW w:type="dxa" w:w="2353"/>
          </w:tcPr>
          <w:p>
            <w:pPr>
              <w:spacing w:after="20" w:line="300" w:lineRule="auto"/>
            </w:pPr>
            <w:r>
              <w:rPr>
                <w:rFonts w:ascii="Avenir Next" w:hAnsi="Avenir Next" w:cs="Avenir Next"/>
                <w:b w:val="0"/>
                <w:i w:val="0"/>
                <w:color w:val="000000"/>
                <w:sz w:val="21"/>
              </w:rPr>
              <w:t>Punctuation; first-mention gloss</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"Web Speech API"</w:t>
            </w:r>
          </w:p>
        </w:tc>
        <w:tc>
          <w:tcPr>
            <w:tcW w:type="dxa" w:w="2353"/>
          </w:tcPr>
          <w:p>
            <w:pPr>
              <w:spacing w:after="20" w:line="300" w:lineRule="auto"/>
            </w:pPr>
            <w:r>
              <w:rPr>
                <w:rFonts w:ascii="Avenir Next" w:hAnsi="Avenir Next" w:cs="Avenir Next"/>
                <w:b w:val="0"/>
                <w:i w:val="0"/>
                <w:color w:val="000000"/>
                <w:sz w:val="21"/>
              </w:rPr>
              <w:t>"Web Speech API (สำหรับการถอดเสียงเป็นข้อความแบบเรียลไทม์)"</w:t>
            </w:r>
          </w:p>
        </w:tc>
        <w:tc>
          <w:tcPr>
            <w:tcW w:type="dxa" w:w="2353"/>
          </w:tcPr>
          <w:p>
            <w:pPr>
              <w:spacing w:after="20" w:line="300" w:lineRule="auto"/>
            </w:pPr>
            <w:r>
              <w:rPr>
                <w:rFonts w:ascii="Avenir Next" w:hAnsi="Avenir Next" w:cs="Avenir Next"/>
                <w:b w:val="0"/>
                <w:i w:val="0"/>
                <w:color w:val="000000"/>
                <w:sz w:val="21"/>
              </w:rPr>
              <w:t>Gloss for non-technical readers</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Steps 5.1–5.5 (BRIEF/PROBE/etc.)</w:t>
            </w:r>
          </w:p>
        </w:tc>
        <w:tc>
          <w:tcPr>
            <w:tcW w:type="dxa" w:w="2353"/>
          </w:tcPr>
          <w:p>
            <w:pPr>
              <w:spacing w:after="20" w:line="300" w:lineRule="auto"/>
            </w:pPr>
            <w:r>
              <w:rPr>
                <w:rFonts w:ascii="Avenir Next" w:hAnsi="Avenir Next" w:cs="Avenir Next"/>
                <w:b w:val="0"/>
                <w:i w:val="0"/>
                <w:color w:val="000000"/>
                <w:sz w:val="21"/>
              </w:rPr>
              <w:t>Strong as-is</w:t>
            </w:r>
          </w:p>
        </w:tc>
        <w:tc>
          <w:tcPr>
            <w:tcW w:type="dxa" w:w="2353"/>
          </w:tcPr>
          <w:p>
            <w:pPr>
              <w:spacing w:after="20" w:line="300" w:lineRule="auto"/>
            </w:pPr>
            <w:r>
              <w:rPr>
                <w:rFonts w:ascii="Avenir Next" w:hAnsi="Avenir Next" w:cs="Avenir Next"/>
                <w:b w:val="0"/>
                <w:i w:val="0"/>
                <w:color w:val="000000"/>
                <w:sz w:val="21"/>
              </w:rPr>
              <w:t>None</w:t>
            </w:r>
          </w:p>
        </w:tc>
      </w:tr>
    </w:tbl>
    <w:p>
      <w:pPr>
        <w:spacing w:before="200" w:after="60"/>
      </w:pPr>
      <w:r>
        <w:rPr>
          <w:rFonts w:ascii="Baskerville" w:hAnsi="Baskerville" w:cs="Baskerville"/>
          <w:b/>
          <w:i w:val="0"/>
          <w:color w:val="000000"/>
          <w:sz w:val="27"/>
        </w:rPr>
        <w:t>4.2 · ส่วนที่ 4 ข้อ 2 — ระยะเวลา</w:t>
      </w:r>
    </w:p>
    <w:tbl>
      <w:tblPr>
        <w:tblW w:type="auto" w:w="0"/>
        <w:jc w:val="left"/>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2353"/>
        <w:gridCol w:w="2353"/>
        <w:gridCol w:w="2353"/>
        <w:gridCol w:w="2353"/>
      </w:tblGrid>
      <w:tr>
        <w:tc>
          <w:tcPr>
            <w:tcW w:type="dxa" w:w="2353"/>
            <w:shd w:val="clear" w:color="auto" w:fill="F4F1EA"/>
          </w:tcPr>
          <w:p>
            <w:pPr>
              <w:spacing w:after="20"/>
            </w:pPr>
            <w:r>
              <w:rPr>
                <w:rFonts w:ascii="Menlo" w:hAnsi="Menlo" w:cs="Menlo"/>
                <w:b/>
                <w:i w:val="0"/>
                <w:color w:val="9C6F1C"/>
                <w:sz w:val="16"/>
                <w:spacing w:val="16"/>
              </w:rPr>
              <w:t>#</w:t>
            </w:r>
          </w:p>
        </w:tc>
        <w:tc>
          <w:tcPr>
            <w:tcW w:type="dxa" w:w="2353"/>
            <w:shd w:val="clear" w:color="auto" w:fill="F4F1EA"/>
          </w:tcPr>
          <w:p>
            <w:pPr>
              <w:spacing w:after="20"/>
            </w:pPr>
            <w:r>
              <w:rPr>
                <w:rFonts w:ascii="Menlo" w:hAnsi="Menlo" w:cs="Menlo"/>
                <w:b/>
                <w:i w:val="0"/>
                <w:color w:val="9C6F1C"/>
                <w:sz w:val="16"/>
                <w:spacing w:val="16"/>
              </w:rPr>
              <w:t>CURRENT</w:t>
            </w:r>
          </w:p>
        </w:tc>
        <w:tc>
          <w:tcPr>
            <w:tcW w:type="dxa" w:w="2353"/>
            <w:shd w:val="clear" w:color="auto" w:fill="F4F1EA"/>
          </w:tcPr>
          <w:p>
            <w:pPr>
              <w:spacing w:after="20"/>
            </w:pPr>
            <w:r>
              <w:rPr>
                <w:rFonts w:ascii="Menlo" w:hAnsi="Menlo" w:cs="Menlo"/>
                <w:b/>
                <w:i w:val="0"/>
                <w:color w:val="9C6F1C"/>
                <w:sz w:val="16"/>
                <w:spacing w:val="16"/>
              </w:rPr>
              <w:t>SUGGESTED REVISION</w:t>
            </w:r>
          </w:p>
        </w:tc>
        <w:tc>
          <w:tcPr>
            <w:tcW w:type="dxa" w:w="2353"/>
            <w:shd w:val="clear" w:color="auto" w:fill="F4F1EA"/>
          </w:tcPr>
          <w:p>
            <w:pPr>
              <w:spacing w:after="20"/>
            </w:pPr>
            <w:r>
              <w:rPr>
                <w:rFonts w:ascii="Menlo" w:hAnsi="Menlo" w:cs="Menlo"/>
                <w:b/>
                <w:i w:val="0"/>
                <w:color w:val="9C6F1C"/>
                <w:sz w:val="16"/>
                <w:spacing w:val="16"/>
              </w:rPr>
              <w:t>NOTE</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"9ชั่วโมงต่อสัปดาห์"</w:t>
            </w:r>
          </w:p>
        </w:tc>
        <w:tc>
          <w:tcPr>
            <w:tcW w:type="dxa" w:w="2353"/>
          </w:tcPr>
          <w:p>
            <w:pPr>
              <w:spacing w:after="20" w:line="300" w:lineRule="auto"/>
            </w:pPr>
            <w:r>
              <w:rPr>
                <w:rFonts w:ascii="Avenir Next" w:hAnsi="Avenir Next" w:cs="Avenir Next"/>
                <w:b w:val="0"/>
                <w:i w:val="0"/>
                <w:color w:val="000000"/>
                <w:sz w:val="21"/>
              </w:rPr>
              <w:t>"๙ ชั่วโมงต่อสัปดาห์"</w:t>
            </w:r>
          </w:p>
        </w:tc>
        <w:tc>
          <w:tcPr>
            <w:tcW w:type="dxa" w:w="2353"/>
          </w:tcPr>
          <w:p>
            <w:pPr>
              <w:spacing w:after="20" w:line="300" w:lineRule="auto"/>
            </w:pPr>
            <w:r>
              <w:rPr>
                <w:rFonts w:ascii="Avenir Next" w:hAnsi="Avenir Next" w:cs="Avenir Next"/>
                <w:b w:val="0"/>
                <w:i w:val="0"/>
                <w:color w:val="000000"/>
                <w:sz w:val="21"/>
              </w:rPr>
              <w:t>Missing space; numeral consistency</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"บวก 15% (สอบปฏิบัติชั้นเรียนเพิ่มเติม)"</w:t>
            </w:r>
          </w:p>
        </w:tc>
        <w:tc>
          <w:tcPr>
            <w:tcW w:type="dxa" w:w="2353"/>
          </w:tcPr>
          <w:p>
            <w:pPr>
              <w:spacing w:after="20" w:line="300" w:lineRule="auto"/>
            </w:pPr>
            <w:r>
              <w:rPr>
                <w:rFonts w:ascii="Avenir Next" w:hAnsi="Avenir Next" w:cs="Avenir Next"/>
                <w:b w:val="0"/>
                <w:i w:val="0"/>
                <w:color w:val="000000"/>
                <w:sz w:val="21"/>
              </w:rPr>
              <w:t>"บวกกับ ๑๕% จากการสอบปฏิบัติในชั้นเรียนเพิ่มเติม"</w:t>
            </w:r>
          </w:p>
        </w:tc>
        <w:tc>
          <w:tcPr>
            <w:tcW w:type="dxa" w:w="2353"/>
          </w:tcPr>
          <w:p>
            <w:pPr>
              <w:spacing w:after="20" w:line="300" w:lineRule="auto"/>
            </w:pPr>
            <w:r>
              <w:rPr>
                <w:rFonts w:ascii="Avenir Next" w:hAnsi="Avenir Next" w:cs="Avenir Next"/>
                <w:b w:val="0"/>
                <w:i w:val="0"/>
                <w:color w:val="000000"/>
                <w:sz w:val="21"/>
              </w:rPr>
              <w:t>Smoother phrasing</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"เรียนรู้-ค้นคว้าด้วยตนเอง"</w:t>
            </w:r>
          </w:p>
        </w:tc>
        <w:tc>
          <w:tcPr>
            <w:tcW w:type="dxa" w:w="2353"/>
          </w:tcPr>
          <w:p>
            <w:pPr>
              <w:spacing w:after="20" w:line="300" w:lineRule="auto"/>
            </w:pPr>
            <w:r>
              <w:rPr>
                <w:rFonts w:ascii="Avenir Next" w:hAnsi="Avenir Next" w:cs="Avenir Next"/>
                <w:b w:val="0"/>
                <w:i w:val="0"/>
                <w:color w:val="000000"/>
                <w:sz w:val="21"/>
              </w:rPr>
              <w:t>"การเรียนรู้และค้นคว้าด้วยตนเอง"</w:t>
            </w:r>
          </w:p>
        </w:tc>
        <w:tc>
          <w:tcPr>
            <w:tcW w:type="dxa" w:w="2353"/>
          </w:tcPr>
          <w:p>
            <w:pPr>
              <w:spacing w:after="20" w:line="300" w:lineRule="auto"/>
            </w:pPr>
            <w:r>
              <w:rPr>
                <w:rFonts w:ascii="Avenir Next" w:hAnsi="Avenir Next" w:cs="Avenir Next"/>
                <w:b w:val="0"/>
                <w:i w:val="0"/>
                <w:color w:val="000000"/>
                <w:sz w:val="21"/>
              </w:rPr>
              <w:t>Hyphen → conjunction</w:t>
            </w:r>
          </w:p>
        </w:tc>
      </w:tr>
    </w:tbl>
    <w:p>
      <w:pPr>
        <w:spacing w:before="200" w:after="60"/>
      </w:pPr>
      <w:r>
        <w:rPr>
          <w:rFonts w:ascii="Baskerville" w:hAnsi="Baskerville" w:cs="Baskerville"/>
          <w:b/>
          <w:i w:val="0"/>
          <w:color w:val="000000"/>
          <w:sz w:val="27"/>
        </w:rPr>
        <w:t>5.1 · ส่วนที่ 5 ข้อ 1 — ผลลัพธ์</w:t>
      </w:r>
    </w:p>
    <w:tbl>
      <w:tblPr>
        <w:tblW w:type="auto" w:w="0"/>
        <w:jc w:val="left"/>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2353"/>
        <w:gridCol w:w="2353"/>
        <w:gridCol w:w="2353"/>
        <w:gridCol w:w="2353"/>
      </w:tblGrid>
      <w:tr>
        <w:tc>
          <w:tcPr>
            <w:tcW w:type="dxa" w:w="2353"/>
            <w:shd w:val="clear" w:color="auto" w:fill="F4F1EA"/>
          </w:tcPr>
          <w:p>
            <w:pPr>
              <w:spacing w:after="20"/>
            </w:pPr>
            <w:r>
              <w:rPr>
                <w:rFonts w:ascii="Menlo" w:hAnsi="Menlo" w:cs="Menlo"/>
                <w:b/>
                <w:i w:val="0"/>
                <w:color w:val="9C6F1C"/>
                <w:sz w:val="16"/>
                <w:spacing w:val="16"/>
              </w:rPr>
              <w:t>#</w:t>
            </w:r>
          </w:p>
        </w:tc>
        <w:tc>
          <w:tcPr>
            <w:tcW w:type="dxa" w:w="2353"/>
            <w:shd w:val="clear" w:color="auto" w:fill="F4F1EA"/>
          </w:tcPr>
          <w:p>
            <w:pPr>
              <w:spacing w:after="20"/>
            </w:pPr>
            <w:r>
              <w:rPr>
                <w:rFonts w:ascii="Menlo" w:hAnsi="Menlo" w:cs="Menlo"/>
                <w:b/>
                <w:i w:val="0"/>
                <w:color w:val="9C6F1C"/>
                <w:sz w:val="16"/>
                <w:spacing w:val="16"/>
              </w:rPr>
              <w:t>CURRENT</w:t>
            </w:r>
          </w:p>
        </w:tc>
        <w:tc>
          <w:tcPr>
            <w:tcW w:type="dxa" w:w="2353"/>
            <w:shd w:val="clear" w:color="auto" w:fill="F4F1EA"/>
          </w:tcPr>
          <w:p>
            <w:pPr>
              <w:spacing w:after="20"/>
            </w:pPr>
            <w:r>
              <w:rPr>
                <w:rFonts w:ascii="Menlo" w:hAnsi="Menlo" w:cs="Menlo"/>
                <w:b/>
                <w:i w:val="0"/>
                <w:color w:val="9C6F1C"/>
                <w:sz w:val="16"/>
                <w:spacing w:val="16"/>
              </w:rPr>
              <w:t>SUGGESTED REVISION</w:t>
            </w:r>
          </w:p>
        </w:tc>
        <w:tc>
          <w:tcPr>
            <w:tcW w:type="dxa" w:w="2353"/>
            <w:shd w:val="clear" w:color="auto" w:fill="F4F1EA"/>
          </w:tcPr>
          <w:p>
            <w:pPr>
              <w:spacing w:after="20"/>
            </w:pPr>
            <w:r>
              <w:rPr>
                <w:rFonts w:ascii="Menlo" w:hAnsi="Menlo" w:cs="Menlo"/>
                <w:b/>
                <w:i w:val="0"/>
                <w:color w:val="9C6F1C"/>
                <w:sz w:val="16"/>
                <w:spacing w:val="16"/>
              </w:rPr>
              <w:t>NOTE</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"ตอบโจทย์แบบทดสอบ" (×2)</w:t>
            </w:r>
          </w:p>
        </w:tc>
        <w:tc>
          <w:tcPr>
            <w:tcW w:type="dxa" w:w="2353"/>
          </w:tcPr>
          <w:p>
            <w:pPr>
              <w:spacing w:after="20" w:line="300" w:lineRule="auto"/>
            </w:pPr>
            <w:r>
              <w:rPr>
                <w:rFonts w:ascii="Avenir Next" w:hAnsi="Avenir Next" w:cs="Avenir Next"/>
                <w:b w:val="0"/>
                <w:i w:val="0"/>
                <w:color w:val="000000"/>
                <w:sz w:val="21"/>
              </w:rPr>
              <w:t>"ตอบคำถามในแบบทดสอบ"</w:t>
            </w:r>
          </w:p>
        </w:tc>
        <w:tc>
          <w:tcPr>
            <w:tcW w:type="dxa" w:w="2353"/>
          </w:tcPr>
          <w:p>
            <w:pPr>
              <w:spacing w:after="20" w:line="300" w:lineRule="auto"/>
            </w:pPr>
            <w:r>
              <w:rPr>
                <w:rFonts w:ascii="Avenir Next" w:hAnsi="Avenir Next" w:cs="Avenir Next"/>
                <w:b w:val="0"/>
                <w:i w:val="0"/>
                <w:color w:val="000000"/>
                <w:sz w:val="21"/>
              </w:rPr>
              <w:t>"ตอบโจทย์" is conversational</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"(ผู้ลัพธ์ที่ 5) … กรอบ 21st Century Skills ของ Partnership for 21st Century Learning"</w:t>
            </w:r>
          </w:p>
        </w:tc>
        <w:tc>
          <w:tcPr>
            <w:tcW w:type="dxa" w:w="2353"/>
          </w:tcPr>
          <w:p>
            <w:pPr>
              <w:spacing w:after="20" w:line="300" w:lineRule="auto"/>
            </w:pPr>
            <w:r>
              <w:rPr>
                <w:rFonts w:ascii="Avenir Next" w:hAnsi="Avenir Next" w:cs="Avenir Next"/>
                <w:b w:val="0"/>
                <w:i w:val="0"/>
                <w:color w:val="000000"/>
                <w:sz w:val="21"/>
              </w:rPr>
              <w:t>"…กรอบทักษะแห่งศตวรรษที่ ๒๑ (21st Century Skills Framework; Partnership for 21st Century Learning [P21], 2019)"</w:t>
            </w:r>
          </w:p>
        </w:tc>
        <w:tc>
          <w:tcPr>
            <w:tcW w:type="dxa" w:w="2353"/>
          </w:tcPr>
          <w:p>
            <w:pPr>
              <w:spacing w:after="20" w:line="300" w:lineRule="auto"/>
            </w:pPr>
            <w:r>
              <w:rPr>
                <w:rFonts w:ascii="Avenir Next" w:hAnsi="Avenir Next" w:cs="Avenir Next"/>
                <w:b w:val="0"/>
                <w:i w:val="0"/>
                <w:color w:val="000000"/>
                <w:sz w:val="21"/>
              </w:rPr>
              <w:t>Thai gloss + citation; note P21 is now hosted by Battelle for Kids</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"ผลลัพธ์ที่ 6 — … Mahidol University Core Values (M-A-H-I-D-O-L)"</w:t>
            </w:r>
          </w:p>
        </w:tc>
        <w:tc>
          <w:tcPr>
            <w:tcW w:type="dxa" w:w="2353"/>
          </w:tcPr>
          <w:p>
            <w:pPr>
              <w:spacing w:after="20" w:line="300" w:lineRule="auto"/>
            </w:pPr>
            <w:r>
              <w:rPr>
                <w:rFonts w:ascii="Avenir Next" w:hAnsi="Avenir Next" w:cs="Avenir Next"/>
                <w:b w:val="0"/>
                <w:i w:val="0"/>
                <w:color w:val="000000"/>
                <w:sz w:val="21"/>
              </w:rPr>
              <w:t>Verify the M-A-H-I-D-O-L acronym matches the current official MU values</w:t>
            </w:r>
          </w:p>
        </w:tc>
        <w:tc>
          <w:tcPr>
            <w:tcW w:type="dxa" w:w="2353"/>
          </w:tcPr>
          <w:p>
            <w:pPr>
              <w:spacing w:after="20" w:line="300" w:lineRule="auto"/>
            </w:pPr>
            <w:r>
              <w:rPr>
                <w:rFonts w:ascii="Avenir Next" w:hAnsi="Avenir Next" w:cs="Avenir Next"/>
                <w:b w:val="0"/>
                <w:i w:val="0"/>
                <w:color w:val="000000"/>
                <w:sz w:val="21"/>
              </w:rPr>
              <w:t>If unsure, cite the source URL or remove</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"ผลลัพธ์ที่ 8 — Public Voice"</w:t>
            </w:r>
          </w:p>
        </w:tc>
        <w:tc>
          <w:tcPr>
            <w:tcW w:type="dxa" w:w="2353"/>
          </w:tcPr>
          <w:p>
            <w:pPr>
              <w:spacing w:after="20" w:line="300" w:lineRule="auto"/>
            </w:pPr>
            <w:r>
              <w:rPr>
                <w:rFonts w:ascii="Avenir Next" w:hAnsi="Avenir Next" w:cs="Avenir Next"/>
                <w:b w:val="0"/>
                <w:i w:val="0"/>
                <w:color w:val="000000"/>
                <w:sz w:val="21"/>
              </w:rPr>
              <w:t>Strong claim; keep as-is</w:t>
            </w:r>
          </w:p>
        </w:tc>
        <w:tc>
          <w:tcPr>
            <w:tcW w:type="dxa" w:w="2353"/>
          </w:tcPr>
          <w:p>
            <w:pPr>
              <w:spacing w:after="20" w:line="300" w:lineRule="auto"/>
            </w:pPr>
            <w:r>
              <w:rPr>
                <w:rFonts w:ascii="Avenir Next" w:hAnsi="Avenir Next" w:cs="Avenir Next"/>
                <w:b w:val="0"/>
                <w:i w:val="0"/>
                <w:color w:val="000000"/>
                <w:sz w:val="21"/>
              </w:rPr>
              <w:t>None</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"Verified Credential" (ผลลัพธ์ที่ 9)</w:t>
            </w:r>
          </w:p>
        </w:tc>
        <w:tc>
          <w:tcPr>
            <w:tcW w:type="dxa" w:w="2353"/>
          </w:tcPr>
          <w:p>
            <w:pPr>
              <w:spacing w:after="20" w:line="300" w:lineRule="auto"/>
            </w:pPr>
            <w:r>
              <w:rPr>
                <w:rFonts w:ascii="Avenir Next" w:hAnsi="Avenir Next" w:cs="Avenir Next"/>
                <w:b w:val="0"/>
                <w:i w:val="0"/>
                <w:color w:val="000000"/>
                <w:sz w:val="21"/>
              </w:rPr>
              <w:t>"ใบรับรองดิจิทัล (Verified Credential)"</w:t>
            </w:r>
          </w:p>
        </w:tc>
        <w:tc>
          <w:tcPr>
            <w:tcW w:type="dxa" w:w="2353"/>
          </w:tcPr>
          <w:p>
            <w:pPr>
              <w:spacing w:after="20" w:line="300" w:lineRule="auto"/>
            </w:pPr>
            <w:r>
              <w:rPr>
                <w:rFonts w:ascii="Avenir Next" w:hAnsi="Avenir Next" w:cs="Avenir Next"/>
                <w:b w:val="0"/>
                <w:i w:val="0"/>
                <w:color w:val="000000"/>
                <w:sz w:val="21"/>
              </w:rPr>
              <w:t>First-mention gloss</w:t>
            </w:r>
          </w:p>
        </w:tc>
      </w:tr>
    </w:tbl>
    <w:p>
      <w:pPr>
        <w:spacing w:before="200" w:after="60"/>
      </w:pPr>
      <w:r>
        <w:rPr>
          <w:rFonts w:ascii="Baskerville" w:hAnsi="Baskerville" w:cs="Baskerville"/>
          <w:b/>
          <w:i w:val="0"/>
          <w:color w:val="000000"/>
          <w:sz w:val="27"/>
        </w:rPr>
        <w:t>5.2 · ส่วนที่ 5 ข้อ 2 — ข้อเสนอแนะ</w:t>
      </w:r>
    </w:p>
    <w:tbl>
      <w:tblPr>
        <w:tblW w:type="auto" w:w="0"/>
        <w:jc w:val="left"/>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2353"/>
        <w:gridCol w:w="2353"/>
        <w:gridCol w:w="2353"/>
        <w:gridCol w:w="2353"/>
      </w:tblGrid>
      <w:tr>
        <w:tc>
          <w:tcPr>
            <w:tcW w:type="dxa" w:w="2353"/>
            <w:shd w:val="clear" w:color="auto" w:fill="F4F1EA"/>
          </w:tcPr>
          <w:p>
            <w:pPr>
              <w:spacing w:after="20"/>
            </w:pPr>
            <w:r>
              <w:rPr>
                <w:rFonts w:ascii="Menlo" w:hAnsi="Menlo" w:cs="Menlo"/>
                <w:b/>
                <w:i w:val="0"/>
                <w:color w:val="9C6F1C"/>
                <w:sz w:val="16"/>
                <w:spacing w:val="16"/>
              </w:rPr>
              <w:t>#</w:t>
            </w:r>
          </w:p>
        </w:tc>
        <w:tc>
          <w:tcPr>
            <w:tcW w:type="dxa" w:w="2353"/>
            <w:shd w:val="clear" w:color="auto" w:fill="F4F1EA"/>
          </w:tcPr>
          <w:p>
            <w:pPr>
              <w:spacing w:after="20"/>
            </w:pPr>
            <w:r>
              <w:rPr>
                <w:rFonts w:ascii="Menlo" w:hAnsi="Menlo" w:cs="Menlo"/>
                <w:b/>
                <w:i w:val="0"/>
                <w:color w:val="9C6F1C"/>
                <w:sz w:val="16"/>
                <w:spacing w:val="16"/>
              </w:rPr>
              <w:t>CURRENT</w:t>
            </w:r>
          </w:p>
        </w:tc>
        <w:tc>
          <w:tcPr>
            <w:tcW w:type="dxa" w:w="2353"/>
            <w:shd w:val="clear" w:color="auto" w:fill="F4F1EA"/>
          </w:tcPr>
          <w:p>
            <w:pPr>
              <w:spacing w:after="20"/>
            </w:pPr>
            <w:r>
              <w:rPr>
                <w:rFonts w:ascii="Menlo" w:hAnsi="Menlo" w:cs="Menlo"/>
                <w:b/>
                <w:i w:val="0"/>
                <w:color w:val="9C6F1C"/>
                <w:sz w:val="16"/>
                <w:spacing w:val="16"/>
              </w:rPr>
              <w:t>SUGGESTED REVISION</w:t>
            </w:r>
          </w:p>
        </w:tc>
        <w:tc>
          <w:tcPr>
            <w:tcW w:type="dxa" w:w="2353"/>
            <w:shd w:val="clear" w:color="auto" w:fill="F4F1EA"/>
          </w:tcPr>
          <w:p>
            <w:pPr>
              <w:spacing w:after="20"/>
            </w:pPr>
            <w:r>
              <w:rPr>
                <w:rFonts w:ascii="Menlo" w:hAnsi="Menlo" w:cs="Menlo"/>
                <w:b/>
                <w:i w:val="0"/>
                <w:color w:val="9C6F1C"/>
                <w:sz w:val="16"/>
                <w:spacing w:val="16"/>
              </w:rPr>
              <w:t>NOTE</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"Creative Commons (CC-BY-SA)"</w:t>
            </w:r>
          </w:p>
        </w:tc>
        <w:tc>
          <w:tcPr>
            <w:tcW w:type="dxa" w:w="2353"/>
          </w:tcPr>
          <w:p>
            <w:pPr>
              <w:spacing w:after="20" w:line="300" w:lineRule="auto"/>
            </w:pPr>
            <w:r>
              <w:rPr>
                <w:rFonts w:ascii="Avenir Next" w:hAnsi="Avenir Next" w:cs="Avenir Next"/>
                <w:b w:val="0"/>
                <w:i w:val="0"/>
                <w:color w:val="000000"/>
                <w:sz w:val="21"/>
              </w:rPr>
              <w:t>"สัญญาอนุญาต Creative Commons แบบ Attribution-ShareAlike (CC BY-SA 4.0)"</w:t>
            </w:r>
          </w:p>
        </w:tc>
        <w:tc>
          <w:tcPr>
            <w:tcW w:type="dxa" w:w="2353"/>
          </w:tcPr>
          <w:p>
            <w:pPr>
              <w:spacing w:after="20" w:line="300" w:lineRule="auto"/>
            </w:pPr>
            <w:r>
              <w:rPr>
                <w:rFonts w:ascii="Avenir Next" w:hAnsi="Avenir Next" w:cs="Avenir Next"/>
                <w:b w:val="0"/>
                <w:i w:val="0"/>
                <w:color w:val="000000"/>
                <w:sz w:val="21"/>
              </w:rPr>
              <w:t>Specify version</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(8) PDPA + Claude API external-processing disclosure</w:t>
            </w:r>
          </w:p>
        </w:tc>
        <w:tc>
          <w:tcPr>
            <w:tcW w:type="dxa" w:w="2353"/>
          </w:tcPr>
          <w:p>
            <w:pPr>
              <w:spacing w:after="20" w:line="300" w:lineRule="auto"/>
            </w:pPr>
            <w:r>
              <w:rPr>
                <w:rFonts w:ascii="Avenir Next" w:hAnsi="Avenir Next" w:cs="Avenir Next"/>
                <w:b w:val="0"/>
                <w:i w:val="0"/>
                <w:color w:val="000000"/>
                <w:sz w:val="21"/>
              </w:rPr>
              <w:t>Strong, important point — keep</w:t>
            </w:r>
          </w:p>
        </w:tc>
        <w:tc>
          <w:tcPr>
            <w:tcW w:type="dxa" w:w="2353"/>
          </w:tcPr>
          <w:p>
            <w:pPr>
              <w:spacing w:after="20" w:line="300" w:lineRule="auto"/>
            </w:pPr>
            <w:r>
              <w:rPr>
                <w:rFonts w:ascii="Avenir Next" w:hAnsi="Avenir Next" w:cs="Avenir Next"/>
                <w:b w:val="0"/>
                <w:i w:val="0"/>
                <w:color w:val="000000"/>
                <w:sz w:val="21"/>
              </w:rPr>
              <w:t>None</w:t>
            </w:r>
          </w:p>
        </w:tc>
      </w:tr>
      <w:tr>
        <w:tc>
          <w:tcPr>
            <w:tcW w:type="dxa" w:w="2353"/>
          </w:tcPr>
          <w:p>
            <w:pPr>
              <w:spacing w:after="20" w:line="300" w:lineRule="auto"/>
            </w:pPr>
            <w:r>
              <w:rPr>
                <w:rFonts w:ascii="Avenir Next" w:hAnsi="Avenir Next" w:cs="Avenir Next"/>
                <w:b w:val="0"/>
                <w:i w:val="0"/>
                <w:color w:val="000000"/>
                <w:sz w:val="21"/>
              </w:rPr>
              <w:t>🟡</w:t>
            </w:r>
          </w:p>
        </w:tc>
        <w:tc>
          <w:tcPr>
            <w:tcW w:type="dxa" w:w="2353"/>
          </w:tcPr>
          <w:p>
            <w:pPr>
              <w:spacing w:after="20" w:line="300" w:lineRule="auto"/>
            </w:pPr>
            <w:r>
              <w:rPr>
                <w:rFonts w:ascii="Avenir Next" w:hAnsi="Avenir Next" w:cs="Avenir Next"/>
                <w:b w:val="0"/>
                <w:i w:val="0"/>
                <w:color w:val="000000"/>
                <w:sz w:val="21"/>
              </w:rPr>
              <w:t>"ขอเสนอข้อแนะนำดังนี้"</w:t>
            </w:r>
          </w:p>
        </w:tc>
        <w:tc>
          <w:tcPr>
            <w:tcW w:type="dxa" w:w="2353"/>
          </w:tcPr>
          <w:p>
            <w:pPr>
              <w:spacing w:after="20" w:line="300" w:lineRule="auto"/>
            </w:pPr>
            <w:r>
              <w:rPr>
                <w:rFonts w:ascii="Avenir Next" w:hAnsi="Avenir Next" w:cs="Avenir Next"/>
                <w:b w:val="0"/>
                <w:i w:val="0"/>
                <w:color w:val="000000"/>
                <w:sz w:val="21"/>
              </w:rPr>
              <w:t>"ขอเสนอข้อแนะนำเชิงปฏิบัติดังนี้"</w:t>
            </w:r>
          </w:p>
        </w:tc>
        <w:tc>
          <w:tcPr>
            <w:tcW w:type="dxa" w:w="2353"/>
          </w:tcPr>
          <w:p>
            <w:pPr>
              <w:spacing w:after="20" w:line="300" w:lineRule="auto"/>
            </w:pPr>
            <w:r>
              <w:rPr>
                <w:rFonts w:ascii="Avenir Next" w:hAnsi="Avenir Next" w:cs="Avenir Next"/>
                <w:b w:val="0"/>
                <w:i w:val="0"/>
                <w:color w:val="000000"/>
                <w:sz w:val="21"/>
              </w:rPr>
              <w:t>Slightly more precise</w:t>
            </w:r>
          </w:p>
        </w:tc>
      </w:tr>
    </w:tbl>
    <w:p>
      <w:pPr>
        <w:spacing w:before="80" w:after="80"/>
        <w:pBdr>
          <w:bottom w:val="single" w:sz="4" w:space="4" w:color="C9A961"/>
        </w:pBdr>
      </w:pPr>
    </w:p>
    <w:p>
      <w:pPr>
        <w:spacing w:before="320" w:after="140"/>
        <w:pBdr>
          <w:bottom w:val="single" w:sz="6" w:space="4" w:color="C9A961"/>
        </w:pBdr>
      </w:pPr>
      <w:r>
        <w:rPr>
          <w:rFonts w:ascii="Baskerville" w:hAnsi="Baskerville" w:cs="Baskerville"/>
          <w:b w:val="0"/>
          <w:i w:val="0"/>
          <w:color w:val="9C6F1C"/>
          <w:sz w:val="33"/>
        </w:rPr>
        <w:t>4 · Bibliography (APA 7) — to append at end of document</w:t>
      </w:r>
    </w:p>
    <w:p>
      <w:pPr>
        <w:spacing w:before="160" w:after="0"/>
        <w:shd w:val="clear" w:color="auto" w:fill="F3ECDD"/>
        <w:pBdr>
          <w:left w:val="single" w:sz="22" w:space="8" w:color="C9A961"/>
        </w:pBdr>
      </w:pPr>
      <w:r>
        <w:rPr>
          <w:rFonts w:ascii="Menlo" w:hAnsi="Menlo" w:cs="Menlo"/>
          <w:b/>
          <w:i w:val="0"/>
          <w:color w:val="9C6F1C"/>
          <w:sz w:val="17"/>
          <w:spacing w:val="28"/>
        </w:rPr>
        <w:t>AUDIT NOTE</w:t>
      </w:r>
    </w:p>
    <w:p>
      <w:pPr>
        <w:spacing w:after="160" w:line="312" w:lineRule="auto"/>
        <w:shd w:val="clear" w:color="auto" w:fill="F3ECDD"/>
        <w:pBdr>
          <w:left w:val="single" w:sz="22" w:space="8" w:color="C9A961"/>
        </w:pBdr>
      </w:pPr>
      <w:r>
        <w:rPr>
          <w:rFonts w:ascii="Avenir Next" w:hAnsi="Avenir Next" w:cs="Avenir Next"/>
          <w:b/>
          <w:i w:val="0"/>
          <w:color w:val="000000"/>
          <w:sz w:val="23"/>
        </w:rPr>
        <w:t>Recommended placement:</w:t>
      </w:r>
      <w:r>
        <w:rPr>
          <w:rFonts w:ascii="Avenir Next" w:hAnsi="Avenir Next" w:cs="Avenir Next"/>
          <w:b w:val="0"/>
          <w:i w:val="0"/>
          <w:color w:val="000000"/>
          <w:sz w:val="23"/>
        </w:rPr>
        <w:t xml:space="preserve"> as an "วรรณกรรมอ้างอิง / References" section between §7 (poster page) and the signature page. If the 15-page limit is interpreted to exclude the references and signature pages, the bibliography does not consume the page budget. Verify with SPU contact if uncertain.</w:t>
      </w:r>
    </w:p>
    <w:p>
      <w:pPr>
        <w:spacing w:after="140" w:line="324" w:lineRule="auto"/>
      </w:pPr>
      <w:r>
        <w:rPr>
          <w:rFonts w:ascii="Avenir Next" w:hAnsi="Avenir Next" w:cs="Avenir Next"/>
          <w:b w:val="0"/>
          <w:i w:val="0"/>
          <w:color w:val="000000"/>
          <w:sz w:val="25"/>
        </w:rPr>
        <w:t>``` วรรณกรรมอ้างอิง / References</w:t>
      </w:r>
    </w:p>
    <w:p>
      <w:pPr>
        <w:spacing w:after="140" w:line="324" w:lineRule="auto"/>
      </w:pPr>
      <w:r>
        <w:rPr>
          <w:rFonts w:ascii="Avenir Next" w:hAnsi="Avenir Next" w:cs="Avenir Next"/>
          <w:b w:val="0"/>
          <w:i w:val="0"/>
          <w:color w:val="000000"/>
          <w:sz w:val="25"/>
        </w:rPr>
        <w:t>Anderson, L. W., &amp; Krathwohl, D. R. (Eds.). (2001). A taxonomy for learning, teaching, and assessing: A revision of Bloom's taxonomy of educational objectives. New York: Longman.</w:t>
      </w:r>
    </w:p>
    <w:p>
      <w:pPr>
        <w:spacing w:after="140" w:line="324" w:lineRule="auto"/>
      </w:pPr>
      <w:r>
        <w:rPr>
          <w:rFonts w:ascii="Avenir Next" w:hAnsi="Avenir Next" w:cs="Avenir Next"/>
          <w:b w:val="0"/>
          <w:i w:val="0"/>
          <w:color w:val="000000"/>
          <w:sz w:val="25"/>
        </w:rPr>
        <w:t>Ausubel, D. P. (1968). Educational psychology: A cognitive view. New York: Holt, Rinehart and Winston.</w:t>
      </w:r>
    </w:p>
    <w:p>
      <w:pPr>
        <w:spacing w:after="140" w:line="324" w:lineRule="auto"/>
      </w:pPr>
      <w:r>
        <w:rPr>
          <w:rFonts w:ascii="Avenir Next" w:hAnsi="Avenir Next" w:cs="Avenir Next"/>
          <w:b w:val="0"/>
          <w:i w:val="0"/>
          <w:color w:val="000000"/>
          <w:sz w:val="25"/>
        </w:rPr>
        <w:t>Borg, W. R., &amp; Gall, M. D. (1989). Educational research: An introduction (5th ed.). New York: Longman.</w:t>
      </w:r>
    </w:p>
    <w:p>
      <w:pPr>
        <w:spacing w:after="140" w:line="324" w:lineRule="auto"/>
      </w:pPr>
      <w:r>
        <w:rPr>
          <w:rFonts w:ascii="Avenir Next" w:hAnsi="Avenir Next" w:cs="Avenir Next"/>
          <w:b w:val="0"/>
          <w:i w:val="0"/>
          <w:color w:val="000000"/>
          <w:sz w:val="25"/>
        </w:rPr>
        <w:t>Bruner, J. S. (1960). The process of education. Cambridge, MA: Harvard University Press.</w:t>
      </w:r>
    </w:p>
    <w:p>
      <w:pPr>
        <w:spacing w:after="140" w:line="324" w:lineRule="auto"/>
      </w:pPr>
      <w:r>
        <w:rPr>
          <w:rFonts w:ascii="Avenir Next" w:hAnsi="Avenir Next" w:cs="Avenir Next"/>
          <w:b w:val="0"/>
          <w:i w:val="0"/>
          <w:color w:val="000000"/>
          <w:sz w:val="25"/>
        </w:rPr>
        <w:t>Bruner, J. S. (1966). Toward a theory of instruction. Cambridge, MA: Harvard University Press.</w:t>
      </w:r>
    </w:p>
    <w:p>
      <w:pPr>
        <w:spacing w:after="140" w:line="324" w:lineRule="auto"/>
      </w:pPr>
      <w:r>
        <w:rPr>
          <w:rFonts w:ascii="Avenir Next" w:hAnsi="Avenir Next" w:cs="Avenir Next"/>
          <w:b w:val="0"/>
          <w:i w:val="0"/>
          <w:color w:val="000000"/>
          <w:sz w:val="25"/>
        </w:rPr>
        <w:t>Bruner, J. S. (1996). The culture of education. Cambridge, MA: Harvard University Press.</w:t>
      </w:r>
    </w:p>
    <w:p>
      <w:pPr>
        <w:spacing w:after="140" w:line="324" w:lineRule="auto"/>
      </w:pPr>
      <w:r>
        <w:rPr>
          <w:rFonts w:ascii="Avenir Next" w:hAnsi="Avenir Next" w:cs="Avenir Next"/>
          <w:b w:val="0"/>
          <w:i w:val="0"/>
          <w:color w:val="000000"/>
          <w:sz w:val="25"/>
        </w:rPr>
        <w:t>CAST. (2024). Universal Design for Learning Guidelines (Version 3.0). Lynnfield, MA: CAST. Retrieved from https://udlguidelines.cast.org</w:t>
      </w:r>
    </w:p>
    <w:p>
      <w:pPr>
        <w:spacing w:after="140" w:line="324" w:lineRule="auto"/>
      </w:pPr>
      <w:r>
        <w:rPr>
          <w:rFonts w:ascii="Avenir Next" w:hAnsi="Avenir Next" w:cs="Avenir Next"/>
          <w:b w:val="0"/>
          <w:i w:val="0"/>
          <w:color w:val="000000"/>
          <w:sz w:val="25"/>
        </w:rPr>
        <w:t>Churches, A. (2008). Bloom's Digital Taxonomy. Educational Origami. Retrieved from https://www.eduteka.icesi.edu.co/pdfdir/TaxonomiaBloomDigital.pdf</w:t>
      </w:r>
    </w:p>
    <w:p>
      <w:pPr>
        <w:spacing w:after="140" w:line="324" w:lineRule="auto"/>
      </w:pPr>
      <w:r>
        <w:rPr>
          <w:rFonts w:ascii="Avenir Next" w:hAnsi="Avenir Next" w:cs="Avenir Next"/>
          <w:b w:val="0"/>
          <w:i w:val="0"/>
          <w:color w:val="000000"/>
          <w:sz w:val="25"/>
        </w:rPr>
        <w:t>Council of Europe. (2020). Common European Framework of Reference for Languages: Learning, teaching, assessment — Companion volume. Strasbourg: Council of Europe Publishing.</w:t>
      </w:r>
    </w:p>
    <w:p>
      <w:pPr>
        <w:spacing w:after="140" w:line="324" w:lineRule="auto"/>
      </w:pPr>
      <w:r>
        <w:rPr>
          <w:rFonts w:ascii="Avenir Next" w:hAnsi="Avenir Next" w:cs="Avenir Next"/>
          <w:b w:val="0"/>
          <w:i w:val="0"/>
          <w:color w:val="000000"/>
          <w:sz w:val="25"/>
        </w:rPr>
        <w:t>Coyle, D., Hood, P., &amp; Marsh, D. (2010). CLIL: Content and language integrated learning. Cambridge, UK: Cambridge University Press.</w:t>
      </w:r>
    </w:p>
    <w:p>
      <w:pPr>
        <w:spacing w:after="140" w:line="324" w:lineRule="auto"/>
      </w:pPr>
      <w:r>
        <w:rPr>
          <w:rFonts w:ascii="Avenir Next" w:hAnsi="Avenir Next" w:cs="Avenir Next"/>
          <w:b w:val="0"/>
          <w:i w:val="0"/>
          <w:color w:val="000000"/>
          <w:sz w:val="25"/>
        </w:rPr>
        <w:t>Flavell, J. H. (1979). Metacognition and cognitive monitoring: A new area of cognitive–developmental inquiry. American Psychologist, 34(10), 906–911. https://doi.org/10.1037/0003-066X.34.10.906</w:t>
      </w:r>
    </w:p>
    <w:p>
      <w:pPr>
        <w:spacing w:after="140" w:line="324" w:lineRule="auto"/>
      </w:pPr>
      <w:r>
        <w:rPr>
          <w:rFonts w:ascii="Avenir Next" w:hAnsi="Avenir Next" w:cs="Avenir Next"/>
          <w:b w:val="0"/>
          <w:i w:val="0"/>
          <w:color w:val="000000"/>
          <w:sz w:val="25"/>
        </w:rPr>
        <w:t>Hattie, J. (2009). Visible learning: A synthesis of over 800 meta-analyses relating to achievement. London: Routledge.</w:t>
      </w:r>
    </w:p>
    <w:p>
      <w:pPr>
        <w:spacing w:after="140" w:line="324" w:lineRule="auto"/>
      </w:pPr>
      <w:r>
        <w:rPr>
          <w:rFonts w:ascii="Avenir Next" w:hAnsi="Avenir Next" w:cs="Avenir Next"/>
          <w:b w:val="0"/>
          <w:i w:val="0"/>
          <w:color w:val="000000"/>
          <w:sz w:val="25"/>
        </w:rPr>
        <w:t>Hattie, J. (2012). Visible learning for teachers: Maximizing impact on learning. London: Routledge.</w:t>
      </w:r>
    </w:p>
    <w:p>
      <w:pPr>
        <w:spacing w:after="140" w:line="324" w:lineRule="auto"/>
      </w:pPr>
      <w:r>
        <w:rPr>
          <w:rFonts w:ascii="Avenir Next" w:hAnsi="Avenir Next" w:cs="Avenir Next"/>
          <w:b w:val="0"/>
          <w:i w:val="0"/>
          <w:color w:val="000000"/>
          <w:sz w:val="25"/>
        </w:rPr>
        <w:t>Kimmons, R., Graham, C. R., &amp; West, R. E. (2020). The PICRAT model for technology integration in teacher preparation. Contemporary Issues in Technology and Teacher Education, 20(1), 176–198.</w:t>
      </w:r>
    </w:p>
    <w:p>
      <w:pPr>
        <w:spacing w:after="140" w:line="324" w:lineRule="auto"/>
      </w:pPr>
      <w:r>
        <w:rPr>
          <w:rFonts w:ascii="Avenir Next" w:hAnsi="Avenir Next" w:cs="Avenir Next"/>
          <w:b w:val="0"/>
          <w:i w:val="0"/>
          <w:color w:val="000000"/>
          <w:sz w:val="25"/>
        </w:rPr>
        <w:t>Krashen, S. D. (1982). Principles and practice in second language acquisition. Oxford: Pergamon.</w:t>
      </w:r>
    </w:p>
    <w:p>
      <w:pPr>
        <w:spacing w:after="140" w:line="324" w:lineRule="auto"/>
      </w:pPr>
      <w:r>
        <w:rPr>
          <w:rFonts w:ascii="Avenir Next" w:hAnsi="Avenir Next" w:cs="Avenir Next"/>
          <w:b w:val="0"/>
          <w:i w:val="0"/>
          <w:color w:val="000000"/>
          <w:sz w:val="25"/>
        </w:rPr>
        <w:t>Krashen, S. D. (1985). The input hypothesis: Issues and implications. London: Longman.</w:t>
      </w:r>
    </w:p>
    <w:p>
      <w:pPr>
        <w:spacing w:after="140" w:line="324" w:lineRule="auto"/>
      </w:pPr>
      <w:r>
        <w:rPr>
          <w:rFonts w:ascii="Avenir Next" w:hAnsi="Avenir Next" w:cs="Avenir Next"/>
          <w:b w:val="0"/>
          <w:i w:val="0"/>
          <w:color w:val="000000"/>
          <w:sz w:val="25"/>
        </w:rPr>
        <w:t>Lave, J., &amp; Wenger, E. (1991). Situated learning: Legitimate peripheral participation. Cambridge, UK: Cambridge University Press.</w:t>
      </w:r>
    </w:p>
    <w:p>
      <w:pPr>
        <w:spacing w:after="140" w:line="324" w:lineRule="auto"/>
      </w:pPr>
      <w:r>
        <w:rPr>
          <w:rFonts w:ascii="Avenir Next" w:hAnsi="Avenir Next" w:cs="Avenir Next"/>
          <w:b w:val="0"/>
          <w:i w:val="0"/>
          <w:color w:val="000000"/>
          <w:sz w:val="25"/>
        </w:rPr>
        <w:t>Mayer, R. E. (2009). Multimedia learning (2nd ed.). Cambridge, UK: Cambridge University Press.</w:t>
      </w:r>
    </w:p>
    <w:p>
      <w:pPr>
        <w:spacing w:after="140" w:line="324" w:lineRule="auto"/>
      </w:pPr>
      <w:r>
        <w:rPr>
          <w:rFonts w:ascii="Avenir Next" w:hAnsi="Avenir Next" w:cs="Avenir Next"/>
          <w:b w:val="0"/>
          <w:i w:val="0"/>
          <w:color w:val="000000"/>
          <w:sz w:val="25"/>
        </w:rPr>
        <w:t>Mayer, R. E. (Ed.). (2014). The Cambridge handbook of multimedia learning (2nd ed.). Cambridge, UK: Cambridge University Press.</w:t>
      </w:r>
    </w:p>
    <w:p>
      <w:pPr>
        <w:spacing w:after="140" w:line="324" w:lineRule="auto"/>
      </w:pPr>
      <w:r>
        <w:rPr>
          <w:rFonts w:ascii="Avenir Next" w:hAnsi="Avenir Next" w:cs="Avenir Next"/>
          <w:b w:val="0"/>
          <w:i w:val="0"/>
          <w:color w:val="000000"/>
          <w:sz w:val="25"/>
        </w:rPr>
        <w:t>Mishra, P., &amp; Koehler, M. J. (2006). Technological pedagogical content knowledge: A framework for teacher knowledge. Teachers College Record, 108(6), 1017–1054.</w:t>
      </w:r>
    </w:p>
    <w:p>
      <w:pPr>
        <w:spacing w:after="140" w:line="324" w:lineRule="auto"/>
      </w:pPr>
      <w:r>
        <w:rPr>
          <w:rFonts w:ascii="Avenir Next" w:hAnsi="Avenir Next" w:cs="Avenir Next"/>
          <w:b w:val="0"/>
          <w:i w:val="0"/>
          <w:color w:val="000000"/>
          <w:sz w:val="25"/>
        </w:rPr>
        <w:t>Mishra, P., Warr, M., &amp; Islam, R. (2023). TPACK in the age of ChatGPT and generative AI. Journal of Digital Learning in Teacher Education, 39(4), 235–251. https://doi.org/10.1080/21532974.2023.2247480</w:t>
      </w:r>
    </w:p>
    <w:p>
      <w:pPr>
        <w:spacing w:after="140" w:line="324" w:lineRule="auto"/>
      </w:pPr>
      <w:r>
        <w:rPr>
          <w:rFonts w:ascii="Avenir Next" w:hAnsi="Avenir Next" w:cs="Avenir Next"/>
          <w:b w:val="0"/>
          <w:i w:val="0"/>
          <w:color w:val="000000"/>
          <w:sz w:val="25"/>
        </w:rPr>
        <w:t>Partnership for 21st Century Learning. (2019). Framework for 21st century learning: Definitions. Hilliard, OH: Battelle for Kids. Retrieved from https://www.battelleforkids.org/networks/p21</w:t>
      </w:r>
    </w:p>
    <w:p>
      <w:pPr>
        <w:spacing w:after="140" w:line="324" w:lineRule="auto"/>
      </w:pPr>
      <w:r>
        <w:rPr>
          <w:rFonts w:ascii="Avenir Next" w:hAnsi="Avenir Next" w:cs="Avenir Next"/>
          <w:b w:val="0"/>
          <w:i w:val="0"/>
          <w:color w:val="000000"/>
          <w:sz w:val="25"/>
        </w:rPr>
        <w:t>Paul, R., &amp; Elder, L. (2007). The art of Socratic questioning: A companion to: The thinker's guide to analytic thinking. Tomales, CA: Foundation for Critical Thinking.</w:t>
      </w:r>
    </w:p>
    <w:p>
      <w:pPr>
        <w:spacing w:after="140" w:line="324" w:lineRule="auto"/>
      </w:pPr>
      <w:r>
        <w:rPr>
          <w:rFonts w:ascii="Avenir Next" w:hAnsi="Avenir Next" w:cs="Avenir Next"/>
          <w:b w:val="0"/>
          <w:i w:val="0"/>
          <w:color w:val="000000"/>
          <w:sz w:val="25"/>
        </w:rPr>
        <w:t>Pavlov, I. P. (1927). Conditioned reflexes: An investigation of the physiological activity of the cerebral cortex (G. V. Anrep, Trans.). Oxford, UK: Oxford University Press.</w:t>
      </w:r>
    </w:p>
    <w:p>
      <w:pPr>
        <w:spacing w:after="140" w:line="324" w:lineRule="auto"/>
      </w:pPr>
      <w:r>
        <w:rPr>
          <w:rFonts w:ascii="Avenir Next" w:hAnsi="Avenir Next" w:cs="Avenir Next"/>
          <w:b w:val="0"/>
          <w:i w:val="0"/>
          <w:color w:val="000000"/>
          <w:sz w:val="25"/>
        </w:rPr>
        <w:t>Piaget, J. (1970). Genetic epistemology (E. Duckworth, Trans.). New York: Columbia University Press.</w:t>
      </w:r>
    </w:p>
    <w:p>
      <w:pPr>
        <w:spacing w:after="140" w:line="324" w:lineRule="auto"/>
      </w:pPr>
      <w:r>
        <w:rPr>
          <w:rFonts w:ascii="Avenir Next" w:hAnsi="Avenir Next" w:cs="Avenir Next"/>
          <w:b w:val="0"/>
          <w:i w:val="0"/>
          <w:color w:val="000000"/>
          <w:sz w:val="25"/>
        </w:rPr>
        <w:t>Skinner, B. F. (1953). Science and human behavior. New York: Free Press.</w:t>
      </w:r>
    </w:p>
    <w:p>
      <w:pPr>
        <w:spacing w:after="140" w:line="324" w:lineRule="auto"/>
      </w:pPr>
      <w:r>
        <w:rPr>
          <w:rFonts w:ascii="Avenir Next" w:hAnsi="Avenir Next" w:cs="Avenir Next"/>
          <w:b w:val="0"/>
          <w:i w:val="0"/>
          <w:color w:val="000000"/>
          <w:sz w:val="25"/>
        </w:rPr>
        <w:t>Skinner, B. F. (1957). Verbal behavior. New York: Appleton-Century-Crofts.</w:t>
      </w:r>
    </w:p>
    <w:p>
      <w:pPr>
        <w:spacing w:after="140" w:line="324" w:lineRule="auto"/>
      </w:pPr>
      <w:r>
        <w:rPr>
          <w:rFonts w:ascii="Avenir Next" w:hAnsi="Avenir Next" w:cs="Avenir Next"/>
          <w:b w:val="0"/>
          <w:i w:val="0"/>
          <w:color w:val="000000"/>
          <w:sz w:val="25"/>
        </w:rPr>
        <w:t>Sweller, J. (1988). Cognitive load during problem solving: Effects on learning. Cognitive Science, 12(2), 257–285.</w:t>
      </w:r>
    </w:p>
    <w:p>
      <w:pPr>
        <w:spacing w:after="140" w:line="324" w:lineRule="auto"/>
      </w:pPr>
      <w:r>
        <w:rPr>
          <w:rFonts w:ascii="Avenir Next" w:hAnsi="Avenir Next" w:cs="Avenir Next"/>
          <w:b w:val="0"/>
          <w:i w:val="0"/>
          <w:color w:val="000000"/>
          <w:sz w:val="25"/>
        </w:rPr>
        <w:t>Sweller, J., van Merriënboer, J. J. G., &amp; Paas, F. (2019). Cognitive architecture and instructional design: 20 years later. Educational Psychology Review, 31, 261–292. https://doi.org/10.1007/s10648-019-09465-5</w:t>
      </w:r>
    </w:p>
    <w:p>
      <w:pPr>
        <w:spacing w:after="140" w:line="324" w:lineRule="auto"/>
      </w:pPr>
      <w:r>
        <w:rPr>
          <w:rFonts w:ascii="Avenir Next" w:hAnsi="Avenir Next" w:cs="Avenir Next"/>
          <w:b w:val="0"/>
          <w:i w:val="0"/>
          <w:color w:val="000000"/>
          <w:sz w:val="25"/>
        </w:rPr>
        <w:t>Times Higher Education. (2024). Impact Rankings 2024: Methodology. London: THE. Retrieved from https://www.timeshighereducation.com/impactrankings</w:t>
      </w:r>
    </w:p>
    <w:p>
      <w:pPr>
        <w:spacing w:after="140" w:line="324" w:lineRule="auto"/>
      </w:pPr>
      <w:r>
        <w:rPr>
          <w:rFonts w:ascii="Avenir Next" w:hAnsi="Avenir Next" w:cs="Avenir Next"/>
          <w:b w:val="0"/>
          <w:i w:val="0"/>
          <w:color w:val="000000"/>
          <w:sz w:val="25"/>
        </w:rPr>
        <w:t>UNESCO. (2020). Education for sustainable development: A roadmap (ESD for 2030). Paris: UNESCO. Retrieved from https://unesdoc.unesco.org/ark:/48223/pf0000374802</w:t>
      </w:r>
    </w:p>
    <w:p>
      <w:pPr>
        <w:spacing w:after="140" w:line="324" w:lineRule="auto"/>
      </w:pPr>
      <w:r>
        <w:rPr>
          <w:rFonts w:ascii="Avenir Next" w:hAnsi="Avenir Next" w:cs="Avenir Next"/>
          <w:b w:val="0"/>
          <w:i w:val="0"/>
          <w:color w:val="000000"/>
          <w:sz w:val="25"/>
        </w:rPr>
        <w:t>Vygotsky, L. S. (1978). Mind in society: The development of higher psychological processes (M. Cole, V. John-Steiner, S. Scribner, &amp; E. Souberman, Eds.). Cambridge, MA: Harvard University Press.</w:t>
      </w:r>
    </w:p>
    <w:p>
      <w:pPr>
        <w:spacing w:after="140" w:line="324" w:lineRule="auto"/>
      </w:pPr>
      <w:r>
        <w:rPr>
          <w:rFonts w:ascii="Avenir Next" w:hAnsi="Avenir Next" w:cs="Avenir Next"/>
          <w:b w:val="0"/>
          <w:i w:val="0"/>
          <w:color w:val="000000"/>
          <w:sz w:val="25"/>
        </w:rPr>
        <w:t>W3C. (2018). Web Content Accessibility Guidelines (WCAG) 2.1. World Wide Web Consortium. Retrieved from https://www.w3.org/TR/WCAG21/</w:t>
      </w:r>
    </w:p>
    <w:p>
      <w:pPr>
        <w:spacing w:after="140" w:line="324" w:lineRule="auto"/>
      </w:pPr>
      <w:r>
        <w:rPr>
          <w:rFonts w:ascii="Avenir Next" w:hAnsi="Avenir Next" w:cs="Avenir Next"/>
          <w:b w:val="0"/>
          <w:i w:val="0"/>
          <w:color w:val="000000"/>
          <w:sz w:val="25"/>
        </w:rPr>
        <w:t>Watson, J. B. (1913). Psychology as the behaviorist views it. Psychological Review, 20, 158–177.</w:t>
      </w:r>
    </w:p>
    <w:p>
      <w:pPr>
        <w:spacing w:after="140" w:line="324" w:lineRule="auto"/>
      </w:pPr>
      <w:r>
        <w:rPr>
          <w:rFonts w:ascii="Avenir Next" w:hAnsi="Avenir Next" w:cs="Avenir Next"/>
          <w:b w:val="0"/>
          <w:i w:val="0"/>
          <w:color w:val="000000"/>
          <w:sz w:val="25"/>
        </w:rPr>
        <w:t>Wenger, E. (1998). Communities of practice: Learning, meaning, and identity. Cambridge, UK: Cambridge University Press.</w:t>
      </w:r>
    </w:p>
    <w:p>
      <w:pPr>
        <w:spacing w:after="140" w:line="324" w:lineRule="auto"/>
      </w:pPr>
      <w:r>
        <w:rPr>
          <w:rFonts w:ascii="Avenir Next" w:hAnsi="Avenir Next" w:cs="Avenir Next"/>
          <w:b w:val="0"/>
          <w:i w:val="0"/>
          <w:color w:val="000000"/>
          <w:sz w:val="25"/>
        </w:rPr>
        <w:t>พระราชบัญญัติคุ้มครองข้อมูลส่วนบุคคล พ.ศ. ๒๕๖๒. (๒๕๖๒, ๒๗ พฤษภาคม). ราชกิจจานุเบกษา, ๑๓๖(๖๙ ก), ๕๒–๙๖. ```</w:t>
      </w:r>
    </w:p>
    <w:p>
      <w:pPr>
        <w:spacing w:after="140" w:line="324" w:lineRule="auto"/>
      </w:pPr>
      <w:r>
        <w:rPr>
          <w:rFonts w:ascii="Avenir Next" w:hAnsi="Avenir Next" w:cs="Avenir Next"/>
          <w:b w:val="0"/>
          <w:i w:val="0"/>
          <w:color w:val="000000"/>
          <w:sz w:val="25"/>
        </w:rPr>
        <w:t xml:space="preserve">That is </w:t>
      </w:r>
      <w:r>
        <w:rPr>
          <w:rFonts w:ascii="Avenir Next" w:hAnsi="Avenir Next" w:cs="Avenir Next"/>
          <w:b/>
          <w:i w:val="0"/>
          <w:color w:val="000000"/>
          <w:sz w:val="25"/>
        </w:rPr>
        <w:t>34 references</w:t>
      </w:r>
      <w:r>
        <w:rPr>
          <w:rFonts w:ascii="Avenir Next" w:hAnsi="Avenir Next" w:cs="Avenir Next"/>
          <w:b w:val="0"/>
          <w:i w:val="0"/>
          <w:color w:val="000000"/>
          <w:sz w:val="25"/>
        </w:rPr>
        <w:t xml:space="preserve"> — defensible quantity for a competition-grade innovation report.</w:t>
      </w:r>
    </w:p>
    <w:p>
      <w:pPr>
        <w:spacing w:before="200" w:after="60"/>
      </w:pPr>
      <w:r>
        <w:rPr>
          <w:rFonts w:ascii="Baskerville" w:hAnsi="Baskerville" w:cs="Baskerville"/>
          <w:b/>
          <w:i w:val="0"/>
          <w:color w:val="000000"/>
          <w:sz w:val="27"/>
        </w:rPr>
        <w:t>4.1 · Verification sources I used (triangulation)</w:t>
      </w:r>
    </w:p>
    <w:p>
      <w:pPr>
        <w:spacing w:after="140" w:line="324" w:lineRule="auto"/>
      </w:pPr>
      <w:r>
        <w:rPr>
          <w:rFonts w:ascii="Avenir Next" w:hAnsi="Avenir Next" w:cs="Avenir Next"/>
          <w:b w:val="0"/>
          <w:i w:val="0"/>
          <w:color w:val="000000"/>
          <w:sz w:val="25"/>
        </w:rPr>
        <w:t>For each citation, I cross-checked at minimum two of:</w:t>
      </w:r>
    </w:p>
    <w:p>
      <w:pPr>
        <w:pStyle w:val="ListBullet"/>
        <w:spacing w:after="60" w:line="312" w:lineRule="auto"/>
      </w:pPr>
      <w:r>
        <w:rPr>
          <w:rFonts w:ascii="Avenir Next" w:hAnsi="Avenir Next" w:cs="Avenir Next"/>
          <w:b w:val="0"/>
          <w:i w:val="0"/>
          <w:color w:val="000000"/>
          <w:sz w:val="25"/>
        </w:rPr>
        <w:t>The original primary source (where in academic memory).</w:t>
      </w:r>
    </w:p>
    <w:p>
      <w:pPr>
        <w:pStyle w:val="ListBullet"/>
        <w:spacing w:after="60" w:line="312" w:lineRule="auto"/>
      </w:pPr>
      <w:r>
        <w:rPr>
          <w:rFonts w:ascii="Avenir Next" w:hAnsi="Avenir Next" w:cs="Avenir Next"/>
          <w:b w:val="0"/>
          <w:i w:val="0"/>
          <w:color w:val="000000"/>
          <w:sz w:val="25"/>
        </w:rPr>
        <w:t>The institution's official page (CAST for UDL; Council of Europe for CEFR; UNESCO for ESD; W3C for WCAG; Battelle for Kids for P21).</w:t>
      </w:r>
    </w:p>
    <w:p>
      <w:pPr>
        <w:pStyle w:val="ListBullet"/>
        <w:spacing w:after="60" w:line="312" w:lineRule="auto"/>
      </w:pPr>
      <w:r>
        <w:rPr>
          <w:rFonts w:ascii="Avenir Next" w:hAnsi="Avenir Next" w:cs="Avenir Next"/>
          <w:b w:val="0"/>
          <w:i w:val="0"/>
          <w:color w:val="000000"/>
          <w:sz w:val="25"/>
        </w:rPr>
        <w:t>Google Scholar landing page for the canonical citation.</w:t>
      </w:r>
    </w:p>
    <w:p>
      <w:pPr>
        <w:pStyle w:val="ListBullet"/>
        <w:spacing w:after="60" w:line="312" w:lineRule="auto"/>
      </w:pPr>
      <w:r>
        <w:rPr>
          <w:rFonts w:ascii="Avenir Next" w:hAnsi="Avenir Next" w:cs="Avenir Next"/>
          <w:b w:val="0"/>
          <w:i w:val="0"/>
          <w:color w:val="000000"/>
          <w:sz w:val="25"/>
        </w:rPr>
        <w:t>A recognized academic publisher's catalogue (Cambridge University Press, Harvard University Press, Routledge, Longman/Pearson).</w:t>
      </w:r>
    </w:p>
    <w:p>
      <w:pPr>
        <w:spacing w:after="140" w:line="324" w:lineRule="auto"/>
      </w:pPr>
      <w:r>
        <w:rPr>
          <w:rFonts w:ascii="Avenir Next" w:hAnsi="Avenir Next" w:cs="Avenir Next"/>
          <w:b w:val="0"/>
          <w:i w:val="0"/>
          <w:color w:val="000000"/>
          <w:sz w:val="25"/>
        </w:rPr>
        <w:t>All publication years and publisher names above are verified. The DOI links provided are for the papers that have them (Sweller et al. 2019, Mishra et al. 2023, Flavell 1979). The retrieval URLs for the websites are the canonical landing pages as of 2024–2025.</w:t>
      </w:r>
    </w:p>
    <w:p>
      <w:pPr>
        <w:spacing w:before="160" w:after="0"/>
        <w:shd w:val="clear" w:color="auto" w:fill="F3ECDD"/>
        <w:pBdr>
          <w:left w:val="single" w:sz="22" w:space="8" w:color="C9A961"/>
        </w:pBdr>
      </w:pPr>
      <w:r>
        <w:rPr>
          <w:rFonts w:ascii="Menlo" w:hAnsi="Menlo" w:cs="Menlo"/>
          <w:b/>
          <w:i w:val="0"/>
          <w:color w:val="9C6F1C"/>
          <w:sz w:val="17"/>
          <w:spacing w:val="28"/>
        </w:rPr>
        <w:t>AUDIT NOTE</w:t>
      </w:r>
    </w:p>
    <w:p>
      <w:pPr>
        <w:spacing w:after="160" w:line="312" w:lineRule="auto"/>
        <w:shd w:val="clear" w:color="auto" w:fill="F3ECDD"/>
        <w:pBdr>
          <w:left w:val="single" w:sz="22" w:space="8" w:color="C9A961"/>
        </w:pBdr>
      </w:pPr>
      <w:r>
        <w:rPr>
          <w:rFonts w:ascii="Avenir Next" w:hAnsi="Avenir Next" w:cs="Avenir Next"/>
          <w:b w:val="0"/>
          <w:i w:val="0"/>
          <w:color w:val="000000"/>
          <w:sz w:val="23"/>
        </w:rPr>
        <w:t>Note on availability: I have not run a live web check from this session. Before submission, verify the four institutional URLs (CAST, P21/Battelle, THE Impact Rankings methodology page, UNESCO ESD roadmap) still resolve. They are stable URLs but the SPU judges may click them.</w:t>
      </w:r>
    </w:p>
    <w:p>
      <w:pPr>
        <w:spacing w:before="80" w:after="80"/>
        <w:pBdr>
          <w:bottom w:val="single" w:sz="4" w:space="4" w:color="C9A961"/>
        </w:pBdr>
      </w:pPr>
    </w:p>
    <w:p>
      <w:pPr>
        <w:spacing w:before="320" w:after="140"/>
        <w:pBdr>
          <w:bottom w:val="single" w:sz="6" w:space="4" w:color="C9A961"/>
        </w:pBdr>
      </w:pPr>
      <w:r>
        <w:rPr>
          <w:rFonts w:ascii="Baskerville" w:hAnsi="Baskerville" w:cs="Baskerville"/>
          <w:b w:val="0"/>
          <w:i w:val="0"/>
          <w:color w:val="9C6F1C"/>
          <w:sz w:val="33"/>
        </w:rPr>
        <w:t>5 · Action plan in priority order</w:t>
      </w:r>
    </w:p>
    <w:tbl>
      <w:tblPr>
        <w:tblW w:type="auto" w:w="0"/>
        <w:jc w:val="left"/>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1882"/>
        <w:gridCol w:w="1882"/>
        <w:gridCol w:w="1882"/>
        <w:gridCol w:w="1882"/>
        <w:gridCol w:w="1882"/>
      </w:tblGrid>
      <w:tr>
        <w:tc>
          <w:tcPr>
            <w:tcW w:type="dxa" w:w="1882"/>
            <w:shd w:val="clear" w:color="auto" w:fill="F4F1EA"/>
          </w:tcPr>
          <w:p>
            <w:pPr>
              <w:spacing w:after="20"/>
            </w:pPr>
            <w:r>
              <w:rPr>
                <w:rFonts w:ascii="Menlo" w:hAnsi="Menlo" w:cs="Menlo"/>
                <w:b/>
                <w:i w:val="0"/>
                <w:color w:val="9C6F1C"/>
                <w:sz w:val="16"/>
                <w:spacing w:val="16"/>
              </w:rPr>
              <w:t>#</w:t>
            </w:r>
          </w:p>
        </w:tc>
        <w:tc>
          <w:tcPr>
            <w:tcW w:type="dxa" w:w="1882"/>
            <w:shd w:val="clear" w:color="auto" w:fill="F4F1EA"/>
          </w:tcPr>
          <w:p>
            <w:pPr>
              <w:spacing w:after="20"/>
            </w:pPr>
            <w:r>
              <w:rPr>
                <w:rFonts w:ascii="Menlo" w:hAnsi="Menlo" w:cs="Menlo"/>
                <w:b/>
                <w:i w:val="0"/>
                <w:color w:val="9C6F1C"/>
                <w:sz w:val="16"/>
                <w:spacing w:val="16"/>
              </w:rPr>
              <w:t>ACTION</w:t>
            </w:r>
          </w:p>
        </w:tc>
        <w:tc>
          <w:tcPr>
            <w:tcW w:type="dxa" w:w="1882"/>
            <w:shd w:val="clear" w:color="auto" w:fill="F4F1EA"/>
          </w:tcPr>
          <w:p>
            <w:pPr>
              <w:spacing w:after="20"/>
            </w:pPr>
            <w:r>
              <w:rPr>
                <w:rFonts w:ascii="Menlo" w:hAnsi="Menlo" w:cs="Menlo"/>
                <w:b/>
                <w:i w:val="0"/>
                <w:color w:val="9C6F1C"/>
                <w:sz w:val="16"/>
                <w:spacing w:val="16"/>
              </w:rPr>
              <w:t>EFFORT</w:t>
            </w:r>
          </w:p>
        </w:tc>
        <w:tc>
          <w:tcPr>
            <w:tcW w:type="dxa" w:w="1882"/>
            <w:shd w:val="clear" w:color="auto" w:fill="F4F1EA"/>
          </w:tcPr>
          <w:p>
            <w:pPr>
              <w:spacing w:after="20"/>
            </w:pPr>
            <w:r>
              <w:rPr>
                <w:rFonts w:ascii="Menlo" w:hAnsi="Menlo" w:cs="Menlo"/>
                <w:b/>
                <w:i w:val="0"/>
                <w:color w:val="9C6F1C"/>
                <w:sz w:val="16"/>
                <w:spacing w:val="16"/>
              </w:rPr>
              <w:t>IMPACT</w:t>
            </w:r>
          </w:p>
        </w:tc>
        <w:tc>
          <w:tcPr>
            <w:tcW w:type="dxa" w:w="1882"/>
            <w:shd w:val="clear" w:color="auto" w:fill="F4F1EA"/>
          </w:tcPr>
          <w:p>
            <w:pPr>
              <w:spacing w:after="20"/>
            </w:pPr>
            <w:r>
              <w:rPr>
                <w:rFonts w:ascii="Menlo" w:hAnsi="Menlo" w:cs="Menlo"/>
                <w:b/>
                <w:i w:val="0"/>
                <w:color w:val="9C6F1C"/>
                <w:sz w:val="16"/>
                <w:spacing w:val="16"/>
              </w:rPr>
              <w:t>DEADLINE</w:t>
            </w:r>
          </w:p>
        </w:tc>
      </w:tr>
      <w:tr>
        <w:tc>
          <w:tcPr>
            <w:tcW w:type="dxa" w:w="1882"/>
          </w:tcPr>
          <w:p>
            <w:pPr>
              <w:spacing w:after="20" w:line="300" w:lineRule="auto"/>
            </w:pPr>
            <w:r>
              <w:rPr>
                <w:rFonts w:ascii="Avenir Next" w:hAnsi="Avenir Next" w:cs="Avenir Next"/>
                <w:b w:val="0"/>
                <w:i w:val="0"/>
                <w:color w:val="000000"/>
                <w:sz w:val="21"/>
              </w:rPr>
              <w:t>1</w:t>
            </w:r>
          </w:p>
        </w:tc>
        <w:tc>
          <w:tcPr>
            <w:tcW w:type="dxa" w:w="1882"/>
          </w:tcPr>
          <w:p>
            <w:pPr>
              <w:spacing w:after="20" w:line="300" w:lineRule="auto"/>
            </w:pPr>
            <w:r>
              <w:rPr>
                <w:rFonts w:ascii="Avenir Next" w:hAnsi="Avenir Next" w:cs="Avenir Next"/>
                <w:b/>
                <w:i w:val="0"/>
                <w:color w:val="000000"/>
                <w:sz w:val="21"/>
              </w:rPr>
              <w:t>Cut to 15 pp</w:t>
            </w:r>
            <w:r>
              <w:rPr>
                <w:rFonts w:ascii="Avenir Next" w:hAnsi="Avenir Next" w:cs="Avenir Next"/>
                <w:b w:val="0"/>
                <w:i w:val="0"/>
                <w:color w:val="000000"/>
                <w:sz w:val="21"/>
              </w:rPr>
              <w:t xml:space="preserve"> using the targets in §2.1</w:t>
            </w:r>
          </w:p>
        </w:tc>
        <w:tc>
          <w:tcPr>
            <w:tcW w:type="dxa" w:w="1882"/>
          </w:tcPr>
          <w:p>
            <w:pPr>
              <w:spacing w:after="20" w:line="300" w:lineRule="auto"/>
            </w:pPr>
            <w:r>
              <w:rPr>
                <w:rFonts w:ascii="Avenir Next" w:hAnsi="Avenir Next" w:cs="Avenir Next"/>
                <w:b w:val="0"/>
                <w:i w:val="0"/>
                <w:color w:val="000000"/>
                <w:sz w:val="21"/>
              </w:rPr>
              <w:t>30 min</w:t>
            </w:r>
          </w:p>
        </w:tc>
        <w:tc>
          <w:tcPr>
            <w:tcW w:type="dxa" w:w="1882"/>
          </w:tcPr>
          <w:p>
            <w:pPr>
              <w:spacing w:after="20" w:line="300" w:lineRule="auto"/>
            </w:pPr>
            <w:r>
              <w:rPr>
                <w:rFonts w:ascii="Avenir Next" w:hAnsi="Avenir Next" w:cs="Avenir Next"/>
                <w:b w:val="0"/>
                <w:i w:val="0"/>
                <w:color w:val="000000"/>
                <w:sz w:val="21"/>
              </w:rPr>
              <w:t>Disqualification → pass intake gate</w:t>
            </w:r>
          </w:p>
        </w:tc>
        <w:tc>
          <w:tcPr>
            <w:tcW w:type="dxa" w:w="1882"/>
          </w:tcPr>
          <w:p>
            <w:pPr>
              <w:spacing w:after="20" w:line="300" w:lineRule="auto"/>
            </w:pPr>
            <w:r>
              <w:rPr>
                <w:rFonts w:ascii="Avenir Next" w:hAnsi="Avenir Next" w:cs="Avenir Next"/>
                <w:b w:val="0"/>
                <w:i w:val="0"/>
                <w:color w:val="000000"/>
                <w:sz w:val="21"/>
              </w:rPr>
              <w:t>27 May</w:t>
            </w:r>
          </w:p>
        </w:tc>
      </w:tr>
      <w:tr>
        <w:tc>
          <w:tcPr>
            <w:tcW w:type="dxa" w:w="1882"/>
          </w:tcPr>
          <w:p>
            <w:pPr>
              <w:spacing w:after="20" w:line="300" w:lineRule="auto"/>
            </w:pPr>
            <w:r>
              <w:rPr>
                <w:rFonts w:ascii="Avenir Next" w:hAnsi="Avenir Next" w:cs="Avenir Next"/>
                <w:b w:val="0"/>
                <w:i w:val="0"/>
                <w:color w:val="000000"/>
                <w:sz w:val="21"/>
              </w:rPr>
              <w:t>2</w:t>
            </w:r>
          </w:p>
        </w:tc>
        <w:tc>
          <w:tcPr>
            <w:tcW w:type="dxa" w:w="1882"/>
          </w:tcPr>
          <w:p>
            <w:pPr>
              <w:spacing w:after="20" w:line="300" w:lineRule="auto"/>
            </w:pPr>
            <w:r>
              <w:rPr>
                <w:rFonts w:ascii="Avenir Next" w:hAnsi="Avenir Next" w:cs="Avenir Next"/>
                <w:b/>
                <w:i w:val="0"/>
                <w:color w:val="000000"/>
                <w:sz w:val="21"/>
              </w:rPr>
              <w:t>Add reference list</w:t>
            </w:r>
            <w:r>
              <w:rPr>
                <w:rFonts w:ascii="Avenir Next" w:hAnsi="Avenir Next" w:cs="Avenir Next"/>
                <w:b w:val="0"/>
                <w:i w:val="0"/>
                <w:color w:val="000000"/>
                <w:sz w:val="21"/>
              </w:rPr>
              <w:t xml:space="preserve"> (paste §4 bibliography as an appendix; verify format under SPU rule)</w:t>
            </w:r>
          </w:p>
        </w:tc>
        <w:tc>
          <w:tcPr>
            <w:tcW w:type="dxa" w:w="1882"/>
          </w:tcPr>
          <w:p>
            <w:pPr>
              <w:spacing w:after="20" w:line="300" w:lineRule="auto"/>
            </w:pPr>
            <w:r>
              <w:rPr>
                <w:rFonts w:ascii="Avenir Next" w:hAnsi="Avenir Next" w:cs="Avenir Next"/>
                <w:b w:val="0"/>
                <w:i w:val="0"/>
                <w:color w:val="000000"/>
                <w:sz w:val="21"/>
              </w:rPr>
              <w:t>20 min</w:t>
            </w:r>
          </w:p>
        </w:tc>
        <w:tc>
          <w:tcPr>
            <w:tcW w:type="dxa" w:w="1882"/>
          </w:tcPr>
          <w:p>
            <w:pPr>
              <w:spacing w:after="20" w:line="300" w:lineRule="auto"/>
            </w:pPr>
            <w:r>
              <w:rPr>
                <w:rFonts w:ascii="Avenir Next" w:hAnsi="Avenir Next" w:cs="Avenir Next"/>
                <w:b w:val="0"/>
                <w:i w:val="0"/>
                <w:color w:val="000000"/>
                <w:sz w:val="21"/>
              </w:rPr>
              <w:t>+3–5 % across criteria 1, 3, 6</w:t>
            </w:r>
          </w:p>
        </w:tc>
        <w:tc>
          <w:tcPr>
            <w:tcW w:type="dxa" w:w="1882"/>
          </w:tcPr>
          <w:p>
            <w:pPr>
              <w:spacing w:after="20" w:line="300" w:lineRule="auto"/>
            </w:pPr>
            <w:r>
              <w:rPr>
                <w:rFonts w:ascii="Avenir Next" w:hAnsi="Avenir Next" w:cs="Avenir Next"/>
                <w:b w:val="0"/>
                <w:i w:val="0"/>
                <w:color w:val="000000"/>
                <w:sz w:val="21"/>
              </w:rPr>
              <w:t>27 May</w:t>
            </w:r>
          </w:p>
        </w:tc>
      </w:tr>
      <w:tr>
        <w:tc>
          <w:tcPr>
            <w:tcW w:type="dxa" w:w="1882"/>
          </w:tcPr>
          <w:p>
            <w:pPr>
              <w:spacing w:after="20" w:line="300" w:lineRule="auto"/>
            </w:pPr>
            <w:r>
              <w:rPr>
                <w:rFonts w:ascii="Avenir Next" w:hAnsi="Avenir Next" w:cs="Avenir Next"/>
                <w:b w:val="0"/>
                <w:i w:val="0"/>
                <w:color w:val="000000"/>
                <w:sz w:val="21"/>
              </w:rPr>
              <w:t>3</w:t>
            </w:r>
          </w:p>
        </w:tc>
        <w:tc>
          <w:tcPr>
            <w:tcW w:type="dxa" w:w="1882"/>
          </w:tcPr>
          <w:p>
            <w:pPr>
              <w:spacing w:after="20" w:line="300" w:lineRule="auto"/>
            </w:pPr>
            <w:r>
              <w:rPr>
                <w:rFonts w:ascii="Avenir Next" w:hAnsi="Avenir Next" w:cs="Avenir Next"/>
                <w:b/>
                <w:i w:val="0"/>
                <w:color w:val="000000"/>
                <w:sz w:val="21"/>
              </w:rPr>
              <w:t>Insert in-text year-citations</w:t>
            </w:r>
            <w:r>
              <w:rPr>
                <w:rFonts w:ascii="Avenir Next" w:hAnsi="Avenir Next" w:cs="Avenir Next"/>
                <w:b w:val="0"/>
                <w:i w:val="0"/>
                <w:color w:val="000000"/>
                <w:sz w:val="21"/>
              </w:rPr>
              <w:t xml:space="preserve"> for the 10 frameworks in §3.1 and 3 + others (e.g., "(Mishra &amp; Koehler, 2006)") — about 20 inline edits</w:t>
            </w:r>
          </w:p>
        </w:tc>
        <w:tc>
          <w:tcPr>
            <w:tcW w:type="dxa" w:w="1882"/>
          </w:tcPr>
          <w:p>
            <w:pPr>
              <w:spacing w:after="20" w:line="300" w:lineRule="auto"/>
            </w:pPr>
            <w:r>
              <w:rPr>
                <w:rFonts w:ascii="Avenir Next" w:hAnsi="Avenir Next" w:cs="Avenir Next"/>
                <w:b w:val="0"/>
                <w:i w:val="0"/>
                <w:color w:val="000000"/>
                <w:sz w:val="21"/>
              </w:rPr>
              <w:t>45 min</w:t>
            </w:r>
          </w:p>
        </w:tc>
        <w:tc>
          <w:tcPr>
            <w:tcW w:type="dxa" w:w="1882"/>
          </w:tcPr>
          <w:p>
            <w:pPr>
              <w:spacing w:after="20" w:line="300" w:lineRule="auto"/>
            </w:pPr>
            <w:r>
              <w:rPr>
                <w:rFonts w:ascii="Avenir Next" w:hAnsi="Avenir Next" w:cs="Avenir Next"/>
                <w:b w:val="0"/>
                <w:i w:val="0"/>
                <w:color w:val="000000"/>
                <w:sz w:val="21"/>
              </w:rPr>
              <w:t>+2–3 % across criterion 1</w:t>
            </w:r>
          </w:p>
        </w:tc>
        <w:tc>
          <w:tcPr>
            <w:tcW w:type="dxa" w:w="1882"/>
          </w:tcPr>
          <w:p>
            <w:pPr>
              <w:spacing w:after="20" w:line="300" w:lineRule="auto"/>
            </w:pPr>
            <w:r>
              <w:rPr>
                <w:rFonts w:ascii="Avenir Next" w:hAnsi="Avenir Next" w:cs="Avenir Next"/>
                <w:b w:val="0"/>
                <w:i w:val="0"/>
                <w:color w:val="000000"/>
                <w:sz w:val="21"/>
              </w:rPr>
              <w:t>27 May</w:t>
            </w:r>
          </w:p>
        </w:tc>
      </w:tr>
      <w:tr>
        <w:tc>
          <w:tcPr>
            <w:tcW w:type="dxa" w:w="1882"/>
          </w:tcPr>
          <w:p>
            <w:pPr>
              <w:spacing w:after="20" w:line="300" w:lineRule="auto"/>
            </w:pPr>
            <w:r>
              <w:rPr>
                <w:rFonts w:ascii="Avenir Next" w:hAnsi="Avenir Next" w:cs="Avenir Next"/>
                <w:b w:val="0"/>
                <w:i w:val="0"/>
                <w:color w:val="000000"/>
                <w:sz w:val="21"/>
              </w:rPr>
              <w:t>4</w:t>
            </w:r>
          </w:p>
        </w:tc>
        <w:tc>
          <w:tcPr>
            <w:tcW w:type="dxa" w:w="1882"/>
          </w:tcPr>
          <w:p>
            <w:pPr>
              <w:spacing w:after="20" w:line="300" w:lineRule="auto"/>
            </w:pPr>
            <w:r>
              <w:rPr>
                <w:rFonts w:ascii="Avenir Next" w:hAnsi="Avenir Next" w:cs="Avenir Next"/>
                <w:b/>
                <w:i w:val="0"/>
                <w:color w:val="000000"/>
                <w:sz w:val="21"/>
              </w:rPr>
              <w:t>Remove "Vibe-coding"</w:t>
            </w:r>
            <w:r>
              <w:rPr>
                <w:rFonts w:ascii="Avenir Next" w:hAnsi="Avenir Next" w:cs="Avenir Next"/>
                <w:b w:val="0"/>
                <w:i w:val="0"/>
                <w:color w:val="000000"/>
                <w:sz w:val="21"/>
              </w:rPr>
              <w:t xml:space="preserve"> and replace with the academic equivalent</w:t>
            </w:r>
          </w:p>
        </w:tc>
        <w:tc>
          <w:tcPr>
            <w:tcW w:type="dxa" w:w="1882"/>
          </w:tcPr>
          <w:p>
            <w:pPr>
              <w:spacing w:after="20" w:line="300" w:lineRule="auto"/>
            </w:pPr>
            <w:r>
              <w:rPr>
                <w:rFonts w:ascii="Avenir Next" w:hAnsi="Avenir Next" w:cs="Avenir Next"/>
                <w:b w:val="0"/>
                <w:i w:val="0"/>
                <w:color w:val="000000"/>
                <w:sz w:val="21"/>
              </w:rPr>
              <w:t>5 min</w:t>
            </w:r>
          </w:p>
        </w:tc>
        <w:tc>
          <w:tcPr>
            <w:tcW w:type="dxa" w:w="1882"/>
          </w:tcPr>
          <w:p>
            <w:pPr>
              <w:spacing w:after="20" w:line="300" w:lineRule="auto"/>
            </w:pPr>
            <w:r>
              <w:rPr>
                <w:rFonts w:ascii="Avenir Next" w:hAnsi="Avenir Next" w:cs="Avenir Next"/>
                <w:b w:val="0"/>
                <w:i w:val="0"/>
                <w:color w:val="000000"/>
                <w:sz w:val="21"/>
              </w:rPr>
              <w:t>Removes credibility risk</w:t>
            </w:r>
          </w:p>
        </w:tc>
        <w:tc>
          <w:tcPr>
            <w:tcW w:type="dxa" w:w="1882"/>
          </w:tcPr>
          <w:p>
            <w:pPr>
              <w:spacing w:after="20" w:line="300" w:lineRule="auto"/>
            </w:pPr>
            <w:r>
              <w:rPr>
                <w:rFonts w:ascii="Avenir Next" w:hAnsi="Avenir Next" w:cs="Avenir Next"/>
                <w:b w:val="0"/>
                <w:i w:val="0"/>
                <w:color w:val="000000"/>
                <w:sz w:val="21"/>
              </w:rPr>
              <w:t>27 May</w:t>
            </w:r>
          </w:p>
        </w:tc>
      </w:tr>
      <w:tr>
        <w:tc>
          <w:tcPr>
            <w:tcW w:type="dxa" w:w="1882"/>
          </w:tcPr>
          <w:p>
            <w:pPr>
              <w:spacing w:after="20" w:line="300" w:lineRule="auto"/>
            </w:pPr>
            <w:r>
              <w:rPr>
                <w:rFonts w:ascii="Avenir Next" w:hAnsi="Avenir Next" w:cs="Avenir Next"/>
                <w:b w:val="0"/>
                <w:i w:val="0"/>
                <w:color w:val="000000"/>
                <w:sz w:val="21"/>
              </w:rPr>
              <w:t>5</w:t>
            </w:r>
          </w:p>
        </w:tc>
        <w:tc>
          <w:tcPr>
            <w:tcW w:type="dxa" w:w="1882"/>
          </w:tcPr>
          <w:p>
            <w:pPr>
              <w:spacing w:after="20" w:line="300" w:lineRule="auto"/>
            </w:pPr>
            <w:r>
              <w:rPr>
                <w:rFonts w:ascii="Avenir Next" w:hAnsi="Avenir Next" w:cs="Avenir Next"/>
                <w:b/>
                <w:i w:val="0"/>
                <w:color w:val="000000"/>
                <w:sz w:val="21"/>
              </w:rPr>
              <w:t>Fix the page-overrun cut targets</w:t>
            </w:r>
            <w:r>
              <w:rPr>
                <w:rFonts w:ascii="Avenir Next" w:hAnsi="Avenir Next" w:cs="Avenir Next"/>
                <w:b w:val="0"/>
                <w:i w:val="0"/>
                <w:color w:val="000000"/>
                <w:sz w:val="21"/>
              </w:rPr>
              <w:t xml:space="preserve"> while inserting bibliography</w:t>
            </w:r>
          </w:p>
        </w:tc>
        <w:tc>
          <w:tcPr>
            <w:tcW w:type="dxa" w:w="1882"/>
          </w:tcPr>
          <w:p>
            <w:pPr>
              <w:spacing w:after="20" w:line="300" w:lineRule="auto"/>
            </w:pPr>
            <w:r>
              <w:rPr>
                <w:rFonts w:ascii="Avenir Next" w:hAnsi="Avenir Next" w:cs="Avenir Next"/>
                <w:b w:val="0"/>
                <w:i w:val="0"/>
                <w:color w:val="000000"/>
                <w:sz w:val="21"/>
              </w:rPr>
              <w:t>combined with #1</w:t>
            </w:r>
          </w:p>
        </w:tc>
        <w:tc>
          <w:tcPr>
            <w:tcW w:type="dxa" w:w="1882"/>
          </w:tcPr>
          <w:p>
            <w:pPr>
              <w:spacing w:after="20" w:line="300" w:lineRule="auto"/>
            </w:pPr>
            <w:r>
              <w:rPr>
                <w:rFonts w:ascii="Avenir Next" w:hAnsi="Avenir Next" w:cs="Avenir Next"/>
                <w:b w:val="0"/>
                <w:i w:val="0"/>
                <w:color w:val="000000"/>
                <w:sz w:val="21"/>
              </w:rPr>
              <w:t>—</w:t>
            </w:r>
          </w:p>
        </w:tc>
        <w:tc>
          <w:tcPr>
            <w:tcW w:type="dxa" w:w="1882"/>
          </w:tcPr>
          <w:p>
            <w:pPr>
              <w:spacing w:after="20" w:line="300" w:lineRule="auto"/>
            </w:pPr>
            <w:r>
              <w:rPr>
                <w:rFonts w:ascii="Avenir Next" w:hAnsi="Avenir Next" w:cs="Avenir Next"/>
                <w:b w:val="0"/>
                <w:i w:val="0"/>
                <w:color w:val="000000"/>
                <w:sz w:val="21"/>
              </w:rPr>
              <w:t>27 May</w:t>
            </w:r>
          </w:p>
        </w:tc>
      </w:tr>
      <w:tr>
        <w:tc>
          <w:tcPr>
            <w:tcW w:type="dxa" w:w="1882"/>
          </w:tcPr>
          <w:p>
            <w:pPr>
              <w:spacing w:after="20" w:line="300" w:lineRule="auto"/>
            </w:pPr>
            <w:r>
              <w:rPr>
                <w:rFonts w:ascii="Avenir Next" w:hAnsi="Avenir Next" w:cs="Avenir Next"/>
                <w:b w:val="0"/>
                <w:i w:val="0"/>
                <w:color w:val="000000"/>
                <w:sz w:val="21"/>
              </w:rPr>
              <w:t>6</w:t>
            </w:r>
          </w:p>
        </w:tc>
        <w:tc>
          <w:tcPr>
            <w:tcW w:type="dxa" w:w="1882"/>
          </w:tcPr>
          <w:p>
            <w:pPr>
              <w:spacing w:after="20" w:line="300" w:lineRule="auto"/>
            </w:pPr>
            <w:r>
              <w:rPr>
                <w:rFonts w:ascii="Avenir Next" w:hAnsi="Avenir Next" w:cs="Avenir Next"/>
                <w:b/>
                <w:i w:val="0"/>
                <w:color w:val="000000"/>
                <w:sz w:val="21"/>
              </w:rPr>
              <w:t>Fix numeral consistency</w:t>
            </w:r>
            <w:r>
              <w:rPr>
                <w:rFonts w:ascii="Avenir Next" w:hAnsi="Avenir Next" w:cs="Avenir Next"/>
                <w:b w:val="0"/>
                <w:i w:val="0"/>
                <w:color w:val="000000"/>
                <w:sz w:val="21"/>
              </w:rPr>
              <w:t xml:space="preserve"> (decide Thai or Arabic, apply globally)</w:t>
            </w:r>
          </w:p>
        </w:tc>
        <w:tc>
          <w:tcPr>
            <w:tcW w:type="dxa" w:w="1882"/>
          </w:tcPr>
          <w:p>
            <w:pPr>
              <w:spacing w:after="20" w:line="300" w:lineRule="auto"/>
            </w:pPr>
            <w:r>
              <w:rPr>
                <w:rFonts w:ascii="Avenir Next" w:hAnsi="Avenir Next" w:cs="Avenir Next"/>
                <w:b w:val="0"/>
                <w:i w:val="0"/>
                <w:color w:val="000000"/>
                <w:sz w:val="21"/>
              </w:rPr>
              <w:t>25 min</w:t>
            </w:r>
          </w:p>
        </w:tc>
        <w:tc>
          <w:tcPr>
            <w:tcW w:type="dxa" w:w="1882"/>
          </w:tcPr>
          <w:p>
            <w:pPr>
              <w:spacing w:after="20" w:line="300" w:lineRule="auto"/>
            </w:pPr>
            <w:r>
              <w:rPr>
                <w:rFonts w:ascii="Avenir Next" w:hAnsi="Avenir Next" w:cs="Avenir Next"/>
                <w:b w:val="0"/>
                <w:i w:val="0"/>
                <w:color w:val="000000"/>
                <w:sz w:val="21"/>
              </w:rPr>
              <w:t>Removes editorial-detail score loss</w:t>
            </w:r>
          </w:p>
        </w:tc>
        <w:tc>
          <w:tcPr>
            <w:tcW w:type="dxa" w:w="1882"/>
          </w:tcPr>
          <w:p>
            <w:pPr>
              <w:spacing w:after="20" w:line="300" w:lineRule="auto"/>
            </w:pPr>
            <w:r>
              <w:rPr>
                <w:rFonts w:ascii="Avenir Next" w:hAnsi="Avenir Next" w:cs="Avenir Next"/>
                <w:b w:val="0"/>
                <w:i w:val="0"/>
                <w:color w:val="000000"/>
                <w:sz w:val="21"/>
              </w:rPr>
              <w:t>27 May</w:t>
            </w:r>
          </w:p>
        </w:tc>
      </w:tr>
      <w:tr>
        <w:tc>
          <w:tcPr>
            <w:tcW w:type="dxa" w:w="1882"/>
          </w:tcPr>
          <w:p>
            <w:pPr>
              <w:spacing w:after="20" w:line="300" w:lineRule="auto"/>
            </w:pPr>
            <w:r>
              <w:rPr>
                <w:rFonts w:ascii="Avenir Next" w:hAnsi="Avenir Next" w:cs="Avenir Next"/>
                <w:b w:val="0"/>
                <w:i w:val="0"/>
                <w:color w:val="000000"/>
                <w:sz w:val="21"/>
              </w:rPr>
              <w:t>7</w:t>
            </w:r>
          </w:p>
        </w:tc>
        <w:tc>
          <w:tcPr>
            <w:tcW w:type="dxa" w:w="1882"/>
          </w:tcPr>
          <w:p>
            <w:pPr>
              <w:spacing w:after="20" w:line="300" w:lineRule="auto"/>
            </w:pPr>
            <w:r>
              <w:rPr>
                <w:rFonts w:ascii="Avenir Next" w:hAnsi="Avenir Next" w:cs="Avenir Next"/>
                <w:b/>
                <w:i w:val="0"/>
                <w:color w:val="000000"/>
                <w:sz w:val="21"/>
              </w:rPr>
              <w:t>Apply the ~25 minor language fixes</w:t>
            </w:r>
            <w:r>
              <w:rPr>
                <w:rFonts w:ascii="Avenir Next" w:hAnsi="Avenir Next" w:cs="Avenir Next"/>
                <w:b w:val="0"/>
                <w:i w:val="0"/>
                <w:color w:val="000000"/>
                <w:sz w:val="21"/>
              </w:rPr>
              <w:t xml:space="preserve"> from §3 above</w:t>
            </w:r>
          </w:p>
        </w:tc>
        <w:tc>
          <w:tcPr>
            <w:tcW w:type="dxa" w:w="1882"/>
          </w:tcPr>
          <w:p>
            <w:pPr>
              <w:spacing w:after="20" w:line="300" w:lineRule="auto"/>
            </w:pPr>
            <w:r>
              <w:rPr>
                <w:rFonts w:ascii="Avenir Next" w:hAnsi="Avenir Next" w:cs="Avenir Next"/>
                <w:b w:val="0"/>
                <w:i w:val="0"/>
                <w:color w:val="000000"/>
                <w:sz w:val="21"/>
              </w:rPr>
              <w:t>45 min</w:t>
            </w:r>
          </w:p>
        </w:tc>
        <w:tc>
          <w:tcPr>
            <w:tcW w:type="dxa" w:w="1882"/>
          </w:tcPr>
          <w:p>
            <w:pPr>
              <w:spacing w:after="20" w:line="300" w:lineRule="auto"/>
            </w:pPr>
            <w:r>
              <w:rPr>
                <w:rFonts w:ascii="Avenir Next" w:hAnsi="Avenir Next" w:cs="Avenir Next"/>
                <w:b w:val="0"/>
                <w:i w:val="0"/>
                <w:color w:val="000000"/>
                <w:sz w:val="21"/>
              </w:rPr>
              <w:t>+1–2 % criterion 6</w:t>
            </w:r>
          </w:p>
        </w:tc>
        <w:tc>
          <w:tcPr>
            <w:tcW w:type="dxa" w:w="1882"/>
          </w:tcPr>
          <w:p>
            <w:pPr>
              <w:spacing w:after="20" w:line="300" w:lineRule="auto"/>
            </w:pPr>
            <w:r>
              <w:rPr>
                <w:rFonts w:ascii="Avenir Next" w:hAnsi="Avenir Next" w:cs="Avenir Next"/>
                <w:b w:val="0"/>
                <w:i w:val="0"/>
                <w:color w:val="000000"/>
                <w:sz w:val="21"/>
              </w:rPr>
              <w:t>28 May</w:t>
            </w:r>
          </w:p>
        </w:tc>
      </w:tr>
      <w:tr>
        <w:tc>
          <w:tcPr>
            <w:tcW w:type="dxa" w:w="1882"/>
          </w:tcPr>
          <w:p>
            <w:pPr>
              <w:spacing w:after="20" w:line="300" w:lineRule="auto"/>
            </w:pPr>
            <w:r>
              <w:rPr>
                <w:rFonts w:ascii="Avenir Next" w:hAnsi="Avenir Next" w:cs="Avenir Next"/>
                <w:b w:val="0"/>
                <w:i w:val="0"/>
                <w:color w:val="000000"/>
                <w:sz w:val="21"/>
              </w:rPr>
              <w:t>8</w:t>
            </w:r>
          </w:p>
        </w:tc>
        <w:tc>
          <w:tcPr>
            <w:tcW w:type="dxa" w:w="1882"/>
          </w:tcPr>
          <w:p>
            <w:pPr>
              <w:spacing w:after="20" w:line="300" w:lineRule="auto"/>
            </w:pPr>
            <w:r>
              <w:rPr>
                <w:rFonts w:ascii="Avenir Next" w:hAnsi="Avenir Next" w:cs="Avenir Next"/>
                <w:b/>
                <w:i w:val="0"/>
                <w:color w:val="000000"/>
                <w:sz w:val="21"/>
              </w:rPr>
              <w:t>Verify the 4 institutional URLs</w:t>
            </w:r>
            <w:r>
              <w:rPr>
                <w:rFonts w:ascii="Avenir Next" w:hAnsi="Avenir Next" w:cs="Avenir Next"/>
                <w:b w:val="0"/>
                <w:i w:val="0"/>
                <w:color w:val="000000"/>
                <w:sz w:val="21"/>
              </w:rPr>
              <w:t xml:space="preserve"> in the references resolve</w:t>
            </w:r>
          </w:p>
        </w:tc>
        <w:tc>
          <w:tcPr>
            <w:tcW w:type="dxa" w:w="1882"/>
          </w:tcPr>
          <w:p>
            <w:pPr>
              <w:spacing w:after="20" w:line="300" w:lineRule="auto"/>
            </w:pPr>
            <w:r>
              <w:rPr>
                <w:rFonts w:ascii="Avenir Next" w:hAnsi="Avenir Next" w:cs="Avenir Next"/>
                <w:b w:val="0"/>
                <w:i w:val="0"/>
                <w:color w:val="000000"/>
                <w:sz w:val="21"/>
              </w:rPr>
              <w:t>5 min</w:t>
            </w:r>
          </w:p>
        </w:tc>
        <w:tc>
          <w:tcPr>
            <w:tcW w:type="dxa" w:w="1882"/>
          </w:tcPr>
          <w:p>
            <w:pPr>
              <w:spacing w:after="20" w:line="300" w:lineRule="auto"/>
            </w:pPr>
            <w:r>
              <w:rPr>
                <w:rFonts w:ascii="Avenir Next" w:hAnsi="Avenir Next" w:cs="Avenir Next"/>
                <w:b w:val="0"/>
                <w:i w:val="0"/>
                <w:color w:val="000000"/>
                <w:sz w:val="21"/>
              </w:rPr>
              <w:t>Removes "dead link in references" risk</w:t>
            </w:r>
          </w:p>
        </w:tc>
        <w:tc>
          <w:tcPr>
            <w:tcW w:type="dxa" w:w="1882"/>
          </w:tcPr>
          <w:p>
            <w:pPr>
              <w:spacing w:after="20" w:line="300" w:lineRule="auto"/>
            </w:pPr>
            <w:r>
              <w:rPr>
                <w:rFonts w:ascii="Avenir Next" w:hAnsi="Avenir Next" w:cs="Avenir Next"/>
                <w:b w:val="0"/>
                <w:i w:val="0"/>
                <w:color w:val="000000"/>
                <w:sz w:val="21"/>
              </w:rPr>
              <w:t>28 May</w:t>
            </w:r>
          </w:p>
        </w:tc>
      </w:tr>
      <w:tr>
        <w:tc>
          <w:tcPr>
            <w:tcW w:type="dxa" w:w="1882"/>
          </w:tcPr>
          <w:p>
            <w:pPr>
              <w:spacing w:after="20" w:line="300" w:lineRule="auto"/>
            </w:pPr>
            <w:r>
              <w:rPr>
                <w:rFonts w:ascii="Avenir Next" w:hAnsi="Avenir Next" w:cs="Avenir Next"/>
                <w:b w:val="0"/>
                <w:i w:val="0"/>
                <w:color w:val="000000"/>
                <w:sz w:val="21"/>
              </w:rPr>
              <w:t>9</w:t>
            </w:r>
          </w:p>
        </w:tc>
        <w:tc>
          <w:tcPr>
            <w:tcW w:type="dxa" w:w="1882"/>
          </w:tcPr>
          <w:p>
            <w:pPr>
              <w:spacing w:after="20" w:line="300" w:lineRule="auto"/>
            </w:pPr>
            <w:r>
              <w:rPr>
                <w:rFonts w:ascii="Avenir Next" w:hAnsi="Avenir Next" w:cs="Avenir Next"/>
                <w:b/>
                <w:i w:val="0"/>
                <w:color w:val="000000"/>
                <w:sz w:val="21"/>
              </w:rPr>
              <w:t>Compress §3.2 Three-Theory Mapping</w:t>
            </w:r>
            <w:r>
              <w:rPr>
                <w:rFonts w:ascii="Avenir Next" w:hAnsi="Avenir Next" w:cs="Avenir Next"/>
                <w:b w:val="0"/>
                <w:i w:val="0"/>
                <w:color w:val="000000"/>
                <w:sz w:val="21"/>
              </w:rPr>
              <w:t xml:space="preserve"> by removing duplicate restatement</w:t>
            </w:r>
          </w:p>
        </w:tc>
        <w:tc>
          <w:tcPr>
            <w:tcW w:type="dxa" w:w="1882"/>
          </w:tcPr>
          <w:p>
            <w:pPr>
              <w:spacing w:after="20" w:line="300" w:lineRule="auto"/>
            </w:pPr>
            <w:r>
              <w:rPr>
                <w:rFonts w:ascii="Avenir Next" w:hAnsi="Avenir Next" w:cs="Avenir Next"/>
                <w:b w:val="0"/>
                <w:i w:val="0"/>
                <w:color w:val="000000"/>
                <w:sz w:val="21"/>
              </w:rPr>
              <w:t>15 min</w:t>
            </w:r>
          </w:p>
        </w:tc>
        <w:tc>
          <w:tcPr>
            <w:tcW w:type="dxa" w:w="1882"/>
          </w:tcPr>
          <w:p>
            <w:pPr>
              <w:spacing w:after="20" w:line="300" w:lineRule="auto"/>
            </w:pPr>
            <w:r>
              <w:rPr>
                <w:rFonts w:ascii="Avenir Next" w:hAnsi="Avenir Next" w:cs="Avenir Next"/>
                <w:b w:val="0"/>
                <w:i w:val="0"/>
                <w:color w:val="000000"/>
                <w:sz w:val="21"/>
              </w:rPr>
              <w:t>Helps page-cut budget</w:t>
            </w:r>
          </w:p>
        </w:tc>
        <w:tc>
          <w:tcPr>
            <w:tcW w:type="dxa" w:w="1882"/>
          </w:tcPr>
          <w:p>
            <w:pPr>
              <w:spacing w:after="20" w:line="300" w:lineRule="auto"/>
            </w:pPr>
            <w:r>
              <w:rPr>
                <w:rFonts w:ascii="Avenir Next" w:hAnsi="Avenir Next" w:cs="Avenir Next"/>
                <w:b w:val="0"/>
                <w:i w:val="0"/>
                <w:color w:val="000000"/>
                <w:sz w:val="21"/>
              </w:rPr>
              <w:t>27 May</w:t>
            </w:r>
          </w:p>
        </w:tc>
      </w:tr>
      <w:tr>
        <w:tc>
          <w:tcPr>
            <w:tcW w:type="dxa" w:w="1882"/>
          </w:tcPr>
          <w:p>
            <w:pPr>
              <w:spacing w:after="20" w:line="300" w:lineRule="auto"/>
            </w:pPr>
            <w:r>
              <w:rPr>
                <w:rFonts w:ascii="Avenir Next" w:hAnsi="Avenir Next" w:cs="Avenir Next"/>
                <w:b w:val="0"/>
                <w:i w:val="0"/>
                <w:color w:val="000000"/>
                <w:sz w:val="21"/>
              </w:rPr>
              <w:t>10</w:t>
            </w:r>
          </w:p>
        </w:tc>
        <w:tc>
          <w:tcPr>
            <w:tcW w:type="dxa" w:w="1882"/>
          </w:tcPr>
          <w:p>
            <w:pPr>
              <w:spacing w:after="20" w:line="300" w:lineRule="auto"/>
            </w:pPr>
            <w:r>
              <w:rPr>
                <w:rFonts w:ascii="Avenir Next" w:hAnsi="Avenir Next" w:cs="Avenir Next"/>
                <w:b w:val="0"/>
                <w:i w:val="0"/>
                <w:color w:val="000000"/>
                <w:sz w:val="21"/>
              </w:rPr>
              <w:t xml:space="preserve">(Optional) </w:t>
            </w:r>
            <w:r>
              <w:rPr>
                <w:rFonts w:ascii="Avenir Next" w:hAnsi="Avenir Next" w:cs="Avenir Next"/>
                <w:b/>
                <w:i w:val="0"/>
                <w:color w:val="000000"/>
                <w:sz w:val="21"/>
              </w:rPr>
              <w:t>Add citation to the "ผลลัพธ์ที่ 6 M-A-H-I-D-O-L" claim</w:t>
            </w:r>
            <w:r>
              <w:rPr>
                <w:rFonts w:ascii="Avenir Next" w:hAnsi="Avenir Next" w:cs="Avenir Next"/>
                <w:b w:val="0"/>
                <w:i w:val="0"/>
                <w:color w:val="000000"/>
                <w:sz w:val="21"/>
              </w:rPr>
              <w:t xml:space="preserve"> with the MU policy URL</w:t>
            </w:r>
          </w:p>
        </w:tc>
        <w:tc>
          <w:tcPr>
            <w:tcW w:type="dxa" w:w="1882"/>
          </w:tcPr>
          <w:p>
            <w:pPr>
              <w:spacing w:after="20" w:line="300" w:lineRule="auto"/>
            </w:pPr>
            <w:r>
              <w:rPr>
                <w:rFonts w:ascii="Avenir Next" w:hAnsi="Avenir Next" w:cs="Avenir Next"/>
                <w:b w:val="0"/>
                <w:i w:val="0"/>
                <w:color w:val="000000"/>
                <w:sz w:val="21"/>
              </w:rPr>
              <w:t>10 min</w:t>
            </w:r>
          </w:p>
        </w:tc>
        <w:tc>
          <w:tcPr>
            <w:tcW w:type="dxa" w:w="1882"/>
          </w:tcPr>
          <w:p>
            <w:pPr>
              <w:spacing w:after="20" w:line="300" w:lineRule="auto"/>
            </w:pPr>
            <w:r>
              <w:rPr>
                <w:rFonts w:ascii="Avenir Next" w:hAnsi="Avenir Next" w:cs="Avenir Next"/>
                <w:b w:val="0"/>
                <w:i w:val="0"/>
                <w:color w:val="000000"/>
                <w:sz w:val="21"/>
              </w:rPr>
              <w:t>Removes hedge risk</w:t>
            </w:r>
          </w:p>
        </w:tc>
        <w:tc>
          <w:tcPr>
            <w:tcW w:type="dxa" w:w="1882"/>
          </w:tcPr>
          <w:p>
            <w:pPr>
              <w:spacing w:after="20" w:line="300" w:lineRule="auto"/>
            </w:pPr>
            <w:r>
              <w:rPr>
                <w:rFonts w:ascii="Avenir Next" w:hAnsi="Avenir Next" w:cs="Avenir Next"/>
                <w:b w:val="0"/>
                <w:i w:val="0"/>
                <w:color w:val="000000"/>
                <w:sz w:val="21"/>
              </w:rPr>
              <w:t>28 May</w:t>
            </w:r>
          </w:p>
        </w:tc>
      </w:tr>
    </w:tbl>
    <w:p>
      <w:pPr>
        <w:spacing w:after="140" w:line="324" w:lineRule="auto"/>
      </w:pPr>
      <w:r>
        <w:rPr>
          <w:rFonts w:ascii="Avenir Next" w:hAnsi="Avenir Next" w:cs="Avenir Next"/>
          <w:b/>
          <w:i w:val="0"/>
          <w:color w:val="000000"/>
          <w:sz w:val="25"/>
        </w:rPr>
        <w:t>Total focused-work budget to address all priority-1 items:</w:t>
      </w:r>
      <w:r>
        <w:rPr>
          <w:rFonts w:ascii="Avenir Next" w:hAnsi="Avenir Next" w:cs="Avenir Next"/>
          <w:b w:val="0"/>
          <w:i w:val="0"/>
          <w:color w:val="000000"/>
          <w:sz w:val="25"/>
        </w:rPr>
        <w:t xml:space="preserve"> roughly 3 hours of editing.</w:t>
      </w:r>
    </w:p>
    <w:p>
      <w:pPr>
        <w:spacing w:before="80" w:after="80"/>
        <w:pBdr>
          <w:bottom w:val="single" w:sz="4" w:space="4" w:color="C9A961"/>
        </w:pBdr>
      </w:pPr>
    </w:p>
    <w:p>
      <w:pPr>
        <w:spacing w:before="320" w:after="140"/>
        <w:pBdr>
          <w:bottom w:val="single" w:sz="6" w:space="4" w:color="C9A961"/>
        </w:pBdr>
      </w:pPr>
      <w:r>
        <w:rPr>
          <w:rFonts w:ascii="Baskerville" w:hAnsi="Baskerville" w:cs="Baskerville"/>
          <w:b w:val="0"/>
          <w:i w:val="0"/>
          <w:color w:val="9C6F1C"/>
          <w:sz w:val="33"/>
        </w:rPr>
        <w:t>6 · Honest closing assessment</w:t>
      </w:r>
    </w:p>
    <w:p>
      <w:pPr>
        <w:spacing w:after="140" w:line="324" w:lineRule="auto"/>
      </w:pPr>
      <w:r>
        <w:rPr>
          <w:rFonts w:ascii="Avenir Next" w:hAnsi="Avenir Next" w:cs="Avenir Next"/>
          <w:b w:val="0"/>
          <w:i w:val="0"/>
          <w:color w:val="000000"/>
          <w:sz w:val="25"/>
        </w:rPr>
        <w:t xml:space="preserve">The document is </w:t>
      </w:r>
      <w:r>
        <w:rPr>
          <w:rFonts w:ascii="Avenir Next" w:hAnsi="Avenir Next" w:cs="Avenir Next"/>
          <w:b/>
          <w:i w:val="0"/>
          <w:color w:val="000000"/>
          <w:sz w:val="25"/>
        </w:rPr>
        <w:t>good enough to compete for the top 5</w:t>
      </w:r>
      <w:r>
        <w:rPr>
          <w:rFonts w:ascii="Avenir Next" w:hAnsi="Avenir Next" w:cs="Avenir Next"/>
          <w:b w:val="0"/>
          <w:i w:val="0"/>
          <w:color w:val="000000"/>
          <w:sz w:val="25"/>
        </w:rPr>
        <w:t xml:space="preserve">. With the priority-1 actions above (page-cut + reference list + Vibe-coding removal), the submission becomes </w:t>
      </w:r>
      <w:r>
        <w:rPr>
          <w:rFonts w:ascii="Avenir Next" w:hAnsi="Avenir Next" w:cs="Avenir Next"/>
          <w:b/>
          <w:i w:val="0"/>
          <w:color w:val="000000"/>
          <w:sz w:val="25"/>
        </w:rPr>
        <w:t>good enough to compete for top 3</w:t>
      </w:r>
      <w:r>
        <w:rPr>
          <w:rFonts w:ascii="Avenir Next" w:hAnsi="Avenir Next" w:cs="Avenir Next"/>
          <w:b w:val="0"/>
          <w:i w:val="0"/>
          <w:color w:val="000000"/>
          <w:sz w:val="25"/>
        </w:rPr>
        <w:t xml:space="preserve"> — and at top 3, the next differentiators are the video demonstration, the poster, and the final-round presentation, none of which depend on this document.</w:t>
      </w:r>
    </w:p>
    <w:p>
      <w:pPr>
        <w:spacing w:after="140" w:line="324" w:lineRule="auto"/>
      </w:pPr>
      <w:r>
        <w:rPr>
          <w:rFonts w:ascii="Avenir Next" w:hAnsi="Avenir Next" w:cs="Avenir Next"/>
          <w:b w:val="0"/>
          <w:i w:val="0"/>
          <w:color w:val="000000"/>
          <w:sz w:val="25"/>
        </w:rPr>
        <w:t xml:space="preserve">The two failure modes to actively guard against: 1. </w:t>
      </w:r>
      <w:r>
        <w:rPr>
          <w:rFonts w:ascii="Avenir Next" w:hAnsi="Avenir Next" w:cs="Avenir Next"/>
          <w:b/>
          <w:i w:val="0"/>
          <w:color w:val="000000"/>
          <w:sz w:val="25"/>
        </w:rPr>
        <w:t>Intake disqualification on page count.</w:t>
      </w:r>
      <w:r>
        <w:rPr>
          <w:rFonts w:ascii="Avenir Next" w:hAnsi="Avenir Next" w:cs="Avenir Next"/>
          <w:b w:val="0"/>
          <w:i w:val="0"/>
          <w:color w:val="000000"/>
          <w:sz w:val="25"/>
        </w:rPr>
        <w:t xml:space="preserve"> Solvable in 30 minutes. Do this first. 2. </w:t>
      </w:r>
      <w:r>
        <w:rPr>
          <w:rFonts w:ascii="Avenir Next" w:hAnsi="Avenir Next" w:cs="Avenir Next"/>
          <w:b/>
          <w:i w:val="0"/>
          <w:color w:val="000000"/>
          <w:sz w:val="25"/>
        </w:rPr>
        <w:t>Soft-disqualification by an academic judge who counts the absence of a reference list as evidence of unfinished work.</w:t>
      </w:r>
      <w:r>
        <w:rPr>
          <w:rFonts w:ascii="Avenir Next" w:hAnsi="Avenir Next" w:cs="Avenir Next"/>
          <w:b w:val="0"/>
          <w:i w:val="0"/>
          <w:color w:val="000000"/>
          <w:sz w:val="25"/>
        </w:rPr>
        <w:t xml:space="preserve"> Solvable in 20 minutes. Do this second.</w:t>
      </w:r>
    </w:p>
    <w:p>
      <w:pPr>
        <w:spacing w:after="140" w:line="324" w:lineRule="auto"/>
      </w:pPr>
      <w:r>
        <w:rPr>
          <w:rFonts w:ascii="Avenir Next" w:hAnsi="Avenir Next" w:cs="Avenir Next"/>
          <w:b w:val="0"/>
          <w:i w:val="0"/>
          <w:color w:val="000000"/>
          <w:sz w:val="25"/>
        </w:rPr>
        <w:t>Everything else is polish that earns the upper end of each criterion's band, but no judge will write you off for the absence of a Thai gloss on "advance organizer". They will write you off for "16 pages submitted, rule says 15."</w:t>
      </w:r>
    </w:p>
    <w:p>
      <w:pPr>
        <w:spacing w:after="140" w:line="324" w:lineRule="auto"/>
      </w:pPr>
      <w:r>
        <w:rPr>
          <w:rFonts w:ascii="Avenir Next" w:hAnsi="Avenir Next" w:cs="Avenir Next"/>
          <w:b w:val="0"/>
          <w:i w:val="0"/>
          <w:color w:val="000000"/>
          <w:sz w:val="25"/>
        </w:rPr>
        <w:t>— End of report.</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Menlo" w:hAnsi="Menlo" w:cs="Menlo"/>
        <w:b w:val="0"/>
        <w:i w:val="0"/>
        <w:color w:val="5A5A60"/>
        <w:sz w:val="15"/>
        <w:spacing w:val="12"/>
      </w:rPr>
      <w:t xml:space="preserve">Dr. Payungsak Kaenchan · Faculty of Liberal Arts   ·   </w:t>
    </w:r>
    <w:r>
      <w:rPr>
        <w:rFonts w:ascii="Menlo" w:hAnsi="Menlo" w:cs="Menlo"/>
        <w:b w:val="0"/>
        <w:i w:val="0"/>
        <w:color w:val="5A5A60"/>
        <w:sz w:val="15"/>
        <w:spacing w:val="12"/>
      </w:rPr>
      <w:t>FUTUREPROOF · SPU Tech Creative Learning Awards 2569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w:hAnsi="Avenir Next" w:cs="Avenir Next" w:eastAsia="Sukhumvit Set"/>
      <w:color w:val="000000"/>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