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0"/>
        <w:jc w:val="center"/>
        <w:shd w:val="clear" w:color="auto" w:fill="F3ECDD"/>
      </w:pPr>
      <w:r>
        <w:rPr>
          <w:rFonts w:ascii="Menlo" w:hAnsi="Menlo" w:cs="Menlo"/>
          <w:b w:val="0"/>
          <w:i w:val="0"/>
          <w:color w:val="9C6F1C"/>
          <w:sz w:val="18"/>
          <w:spacing w:val="8"/>
        </w:rPr>
        <w:t>[ COVER IMAGE — drop rubric-a-voice-for-change.png in /docs/document-design/covers/ ]</w:t>
      </w:r>
    </w:p>
    <w:p>
      <w:pPr>
        <w:spacing w:after="80"/>
        <w:jc w:val="center"/>
      </w:pPr>
      <w:r>
        <w:rPr>
          <w:rFonts w:ascii="Menlo" w:hAnsi="Menlo" w:cs="Sukhumvit Set" w:eastAsia="Sukhumvit Set"/>
          <w:b w:val="0"/>
          <w:i w:val="0"/>
          <w:color w:val="9C6F1C"/>
          <w:sz w:val="20"/>
          <w:spacing w:val="36"/>
        </w:rPr>
        <w:t>RUBRIC · A · ASSESSMENT INSTRUMENT</w:t>
      </w:r>
    </w:p>
    <w:p>
      <w:pPr>
        <w:spacing w:after="120" w:line="245" w:lineRule="auto"/>
        <w:jc w:val="center"/>
      </w:pPr>
      <w:r>
        <w:rPr>
          <w:rFonts w:ascii="Baskerville" w:hAnsi="Baskerville" w:cs="Baskerville"/>
          <w:b w:val="0"/>
          <w:i w:val="0"/>
          <w:color w:val="7B1B1B"/>
          <w:sz w:val="64"/>
        </w:rPr>
        <w:t>Voice for Change — Holistic Evaluation</w:t>
      </w:r>
    </w:p>
    <w:p>
      <w:pPr>
        <w:spacing w:after="80"/>
        <w:jc w:val="center"/>
      </w:pPr>
      <w:r>
        <w:rPr>
          <w:rFonts w:ascii="Baskerville" w:hAnsi="Baskerville" w:cs="Baskerville"/>
          <w:b w:val="0"/>
          <w:i/>
          <w:color w:val="5A5A60"/>
          <w:sz w:val="30"/>
        </w:rPr>
        <w:t>Assessment rubric · FUTUREPROOF</w:t>
      </w:r>
    </w:p>
    <w:p>
      <w:pPr>
        <w:spacing w:after="480"/>
        <w:jc w:val="center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รูบริก A · การประเมิน Voice for Change แบบองค์รวม</w:t>
      </w:r>
    </w:p>
    <w:p>
      <w:pPr>
        <w:spacing w:before="400"/>
        <w:jc w:val="center"/>
      </w:pPr>
      <w:r>
        <w:rPr>
          <w:rFonts w:ascii="Avenir Next" w:hAnsi="Avenir Next" w:cs="Avenir Next"/>
          <w:b w:val="0"/>
          <w:i w:val="0"/>
          <w:color w:val="000000"/>
          <w:sz w:val="22"/>
        </w:rPr>
        <w:t>Dr. Payungsak Kaenchan  ·  Faculty of Liberal Arts, Mahidol University</w:t>
      </w:r>
    </w:p>
    <w:p>
      <w:pPr>
        <w:jc w:val="center"/>
      </w:pPr>
      <w:r>
        <w:rPr>
          <w:rFonts w:ascii="Menlo" w:hAnsi="Menlo" w:cs="Menlo"/>
          <w:b w:val="0"/>
          <w:i w:val="0"/>
          <w:color w:val="5A5A60"/>
          <w:sz w:val="16"/>
          <w:spacing w:val="16"/>
        </w:rPr>
        <w:t>Submitted to the SPU Tech Creative Learning Awards 2569</w:t>
      </w:r>
    </w:p>
    <w:p>
      <w:r>
        <w:br w:type="page"/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FUTUREPROOF · SDG MISSION JOURNEY   ·   RUBRIC · A · ASSESSMENT INSTRUMENT</w:t>
      </w:r>
    </w:p>
    <w:p>
      <w:pPr>
        <w:spacing w:before="40" w:after="80" w:line="245" w:lineRule="auto"/>
      </w:pPr>
      <w:r>
        <w:rPr>
          <w:rFonts w:ascii="Baskerville" w:hAnsi="Baskerville" w:cs="Baskerville"/>
          <w:b w:val="0"/>
          <w:i w:val="0"/>
          <w:color w:val="7B1B1B"/>
          <w:sz w:val="54"/>
        </w:rPr>
        <w:t>Voice for Change — Holistic Evaluation</w:t>
      </w:r>
    </w:p>
    <w:p>
      <w:pPr>
        <w:spacing w:after="200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รูบริก A · การประเมินผลงาน Voice for Change แบบองค์รวม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PURPOSE · วัตถุประสงค์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Provide the final, official </w:t>
      </w:r>
      <w:r>
        <w:rPr>
          <w:rFonts w:ascii="Avenir Next" w:hAnsi="Avenir Next" w:cs="Avenir Next"/>
          <w:b/>
          <w:i w:val="0"/>
          <w:color w:val="000000"/>
          <w:sz w:val="25"/>
        </w:rPr>
        <w:t>summative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grade for the learner's capstone artifact — the Voice for Change proposal — independent of which expression lane (live audio, uploaded audio/video, or Canva visual) the learner selected. Grade the </w:t>
      </w:r>
      <w:r>
        <w:rPr>
          <w:rFonts w:ascii="Avenir Next" w:hAnsi="Avenir Next" w:cs="Avenir Next"/>
          <w:b/>
          <w:i w:val="0"/>
          <w:color w:val="000000"/>
          <w:sz w:val="25"/>
        </w:rPr>
        <w:t>argument and its expression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>, not the production polish of the lane. This rubric is the rubric the teacher uses; the AI does not grade the capstone — that boundary is the AI-TPACK principle made operational.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OBJECTIVES · เป้าหมายเฉพาะ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Measure language proficiency across academic, persuasive, and evaluative registers (C1 target for advanced LALA109 learners).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Surface critical and ethical reasoning quality — especially how the learner engages the strongest counter-position.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Assess craft of the chosen medium without privileging expensive production over a clearer cheaper one.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Verify synthesis of the evidence the learner committed to in-mission (the q6 commitment carried forward).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Document AI-collaboration ethics — what the learner did with AI vs. what they own as their own judgement.</w:t>
      </w:r>
    </w:p>
    <w:p>
      <w:pPr>
        <w:spacing w:after="140" w:line="324" w:lineRule="auto"/>
      </w:pP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APPLIES TO · ขอบเขตการใช้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The learner's Voice for Change proposal — one concrete ask addressed to a real Thai community or institution — submitted in any one of three lanes (live audio recording · uploaded audio/video · Canva visual exported and uploaded). The lane is a means of expression (CAST UDL); it never changes the bar.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SCORING SCALE · มาตราการให้คะแนน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Five dimensions, each scored 1 (Emerging) · 4 (Developing) · 7 (Proficient) · 10 (Distinguished). Dimensions 1–4 are weighted × 1.0; dimension 5 (AI Collaboration Ethics) × 0.5. Maximum: 45. Bands: 38–45 = A · 30–37 = B · 22–29 = C · ≤21 = Revise &amp; Resubmit.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USED BY · ผู้ใช้รูบริก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Teacher Judges (Tier 3 of the 4-tier hybrid judging system) — the human, summative, official grade. AI Judges produced formative feedback throughout the missions (Rubric B); peer judges scored soft skills (Rubric D); the capstone grade is human-only by design.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PEDAGOGICAL ANCHORS · กรอบทฤษฎีที่ใช้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PICRAT · Creative-Transforms cell · AI-TPACK boundary · CAST UDL 3.0 (multiple means of expression) · Bloom's Revised Taxonomy · Create · Mayer CTML (multimedia integration)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1 · Language Proficiency Across Registers · ×1.0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10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Controls academic, persuasive, and evaluative registers within one coherent piece. Hedging, modality, and metadiscourse used with intent. C1 alignment evident.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7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Generally appropriate register; occasional overreach on persuasion or under-specification on the evidence claim. B2 alignment evident.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Developing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Register slips (the appeal reads academic; the evidence reads conversational). B1 alignment.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Register undifferentiated; errors interfere with meaning. A2 or below.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Look for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Modal verbs in the policy ask; precise citation of the evidence committed in-mission; audience-appropriate affect when addressing the community. Tier-fair grading: judge proficiency against the learner's demonstrated control, not against native-likeness; a Tier-1 reader who argues precisely in plainer language is not penalised for plainness.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2 · Critical &amp; Ethical Reasoning · ×1.0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10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Defends a clear judgement that engages — not avoids — the strongest counter-position from the missions. The trade-off is named, not smoothed over. Reasoning chain explicit.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7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Position clear; the counter-position is acknowledged but treated thinly.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Developing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Position stated, not defended; counter-position strawmanned or absent.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No discernible ethical reasoning; the conclusion is asserted.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Look for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"however," "even so," "the strongest case against this is…"; explicit handling of the regional trade-off the learner walked (water vs. next generation, clean air vs. livelihood, flood defence vs. tenure, etc.).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3 · Craft of the Chosen Medium · ×1.0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10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Delivery and structure reinforce the argument: paced narration · clean visual hierarchy · coherent edit — the medium serves the message as one artifact.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7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Structure mostly clear; minor issues (uneven pacing, a redundant slide, a soft open).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Developing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Structure uneven; the audience has to work to follow the argument.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No discernible craft judgement in the chosen lane.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Lane-specific cues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Audio — pacing, emphasis, audible structure. Video — shot/edit clarity, sound. Canva visual — hierarchy, restraint, type scale. Do </w:t>
      </w:r>
      <w:r>
        <w:rPr>
          <w:rFonts w:ascii="Avenir Next" w:hAnsi="Avenir Next" w:cs="Avenir Next"/>
          <w:b/>
          <w:i w:val="0"/>
          <w:color w:val="000000"/>
          <w:sz w:val="25"/>
        </w:rPr>
        <w:t>not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reward expensive production over a clearer cheaper one; a phone recording can score 10.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4 · Synthesis &amp; the Evidence Commitment · ×1.0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10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The parts are inseparable; the proposal carries the evidence the learner committed to in a mission (the q6 commitment) — or argues explicitly why it no longer holds. The address to the audience resolves, not repeats.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7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Parts relate, but one is decorative; the evidence commitment is referenced but thinly used.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Developing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Parts sequenced rather than synthesised; the prior evidence commitment is absent.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Parts do not connect.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  <w:r>
        <w:rPr>
          <w:rFonts w:ascii="Avenir Next" w:hAnsi="Avenir Next" w:cs="Avenir Next"/>
          <w:b/>
          <w:i w:val="0"/>
          <w:color w:val="000000"/>
          <w:sz w:val="25"/>
        </w:rPr>
        <w:t>Look for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Does the proposed action follow from the crisis and the evidence, or just sit next to them? Cross-check the learner's recorded evidence-commitment surfaced on the Final Task screen.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5 · Documented AI Collaboration &amp; Authorship Ethics · ×0.5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SCORE</w:t>
            </w:r>
          </w:p>
        </w:tc>
        <w:tc>
          <w:tcPr>
            <w:tcW w:type="dxa" w:w="4706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DESCRIPTOR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10 · Distinguished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AI use is named, contextualised, and reflected on; the learner states which judgements stayed their own.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7 · Proficient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AI use named; reflection generic.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4 · Developing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AI use acknowledged only in passing.</w:t>
            </w:r>
          </w:p>
        </w:tc>
      </w:tr>
      <w:tr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1 · Emerging</w:t>
            </w:r>
          </w:p>
        </w:tc>
        <w:tc>
          <w:tcPr>
            <w:tcW w:type="dxa" w:w="4706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AI use not acknowledged.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Look for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The learner's stated boundary between AI-assisted language and learner-owned judgement — the same boundary the platform models.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NOTES FOR THE GRADER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Score on evidence in the submission, not impression of effort or lane cost. The diagnostic reading tier is a fairness lens for dimension 1 only — it never lowers the bar for reasoning, synthesis, or ethics. A learner who reached the capstone has six Keystones; this grade evaluates the capstone itself, independently.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enlo" w:hAnsi="Menlo" w:cs="Menlo"/>
        <w:b w:val="0"/>
        <w:i w:val="0"/>
        <w:color w:val="5A5A60"/>
        <w:sz w:val="15"/>
        <w:spacing w:val="12"/>
      </w:rPr>
      <w:t xml:space="preserve">Dr. Payungsak Kaenchan · Faculty of Liberal Arts   ·   </w:t>
    </w:r>
    <w:r>
      <w:rPr>
        <w:rFonts w:ascii="Menlo" w:hAnsi="Menlo" w:cs="Menlo"/>
        <w:b w:val="0"/>
        <w:i w:val="0"/>
        <w:color w:val="5A5A60"/>
        <w:sz w:val="15"/>
        <w:spacing w:val="12"/>
      </w:rPr>
      <w:t>FUTUREPROOF · SPU Tech Creative Learning Awards 2569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 w:cs="Avenir Next" w:eastAsia="Sukhumvit Set"/>
      <w:color w:val="000000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