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800"/>
        <w:jc w:val="center"/>
        <w:shd w:val="clear" w:color="auto" w:fill="F3ECDD"/>
      </w:pPr>
      <w:r>
        <w:rPr>
          <w:rFonts w:ascii="Menlo" w:hAnsi="Menlo" w:cs="Menlo"/>
          <w:b w:val="0"/>
          <w:i w:val="0"/>
          <w:color w:val="9C6F1C"/>
          <w:sz w:val="18"/>
          <w:spacing w:val="8"/>
        </w:rPr>
        <w:t>[ COVER IMAGE — drop rubric-b-mission-decision.png in /docs/document-design/covers/ ]</w:t>
      </w:r>
    </w:p>
    <w:p>
      <w:pPr>
        <w:spacing w:after="80"/>
        <w:jc w:val="center"/>
      </w:pPr>
      <w:r>
        <w:rPr>
          <w:rFonts w:ascii="Menlo" w:hAnsi="Menlo" w:cs="Sukhumvit Set" w:eastAsia="Sukhumvit Set"/>
          <w:b w:val="0"/>
          <w:i w:val="0"/>
          <w:color w:val="9C6F1C"/>
          <w:sz w:val="20"/>
          <w:spacing w:val="36"/>
        </w:rPr>
        <w:t>RUBRIC · B · AI JUDGE LOGIC</w:t>
      </w:r>
    </w:p>
    <w:p>
      <w:pPr>
        <w:spacing w:after="120" w:line="245" w:lineRule="auto"/>
        <w:jc w:val="center"/>
      </w:pPr>
      <w:r>
        <w:rPr>
          <w:rFonts w:ascii="Baskerville" w:hAnsi="Baskerville" w:cs="Baskerville"/>
          <w:b w:val="0"/>
          <w:i w:val="0"/>
          <w:color w:val="7B1B1B"/>
          <w:sz w:val="64"/>
        </w:rPr>
        <w:t>Mission Decision Quality — AI Judge Logic</w:t>
      </w:r>
    </w:p>
    <w:p>
      <w:pPr>
        <w:spacing w:after="80"/>
        <w:jc w:val="center"/>
      </w:pPr>
      <w:r>
        <w:rPr>
          <w:rFonts w:ascii="Baskerville" w:hAnsi="Baskerville" w:cs="Baskerville"/>
          <w:b w:val="0"/>
          <w:i/>
          <w:color w:val="5A5A60"/>
          <w:sz w:val="30"/>
        </w:rPr>
        <w:t>Assessment rubric · FUTUREPROOF</w:t>
      </w:r>
    </w:p>
    <w:p>
      <w:pPr>
        <w:spacing w:after="480"/>
        <w:jc w:val="center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B · คุณภาพการตัดสินใจระหว่างภารกิจ</w:t>
      </w:r>
    </w:p>
    <w:p>
      <w:pPr>
        <w:spacing w:before="400"/>
        <w:jc w:val="center"/>
      </w:pPr>
      <w:r>
        <w:rPr>
          <w:rFonts w:ascii="Avenir Next" w:hAnsi="Avenir Next" w:cs="Avenir Next"/>
          <w:b w:val="0"/>
          <w:i w:val="0"/>
          <w:color w:val="000000"/>
          <w:sz w:val="22"/>
        </w:rPr>
        <w:t>Dr. Payungsak Kaenchan  ·  Faculty of Liberal Arts, Mahidol University</w:t>
      </w:r>
    </w:p>
    <w:p>
      <w:pPr>
        <w:jc w:val="center"/>
      </w:pPr>
      <w:r>
        <w:rPr>
          <w:rFonts w:ascii="Menlo" w:hAnsi="Menlo" w:cs="Menlo"/>
          <w:b w:val="0"/>
          <w:i w:val="0"/>
          <w:color w:val="5A5A60"/>
          <w:sz w:val="16"/>
          <w:spacing w:val="16"/>
        </w:rPr>
        <w:t>Submitted to the SPU Tech Creative Learning Awards 2569</w:t>
      </w:r>
    </w:p>
    <w:p>
      <w:r>
        <w:br w:type="page"/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FUTUREPROOF · SDG MISSION JOURNEY   ·   RUBRIC · B · AI JUDGE LOGIC</w:t>
      </w:r>
    </w:p>
    <w:p>
      <w:pPr>
        <w:spacing w:before="40" w:after="80" w:line="245" w:lineRule="auto"/>
      </w:pPr>
      <w:r>
        <w:rPr>
          <w:rFonts w:ascii="Baskerville" w:hAnsi="Baskerville" w:cs="Baskerville"/>
          <w:b w:val="0"/>
          <w:i w:val="0"/>
          <w:color w:val="7B1B1B"/>
          <w:sz w:val="54"/>
        </w:rPr>
        <w:t>Mission Decision Quality — AI Judge Logic</w:t>
      </w:r>
    </w:p>
    <w:p>
      <w:pPr>
        <w:spacing w:after="200"/>
      </w:pPr>
      <w:r>
        <w:rPr>
          <w:rFonts w:ascii="Sukhumvit Set" w:hAnsi="Sukhumvit Set" w:cs="Sukhumvit Set" w:eastAsia="Sukhumvit Set"/>
          <w:b w:val="0"/>
          <w:i w:val="0"/>
          <w:color w:val="9C6F1C"/>
          <w:sz w:val="26"/>
        </w:rPr>
        <w:t>รูบริก B · คุณภาพการตัดสินใจในภารกิจ (ตรรกะ AI Judge)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PURPOSE · วัตถุประสงค์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Make the AI Judges' scoring logic </w:t>
      </w:r>
      <w:r>
        <w:rPr>
          <w:rFonts w:ascii="Avenir Next" w:hAnsi="Avenir Next" w:cs="Avenir Next"/>
          <w:b/>
          <w:i w:val="0"/>
          <w:color w:val="000000"/>
          <w:sz w:val="25"/>
        </w:rPr>
        <w:t>transparent and auditable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— for teachers, learners, and the competition judges. Every decision a learner submits inside a mission is scored against the criteria in this rubric. The platform's feedback prompts and Insight-Token awards are deterministic functions of these scores.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OBJECTIVES · เป้าหมายเฉพาะ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Specify the exact dimensions on which AI Judges score each of the five mission stages (BRIEF → PROBE → DECIDE → ACT → DEBRIEF).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Anchor every AI prompt to descriptors a teacher could audit by hand on a random-sample basis.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Document the deliberate confidence-trap at the DECIDE stage and why it is pedagogically defensible.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Define how stage scores compose into the mission pass-threshold that awards an SDG Keystone (idempotent — keystones cannot be double-counted).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Specify the formative-feedback contract: every return includes a specific actionable growthEdge; a null fails validation and the call retries — the journey never blocks.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APPLIES TO · ขอบเขตการใช้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Each decision logged during a mission. Six regional missions (EEC fringe health · Mae Sot education · Khon Kaen water · Bangkok cities · Chiang Mai climate · Andaman marine) all run the same 5-stage arc. The AI Judge scores per stage; the engine composes the mission pass-threshold from those scores.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SCORING SCALE · มาตราการให้คะแนน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Each criterion 1 · 3 · 5. Insight Tokens awarded −10 … +25 from the integrated score (tokens are a process reward — they never buy a Keystone). Pass threshold: engine composite ≥ 0.60 OR net-token bar ≥ 8 ◆. Clearing the bar awards the SDG Keystone for that region (idempotent).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USED BY · ผู้ใช้รูบริก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 Judges (Tier 1 of the 4-tier hybrid judging system, formative, every mission, every region). Teachers audit randomly-sampled scores against this rubric to calibrate the model. The capstone (Voice for Change) is excluded by design — it belongs to Rubric A (teacher), preserving the AI-TPACK boundary.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PEDAGOGICAL ANCHORS · กรอบทฤษฎีที่ใช้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AI-TPACK (boundary) · PICRAT · Interactive-Amplifies · Bloom's Revised Taxonomy (Remember → Metacognition) · Hattie Visible Learning (formative feedback) · Vygotsky ZPD (the confidence-trap forces productive struggle)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Stage 01 · BRIEF — Absorb the situation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REMEMBER / UNDERSTAND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Factual grounding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Multiple errors of fact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Mostly accurate, minor slips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All claims traceable to the dossier (at the learner's tier)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Vocabulary recognition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Misuses key terms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Uses key terms with occasional imprecision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Uses key terms precisely; differentiates near-synonyms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Situation grasp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Misses the core tension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States the tension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the tension and whose interests it pits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**** **** **** Stage 02 · PROBE — Question the sources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ANALYZE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Source provenance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Trusts the most familiar / loudest source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Weighs one provenance signal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Weighs methodology, recency, and conflict of interest together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Comprehension depth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Surface restatement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Captures one layer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Captures multiple layers and the contested claim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Stakeholder reading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Conflates stakeholders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Maps each to a stated concern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Distinguishes stated vs. likely hidden concerns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**** **** **** Stage 03 · DECIDE — Choose under a real trade-off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EVALUATE · HIGHEST-STAKES SCORING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Strategic coherence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Choice contradicts stated values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Aligns but generic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Specific, defensible, traceable to scenario evidence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Consequence awareness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Ignores second-order effects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one consequence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Anticipates the trade-off the counter-position will raise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Confidence calibration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High confidence on weak reasoning (deliberate trap)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Confidence loosely matched to evidence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Confidence honestly tracks evidence strength</w:t>
            </w:r>
          </w:p>
        </w:tc>
      </w:tr>
    </w:tbl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/>
          <w:i w:val="0"/>
          <w:color w:val="000000"/>
          <w:sz w:val="25"/>
        </w:rPr>
        <w:t>Token Band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The arc's highest-stakes scoring — −10 (high-confidence trap) … +25 (calibrated, defensible). The confidence-trap is deliberate: it makes overclaiming costly, modelling intellectual humility (Vygotsky ZPD-style productive struggle).</w:t>
      </w:r>
    </w:p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Stage 04 · ACT — Communicate the decision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APPLY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Language quality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Errors compromise meaning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Generally clear, minor errors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Controlled register, audience-appropriate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Audience awareness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Generic "audience"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one audience-specific concern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Anticipates and addresses audience objections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Justification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One-sentence assertion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Reasoned but thin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Explicit, specific, names the trade-off</w:t>
            </w:r>
          </w:p>
        </w:tc>
      </w:tr>
    </w:tbl>
    <w:p>
      <w:pPr>
        <w:spacing w:before="320" w:after="140"/>
        <w:pBdr>
          <w:bottom w:val="single" w:sz="6" w:space="4" w:color="C9A961"/>
        </w:pBdr>
      </w:pPr>
      <w:r>
        <w:rPr>
          <w:rFonts w:ascii="Baskerville" w:hAnsi="Baskerville" w:cs="Baskerville"/>
          <w:b w:val="0"/>
          <w:i w:val="0"/>
          <w:color w:val="9C6F1C"/>
          <w:sz w:val="33"/>
        </w:rPr>
        <w:t>**** **** **** Stage 05 · DEBRIEF — Reflect on consequence</w:t>
      </w:r>
    </w:p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BLOOM: METACOGNITION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353"/>
        <w:gridCol w:w="2353"/>
        <w:gridCol w:w="2353"/>
        <w:gridCol w:w="2353"/>
      </w:tblGrid>
      <w:tr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CRITERION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1 · EMERGING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3 · DEVELOPING</w:t>
            </w:r>
          </w:p>
        </w:tc>
        <w:tc>
          <w:tcPr>
            <w:tcW w:type="dxa" w:w="2353"/>
            <w:shd w:val="clear" w:color="auto" w:fill="F4F1EA"/>
          </w:tcPr>
          <w:p>
            <w:pPr>
              <w:spacing w:after="20"/>
            </w:pPr>
            <w:r>
              <w:rPr>
                <w:rFonts w:ascii="Menlo" w:hAnsi="Menlo" w:cs="Menlo"/>
                <w:b/>
                <w:i w:val="0"/>
                <w:color w:val="9C6F1C"/>
                <w:sz w:val="16"/>
                <w:spacing w:val="16"/>
              </w:rPr>
              <w:t>5 · DISTINGUISHED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Counterargument handling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Dismisses or capitulates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Acknowledges, partially answers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Acknowledges, refutes, refines own position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Willingness to revise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None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Revision in form only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Genuinely incorporates the strongest counter</w:t>
            </w:r>
          </w:p>
        </w:tc>
      </w:tr>
      <w:tr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Evidence commitment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None recorded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Names evidence vaguely</w:t>
            </w:r>
          </w:p>
        </w:tc>
        <w:tc>
          <w:tcPr>
            <w:tcW w:type="dxa" w:w="2353"/>
          </w:tcPr>
          <w:p>
            <w:pPr>
              <w:spacing w:after="20" w:line="300" w:lineRule="auto"/>
            </w:pPr>
            <w:r>
              <w:rPr>
                <w:rFonts w:ascii="Avenir Next" w:hAnsi="Avenir Next" w:cs="Avenir Next"/>
                <w:b w:val="0"/>
                <w:i w:val="0"/>
                <w:color w:val="000000"/>
                <w:sz w:val="21"/>
              </w:rPr>
              <w:t>Commits to specific evidence (carried to the Voice for Change)</w:t>
            </w:r>
          </w:p>
        </w:tc>
      </w:tr>
    </w:tbl>
    <w:p>
      <w:pPr>
        <w:spacing w:after="40"/>
      </w:pPr>
      <w:r>
        <w:rPr>
          <w:rFonts w:ascii="Menlo" w:hAnsi="Menlo" w:cs="Sukhumvit Set" w:eastAsia="Sukhumvit Set"/>
          <w:b w:val="0"/>
          <w:i w:val="0"/>
          <w:color w:val="9C6F1C"/>
          <w:sz w:val="18"/>
          <w:spacing w:val="32"/>
        </w:rPr>
        <w:t>**** **** **** CALIBRATION &amp; OPERATIONAL NOTES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AI-Judge calibration: during the pilot, random-sample ~5% of decisions and compare AI scores to a teacher's; drift greater than 0.5 score-point on any criterion triggers prompt revision.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growthEdge mandatory: every AI return must include a specific actionable growthEdge. A null fails validation and the call is retried — the journey never blocks.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No dead-ends: a learner below the bar may replay DECIDE/ACT, or a teacher may grant the Keystone for assessed offline-equivalent work (logged, audited — see Teacher Guide).</w:t>
      </w:r>
    </w:p>
    <w:p>
      <w:pPr>
        <w:pStyle w:val="ListBullet"/>
        <w:spacing w:after="60" w:line="312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>Composite pass rule: stage scores compose into the mission pass-threshold via the engine (default 0.60). Tokens reward process; the Keystone records "met the bar for this region."</w:t>
      </w:r>
    </w:p>
    <w:p>
      <w:pPr>
        <w:spacing w:after="140" w:line="324" w:lineRule="auto"/>
      </w:pP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  <w:r>
        <w:rPr>
          <w:rFonts w:ascii="Avenir Next" w:hAnsi="Avenir Next" w:cs="Avenir Next"/>
          <w:b w:val="0"/>
          <w:i w:val="0"/>
          <w:color w:val="000000"/>
          <w:sz w:val="25"/>
        </w:rPr>
        <w:t xml:space="preserve"> </w:t>
      </w:r>
    </w:p>
    <w:sectPr w:rsidR="00FC693F" w:rsidRPr="0006063C" w:rsidSect="00034616">
      <w:footerReference w:type="default" r:id="rId9"/>
      <w:pgSz w:w="11906" w:h="16838"/>
      <w:pgMar w:top="1247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Menlo" w:hAnsi="Menlo" w:cs="Menlo"/>
        <w:b w:val="0"/>
        <w:i w:val="0"/>
        <w:color w:val="5A5A60"/>
        <w:sz w:val="15"/>
        <w:spacing w:val="12"/>
      </w:rPr>
      <w:t xml:space="preserve">Dr. Payungsak Kaenchan · Faculty of Liberal Arts   ·   </w:t>
    </w:r>
    <w:r>
      <w:rPr>
        <w:rFonts w:ascii="Menlo" w:hAnsi="Menlo" w:cs="Menlo"/>
        <w:b w:val="0"/>
        <w:i w:val="0"/>
        <w:color w:val="5A5A60"/>
        <w:sz w:val="15"/>
        <w:spacing w:val="12"/>
      </w:rPr>
      <w:t>FUTUREPROOF · SPU Tech Creative Learning Awards 2569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venir Next" w:hAnsi="Avenir Next" w:cs="Avenir Next" w:eastAsia="Sukhumvit Set"/>
      <w:color w:val="000000"/>
      <w:sz w:val="25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