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0"/>
        <w:jc w:val="center"/>
        <w:shd w:val="clear" w:color="auto" w:fill="F3ECDD"/>
      </w:pPr>
      <w:r>
        <w:rPr>
          <w:rFonts w:ascii="Menlo" w:hAnsi="Menlo" w:cs="Menlo"/>
          <w:b w:val="0"/>
          <w:i w:val="0"/>
          <w:color w:val="9C6F1C"/>
          <w:sz w:val="18"/>
          <w:spacing w:val="8"/>
        </w:rPr>
        <w:t>[ COVER IMAGE — drop pilot-measurement-plan.png in /docs/document-design/covers/ ]</w:t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RESEARCH DESIGN · FOR JUDGES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Pilot &amp; Measurement Plan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The research design behind FUTUREPROOF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แผนการนำร่องและการวัดผลกระทบ · ภาคการศึกษา ๑ / ๒๕๖๙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PILOT &amp; MEASUREMENT · V1.0 · MAY 2026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Pilot &amp; Measurement Plan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แผนการนำร่องและการวัดผลกระทบ · ภาคการศึกษา ๑ / ๒๕๖๙</w:t>
      </w:r>
    </w:p>
    <w:p>
      <w:pPr>
        <w:spacing w:after="280" w:line="312" w:lineRule="auto"/>
      </w:pPr>
      <w:r>
        <w:rPr>
          <w:rFonts w:ascii="Baskerville" w:hAnsi="Baskerville" w:cs="Baskerville"/>
          <w:b w:val="0"/>
          <w:i/>
          <w:color w:val="5A5A60"/>
          <w:sz w:val="29"/>
        </w:rPr>
        <w:t>This submission is a launch-ready innovation in its zero-cohort phase. Other submissions show what happened — we show what we are prepared to measure. The data study is the next phase, not the current one.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The pilot · semester 1 / academic year 2569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948"/>
        <w:gridCol w:w="6463"/>
      </w:tblGrid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FIRST COHORT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LALA109 · Sem 1 / AY 2569 · August 2026 · Mahidol University, Faculty of Liberal Arts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COHORT SIZE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Up to 50 learners per section × up to 6 sections = up to 300 learners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DURATION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15 weeks · 3 in-class hours + 6 async hours per week (135 hours total)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COURSE FIT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Replaces the existing Design-Thinking SDG project (weeks 7–14, currently 40% of grade)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TEACHER PREPARATION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10 hours pre-term · workshop + Teacher's Manual self-study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What we measure · five instruments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INSTRUMENT</w:t>
            </w:r>
          </w:p>
        </w:tc>
        <w:tc>
          <w:tcPr>
            <w:tcW w:type="dxa" w:w="2948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CAPTURES</w:t>
            </w:r>
          </w:p>
        </w:tc>
        <w:tc>
          <w:tcPr>
            <w:tcW w:type="dxa" w:w="4535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METHOD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A · capstone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Voice for Change argument + craft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Teacher · summative · 5 dimensions × 1.0/0.5 · max 45 pts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B · in-mission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Decision quality across 5 stages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· formative · stage-anchored · token-graded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C · CEFR delta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Language gain (pre / mid / post)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5 dimensions × half-band increments · target +4 half-bands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Rubric D · soft skills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Critical · analytical · collaboration · ethics · decision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Teacher + peer · 5 dimensions × max 6 pts each</w:t>
            </w:r>
          </w:p>
        </w:tc>
      </w:tr>
      <w:tr>
        <w:tc>
          <w:tcPr>
            <w:tcW w:type="dxa" w:w="192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Attitude shift</w:t>
            </w:r>
          </w:p>
        </w:tc>
        <w:tc>
          <w:tcPr>
            <w:tcW w:type="dxa" w:w="2948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Pre / post attitudes toward SDGs · AI</w:t>
            </w:r>
          </w:p>
        </w:tc>
        <w:tc>
          <w:tcPr>
            <w:tcW w:type="dxa" w:w="4535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Likert-scale survey · n = full cohort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Reliability &amp; ethics safeguards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Inter-rater reliability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Cohen's κ ≥ 0.7 target between two human evaluators on a 10% audit sample.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AI evaluator calibration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random 5% audit against teacher score; drift &gt; 0.5 score-points triggers prompt revision.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PDPA compliance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bilingual consent before any personal-data write; 90-day auto-deletion post-course; granular consent per data category.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DPIA on file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Data Protection Impact Assessment per พ.ร.บ. คุ้มครองข้อมูลส่วนบุคคล พ.ศ. 2562.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Withdrawal rule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learners may withdraw from research participation while continuing the course; their data is purged within 7 days.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Dissemination path · once data lands</w:t>
      </w:r>
    </w:p>
    <w:p>
      <w:pPr>
        <w:spacing w:before="200" w:after="60"/>
      </w:pPr>
      <w:r>
        <w:rPr>
          <w:rFonts w:ascii="Baskerville" w:hAnsi="Baskerville" w:cs="Baskerville"/>
          <w:b/>
          <w:i w:val="0"/>
          <w:color w:val="000000"/>
          <w:sz w:val="27"/>
        </w:rPr>
        <w:t>Conferences (target)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TESOL International Convention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AsiaTEFL Annual Conference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EuroCALL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AILA World Congress</w:t>
      </w:r>
    </w:p>
    <w:p>
      <w:pPr>
        <w:spacing w:before="200" w:after="60"/>
      </w:pPr>
      <w:r>
        <w:rPr>
          <w:rFonts w:ascii="Baskerville" w:hAnsi="Baskerville" w:cs="Baskerville"/>
          <w:b/>
          <w:i w:val="0"/>
          <w:color w:val="000000"/>
          <w:sz w:val="27"/>
        </w:rPr>
        <w:t>Journals (target)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Computer Assisted Language Learning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ReCALL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Language Learning &amp; Technology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Journal of Digital Learning in Teacher Education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Why this matters · the strategic frame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Past Thai education-innovation competitions have rewarded “evidence of impact” via retrospective classroom data. FUTUREPROOF inverts this: we provide </w:t>
      </w:r>
      <w:r>
        <w:rPr>
          <w:rFonts w:ascii="Avenir Next" w:hAnsi="Avenir Next" w:cs="Avenir Next"/>
          <w:b/>
          <w:i w:val="0"/>
          <w:color w:val="000000"/>
          <w:sz w:val="25"/>
        </w:rPr>
        <w:t>auditable architecture + a rigorous design ready to produce data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>, not retrospective stories from a single uncontrolled term. This is a methodological choice, not a gap.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When the first cohort completes the pilot in December 2026, every instrument above is already built, calibrated, and waiting — so the evidence, when it lands, will be clean, comparable, and publishable.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/>
      <w:jc w:val="center"/>
    </w:pPr>
    <w:r>
      <w:rPr>
        <w:rFonts w:ascii="Menlo" w:hAnsi="Menlo" w:cs="Menlo"/>
        <w:b w:val="0"/>
        <w:i w:val="0"/>
        <w:color w:val="5A5A60"/>
        <w:sz w:val="15"/>
        <w:spacing w:val="10"/>
      </w:rPr>
      <w:t>Dr. Payungsak Kaenchan  |  Faculty of Liberal Arts, Mahidol University</w:t>
    </w:r>
  </w:p>
  <w:p>
    <w:pPr>
      <w:jc w:val="center"/>
    </w:pPr>
    <w:r>
      <w:rPr>
        <w:rFonts w:ascii="Menlo" w:hAnsi="Menlo" w:cs="Menlo"/>
        <w:b w:val="0"/>
        <w:i w:val="0"/>
        <w:color w:val="5A5A60"/>
        <w:sz w:val="13"/>
        <w:spacing w:val="6"/>
      </w:rPr>
      <w:t>Creative Commons BY-NC · Educational, non-commercial use only · No profit · Reuse or duplication must credit the author and obtain prior consent.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