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0"/>
        <w:jc w:val="center"/>
        <w:shd w:val="clear" w:color="auto" w:fill="F3ECDD"/>
      </w:pPr>
      <w:r>
        <w:rPr>
          <w:rFonts w:ascii="Menlo" w:hAnsi="Menlo" w:cs="Menlo"/>
          <w:b w:val="0"/>
          <w:i w:val="0"/>
          <w:color w:val="9C6F1C"/>
          <w:sz w:val="18"/>
          <w:spacing w:val="8"/>
        </w:rPr>
        <w:t>[ COVER IMAGE — drop read-this-first.png in /docs/document-design/covers/ ]</w:t>
      </w:r>
    </w:p>
    <w:p>
      <w:pPr>
        <w:spacing w:after="80"/>
        <w:jc w:val="center"/>
      </w:pPr>
      <w:r>
        <w:rPr>
          <w:rFonts w:ascii="Menlo" w:hAnsi="Menlo" w:cs="Sukhumvit Set" w:eastAsia="Sukhumvit Set"/>
          <w:b w:val="0"/>
          <w:i w:val="0"/>
          <w:color w:val="9C6F1C"/>
          <w:sz w:val="20"/>
          <w:spacing w:val="36"/>
        </w:rPr>
        <w:t>START HERE · 1 PAGE · FOR JUDGES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Read This First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Executive summary of the FUTUREPROOF submission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เอกสารแนะนำผลงานในหนึ่งหน้า · สำหรับคณะกรรมการ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  ·   READ THIS FIRST · V1.0 · MAY 2026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Read this first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เอกสารแนะนำผลงานในหนึ่งหน้า · สำหรับคณะกรรมการ</w:t>
      </w:r>
    </w:p>
    <w:p>
      <w:pPr>
        <w:spacing w:after="280" w:line="312" w:lineRule="auto"/>
      </w:pPr>
      <w:r>
        <w:rPr>
          <w:rFonts w:ascii="Baskerville" w:hAnsi="Baskerville" w:cs="Baskerville"/>
          <w:b w:val="0"/>
          <w:i/>
          <w:color w:val="5A5A60"/>
          <w:sz w:val="29"/>
        </w:rPr>
        <w:t>If you read only one document in this submission package, read this one. Three claims, one verification URL, a two-minute commitment.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What this is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An AI-scaffolded English-language learning platform for </w:t>
      </w:r>
      <w:r>
        <w:rPr>
          <w:rFonts w:ascii="Avenir Next" w:hAnsi="Avenir Next" w:cs="Avenir Next"/>
          <w:b/>
          <w:i w:val="0"/>
          <w:color w:val="000000"/>
          <w:sz w:val="25"/>
        </w:rPr>
        <w:t>LALA109 · English for Digital Communication Skills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at the Faculty of Liberal Arts, Mahidol University. Six adaptive missions across Thailand, each anchored to a UN Sustainable Development Goal, culminating in a teacher-graded </w:t>
      </w:r>
      <w:r>
        <w:rPr>
          <w:rFonts w:ascii="Avenir Next" w:hAnsi="Avenir Next" w:cs="Avenir Next"/>
          <w:b/>
          <w:i w:val="0"/>
          <w:color w:val="000000"/>
          <w:sz w:val="25"/>
        </w:rPr>
        <w:t>Voice for Change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capstone — a two-to-five-minute spoken proposal addressed to a real Thai institution.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Three load-bearing claims · all auditable</w:t>
      </w:r>
    </w:p>
    <w:p>
      <w:pPr>
        <w:spacing w:before="160" w:after="0"/>
        <w:shd w:val="clear" w:color="auto" w:fill="F3E4E2"/>
        <w:pBdr>
          <w:left w:val="single" w:sz="22" w:space="8" w:color="7B1B1B"/>
        </w:pBdr>
      </w:pPr>
      <w:r>
        <w:rPr>
          <w:rFonts w:ascii="Menlo" w:hAnsi="Menlo" w:cs="Menlo"/>
          <w:b/>
          <w:i w:val="0"/>
          <w:color w:val="7B1B1B"/>
          <w:sz w:val="17"/>
          <w:spacing w:val="28"/>
        </w:rPr>
        <w:t>CLAIM 1 · AI-TPACK ENFORCED AT THE SYSTEM-PROMPT LEVEL</w:t>
      </w:r>
    </w:p>
    <w:p>
      <w:pPr>
        <w:spacing w:after="160" w:line="312" w:lineRule="auto"/>
        <w:shd w:val="clear" w:color="auto" w:fill="F3E4E2"/>
        <w:pBdr>
          <w:left w:val="single" w:sz="22" w:space="8" w:color="7B1B1B"/>
        </w:pBdr>
      </w:pPr>
      <w:r>
        <w:rPr>
          <w:rFonts w:ascii="Avenir Next" w:hAnsi="Avenir Next" w:cs="Avenir Next"/>
          <w:b w:val="0"/>
          <w:i w:val="0"/>
          <w:color w:val="000000"/>
          <w:sz w:val="23"/>
        </w:rPr>
        <w:t xml:space="preserve">The boundary between what AI handles (scale, formative feedback) and what humans handle (summative grading, cultural authenticity) is </w:t>
      </w:r>
      <w:r>
        <w:rPr>
          <w:rFonts w:ascii="Avenir Next" w:hAnsi="Avenir Next" w:cs="Avenir Next"/>
          <w:b/>
          <w:i w:val="0"/>
          <w:color w:val="000000"/>
          <w:sz w:val="23"/>
        </w:rPr>
        <w:t>hard-coded into the Claude API system prompts</w:t>
      </w:r>
      <w:r>
        <w:rPr>
          <w:rFonts w:ascii="Avenir Next" w:hAnsi="Avenir Next" w:cs="Avenir Next"/>
          <w:b w:val="0"/>
          <w:i w:val="0"/>
          <w:color w:val="000000"/>
          <w:sz w:val="23"/>
        </w:rPr>
        <w:t xml:space="preserve"> of Mr Compass and the AI Judges — not merely declared in the application. Open the Judge Tour, Step 8, to see this in the admin console.</w:t>
      </w:r>
    </w:p>
    <w:p>
      <w:pPr>
        <w:spacing w:before="160" w:after="0"/>
        <w:shd w:val="clear" w:color="auto" w:fill="F3ECDD"/>
        <w:pBdr>
          <w:left w:val="single" w:sz="22" w:space="8" w:color="C9A961"/>
        </w:pBdr>
      </w:pPr>
      <w:r>
        <w:rPr>
          <w:rFonts w:ascii="Menlo" w:hAnsi="Menlo" w:cs="Menlo"/>
          <w:b/>
          <w:i w:val="0"/>
          <w:color w:val="9C6F1C"/>
          <w:sz w:val="17"/>
          <w:spacing w:val="28"/>
        </w:rPr>
        <w:t>CLAIM 2 · THREE LEARNING THEORIES MADE OPERATIONAL</w:t>
      </w:r>
    </w:p>
    <w:p>
      <w:pPr>
        <w:spacing w:after="160" w:line="312" w:lineRule="auto"/>
        <w:shd w:val="clear" w:color="auto" w:fill="F3ECDD"/>
        <w:pBdr>
          <w:left w:val="single" w:sz="22" w:space="8" w:color="C9A961"/>
        </w:pBdr>
      </w:pPr>
      <w:r>
        <w:rPr>
          <w:rFonts w:ascii="Avenir Next" w:hAnsi="Avenir Next" w:cs="Avenir Next"/>
          <w:b w:val="0"/>
          <w:i w:val="0"/>
          <w:color w:val="000000"/>
          <w:sz w:val="23"/>
        </w:rPr>
        <w:t xml:space="preserve">Behaviorism (the Insight-Token economy · operant conditioning), Cognitivism (the 5-stage arc · CTML multimedia), and Social Constructivism (the 3-role asymmetric team · Mr Compass as the More Knowledgeable Other) — </w:t>
      </w:r>
      <w:r>
        <w:rPr>
          <w:rFonts w:ascii="Avenir Next" w:hAnsi="Avenir Next" w:cs="Avenir Next"/>
          <w:b/>
          <w:i w:val="0"/>
          <w:color w:val="000000"/>
          <w:sz w:val="23"/>
        </w:rPr>
        <w:t>each cited theorist maps to a feature you can click on.</w:t>
      </w:r>
      <w:r>
        <w:rPr>
          <w:rFonts w:ascii="Avenir Next" w:hAnsi="Avenir Next" w:cs="Avenir Next"/>
          <w:b w:val="0"/>
          <w:i w:val="0"/>
          <w:color w:val="000000"/>
          <w:sz w:val="23"/>
        </w:rPr>
        <w:t xml:space="preserve"> See the Teacher's Manual, Chapter 4, for the full triptych mapping.</w:t>
      </w:r>
    </w:p>
    <w:p>
      <w:pPr>
        <w:spacing w:before="160" w:after="0"/>
        <w:shd w:val="clear" w:color="auto" w:fill="F3ECDD"/>
        <w:pBdr>
          <w:left w:val="single" w:sz="22" w:space="8" w:color="C9A961"/>
        </w:pBdr>
      </w:pPr>
      <w:r>
        <w:rPr>
          <w:rFonts w:ascii="Menlo" w:hAnsi="Menlo" w:cs="Menlo"/>
          <w:b/>
          <w:i w:val="0"/>
          <w:color w:val="9C6F1C"/>
          <w:sz w:val="17"/>
          <w:spacing w:val="28"/>
        </w:rPr>
        <w:t>CLAIM 3 · COMPLIANCE AND ACCESSIBILITY BUILT INTO THE FOUNDATION</w:t>
      </w:r>
    </w:p>
    <w:p>
      <w:pPr>
        <w:spacing w:after="160" w:line="312" w:lineRule="auto"/>
        <w:shd w:val="clear" w:color="auto" w:fill="F3ECDD"/>
        <w:pBdr>
          <w:left w:val="single" w:sz="22" w:space="8" w:color="C9A961"/>
        </w:pBdr>
      </w:pPr>
      <w:r>
        <w:rPr>
          <w:rFonts w:ascii="Avenir Next" w:hAnsi="Avenir Next" w:cs="Avenir Next"/>
          <w:b w:val="0"/>
          <w:i w:val="0"/>
          <w:color w:val="000000"/>
          <w:sz w:val="23"/>
        </w:rPr>
        <w:t xml:space="preserve">PDPA · พ.ร.บ. คุ้มครองข้อมูลส่วนบุคคล พ.ศ. 2562 · with bilingual consent and 90-day auto-deletion. CAST UDL 3.0 across all three principles. </w:t>
      </w:r>
      <w:r>
        <w:rPr>
          <w:rFonts w:ascii="Avenir Next" w:hAnsi="Avenir Next" w:cs="Avenir Next"/>
          <w:b/>
          <w:i w:val="0"/>
          <w:color w:val="000000"/>
          <w:sz w:val="23"/>
        </w:rPr>
        <w:t>WCAG 2.1 AA</w:t>
      </w:r>
      <w:r>
        <w:rPr>
          <w:rFonts w:ascii="Avenir Next" w:hAnsi="Avenir Next" w:cs="Avenir Next"/>
          <w:b w:val="0"/>
          <w:i w:val="0"/>
          <w:color w:val="000000"/>
          <w:sz w:val="23"/>
        </w:rPr>
        <w:t xml:space="preserve"> verified by Google Lighthouse (Accessibility 100 / 100 on Home and the Judge Tour). Mobile-first from 360 px upward.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Where to verify, in one click each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948"/>
        <w:gridCol w:w="6463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LIVE PLATFORM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https://futureproof-sdgs-lab.netlify.app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JUDGE TOUR (START HERE)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https://futureproof-sdgs-lab.netlify.app/pages/judge-tour.html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SAMPLE MISSION (PRE-COMPLETED)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Judge Tour · Step 04 · SDG 6 · Khon Kaen · The Aquifer Below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VOICE FOR CHANGE DEMO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“Skip to Voice for Change” button at Judge Tour · Step 04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HALL OF VOICES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Four composite-anonymous exemplars · Judge Tour · Step 07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ADMIN CONSOLE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Seven modules · Judge Tour · Step 08 · sign-in required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Where to read more · the submission package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Application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the 15-page report with a 36-source bibliography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Rubric A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Voice for Change Holistic · teacher-graded · 5 pp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Rubrics B · C · D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AI logic / CEFR delta / soft skills · 4–5 pp each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Teacher's &amp; Judge's Manual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28 pp bilingual · written for teachers and judges alike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Pilot &amp; Measurement Plan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companion research-design document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Scrutiny Report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a self-audit with Lighthouse numbers and competitive analysis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rPr>
        <w:rFonts w:ascii="Menlo" w:hAnsi="Menlo" w:cs="Menlo"/>
        <w:b w:val="0"/>
        <w:i w:val="0"/>
        <w:color w:val="5A5A60"/>
        <w:sz w:val="15"/>
        <w:spacing w:val="10"/>
      </w:rPr>
      <w:t>Dr. Payungsak Kaenchan  |  Faculty of Liberal Arts, Mahidol University</w:t>
    </w:r>
  </w:p>
  <w:p>
    <w:pPr>
      <w:jc w:val="center"/>
    </w:pPr>
    <w:r>
      <w:rPr>
        <w:rFonts w:ascii="Menlo" w:hAnsi="Menlo" w:cs="Menlo"/>
        <w:b w:val="0"/>
        <w:i w:val="0"/>
        <w:color w:val="5A5A60"/>
        <w:sz w:val="13"/>
        <w:spacing w:val="6"/>
      </w:rPr>
      <w:t>Creative Commons BY-NC · Educational, non-commercial use only · No profit · Reuse or duplication must credit the author and obtain prior consent.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