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 w:after="800"/>
        <w:jc w:val="center"/>
        <w:shd w:val="clear" w:color="auto" w:fill="F3ECDD"/>
      </w:pPr>
      <w:r>
        <w:rPr>
          <w:rFonts w:ascii="Menlo" w:hAnsi="Menlo" w:cs="Menlo"/>
          <w:b w:val="0"/>
          <w:i w:val="0"/>
          <w:color w:val="9C6F1C"/>
          <w:sz w:val="18"/>
          <w:spacing w:val="8"/>
        </w:rPr>
        <w:t>[ COVER IMAGE — drop rubric-b-mission-decision.png in /docs/document-design/covers/ ]</w:t>
      </w:r>
    </w:p>
    <w:p>
      <w:pPr>
        <w:spacing w:after="80"/>
        <w:jc w:val="center"/>
      </w:pPr>
      <w:r>
        <w:rPr>
          <w:rFonts w:ascii="Menlo" w:hAnsi="Menlo" w:cs="Sukhumvit Set" w:eastAsia="Sukhumvit Set"/>
          <w:b w:val="0"/>
          <w:i w:val="0"/>
          <w:color w:val="9C6F1C"/>
          <w:sz w:val="20"/>
          <w:spacing w:val="36"/>
        </w:rPr>
        <w:t>RUBRIC · B · AI JUDGE LOGIC</w:t>
      </w:r>
    </w:p>
    <w:p>
      <w:pPr>
        <w:spacing w:after="120" w:line="245" w:lineRule="auto"/>
        <w:jc w:val="center"/>
      </w:pPr>
      <w:r>
        <w:rPr>
          <w:rFonts w:ascii="Baskerville" w:hAnsi="Baskerville" w:cs="Baskerville"/>
          <w:b w:val="0"/>
          <w:i w:val="0"/>
          <w:color w:val="7B1B1B"/>
          <w:sz w:val="64"/>
        </w:rPr>
        <w:t>Mission Decision Quality — AI Judge Logic</w:t>
      </w:r>
    </w:p>
    <w:p>
      <w:pPr>
        <w:spacing w:after="80"/>
        <w:jc w:val="center"/>
      </w:pPr>
      <w:r>
        <w:rPr>
          <w:rFonts w:ascii="Baskerville" w:hAnsi="Baskerville" w:cs="Baskerville"/>
          <w:b w:val="0"/>
          <w:i/>
          <w:color w:val="5A5A60"/>
          <w:sz w:val="30"/>
        </w:rPr>
        <w:t>Assessment rubric · FUTUREPROOF</w:t>
      </w:r>
    </w:p>
    <w:p>
      <w:pPr>
        <w:spacing w:after="480"/>
        <w:jc w:val="center"/>
      </w:pPr>
      <w:r>
        <w:rPr>
          <w:rFonts w:ascii="Sukhumvit Set" w:hAnsi="Sukhumvit Set" w:cs="Sukhumvit Set" w:eastAsia="Sukhumvit Set"/>
          <w:b w:val="0"/>
          <w:i w:val="0"/>
          <w:color w:val="9C6F1C"/>
          <w:sz w:val="26"/>
        </w:rPr>
        <w:t>รูบริก B · คุณภาพการตัดสินใจระหว่างภารกิจ</w:t>
      </w:r>
    </w:p>
    <w:p>
      <w:pPr>
        <w:spacing w:before="400"/>
        <w:jc w:val="center"/>
      </w:pPr>
      <w:r>
        <w:rPr>
          <w:rFonts w:ascii="Avenir Next" w:hAnsi="Avenir Next" w:cs="Avenir Next"/>
          <w:b w:val="0"/>
          <w:i w:val="0"/>
          <w:color w:val="000000"/>
          <w:sz w:val="22"/>
        </w:rPr>
        <w:t>Dr. Payungsak Kaenchan  ·  Faculty of Liberal Arts, Mahidol University</w:t>
      </w:r>
    </w:p>
    <w:p>
      <w:pPr>
        <w:jc w:val="center"/>
      </w:pPr>
      <w:r>
        <w:rPr>
          <w:rFonts w:ascii="Menlo" w:hAnsi="Menlo" w:cs="Menlo"/>
          <w:b w:val="0"/>
          <w:i w:val="0"/>
          <w:color w:val="5A5A60"/>
          <w:sz w:val="16"/>
          <w:spacing w:val="16"/>
        </w:rPr>
        <w:t>Submitted to the SPU Tech Creative Learning Awards 2569</w:t>
      </w:r>
    </w:p>
    <w:p>
      <w:r>
        <w:br w:type="page"/>
      </w:r>
    </w:p>
    <w:p>
      <w:pPr>
        <w:spacing w:after="40"/>
      </w:pPr>
      <w:r>
        <w:rPr>
          <w:rFonts w:ascii="Menlo" w:hAnsi="Menlo" w:cs="Sukhumvit Set" w:eastAsia="Sukhumvit Set"/>
          <w:b w:val="0"/>
          <w:i w:val="0"/>
          <w:color w:val="9C6F1C"/>
          <w:sz w:val="18"/>
          <w:spacing w:val="32"/>
        </w:rPr>
        <w:t>FUTUREPROOF · SDG MISSION JOURNEY   ·   RUBRIC · B · AI JUDGE LOGIC</w:t>
      </w:r>
    </w:p>
    <w:p>
      <w:pPr>
        <w:spacing w:before="40" w:after="80" w:line="245" w:lineRule="auto"/>
      </w:pPr>
      <w:r>
        <w:rPr>
          <w:rFonts w:ascii="Baskerville" w:hAnsi="Baskerville" w:cs="Baskerville"/>
          <w:b w:val="0"/>
          <w:i w:val="0"/>
          <w:color w:val="7B1B1B"/>
          <w:sz w:val="54"/>
        </w:rPr>
        <w:t>Mission Decision Quality — AI Judge Logic</w:t>
      </w:r>
    </w:p>
    <w:p>
      <w:pPr>
        <w:spacing w:after="200"/>
      </w:pPr>
      <w:r>
        <w:rPr>
          <w:rFonts w:ascii="Sukhumvit Set" w:hAnsi="Sukhumvit Set" w:cs="Sukhumvit Set" w:eastAsia="Sukhumvit Set"/>
          <w:b w:val="0"/>
          <w:i w:val="0"/>
          <w:color w:val="9C6F1C"/>
          <w:sz w:val="26"/>
        </w:rPr>
        <w:t>รูบริก B · คุณภาพการตัดสินใจในภารกิจ (ตรรกะ AI Judge)</w:t>
      </w:r>
    </w:p>
    <w:p>
      <w:pPr>
        <w:spacing w:after="40"/>
      </w:pPr>
      <w:r>
        <w:rPr>
          <w:rFonts w:ascii="Menlo" w:hAnsi="Menlo" w:cs="Sukhumvit Set" w:eastAsia="Sukhumvit Set"/>
          <w:b w:val="0"/>
          <w:i w:val="0"/>
          <w:color w:val="9C6F1C"/>
          <w:sz w:val="18"/>
          <w:spacing w:val="32"/>
        </w:rPr>
        <w:t>PURPOSE · วัตถุประสงค์</w:t>
      </w:r>
    </w:p>
    <w:p>
      <w:pPr>
        <w:spacing w:after="140" w:line="324" w:lineRule="auto"/>
      </w:pPr>
      <w:r>
        <w:rPr>
          <w:rFonts w:ascii="Avenir Next" w:hAnsi="Avenir Next" w:cs="Avenir Next"/>
          <w:b w:val="0"/>
          <w:i w:val="0"/>
          <w:color w:val="000000"/>
          <w:sz w:val="25"/>
        </w:rPr>
        <w:t xml:space="preserve">Make the AI Judges' scoring logic </w:t>
      </w:r>
      <w:r>
        <w:rPr>
          <w:rFonts w:ascii="Avenir Next" w:hAnsi="Avenir Next" w:cs="Avenir Next"/>
          <w:b/>
          <w:i w:val="0"/>
          <w:color w:val="000000"/>
          <w:sz w:val="25"/>
        </w:rPr>
        <w:t>transparent and auditable</w:t>
      </w:r>
      <w:r>
        <w:rPr>
          <w:rFonts w:ascii="Avenir Next" w:hAnsi="Avenir Next" w:cs="Avenir Next"/>
          <w:b w:val="0"/>
          <w:i w:val="0"/>
          <w:color w:val="000000"/>
          <w:sz w:val="25"/>
        </w:rPr>
        <w:t xml:space="preserve"> — for teachers, learners, and the competition judges. Every decision a learner submits inside a mission is scored against the criteria in this rubric. The platform's feedback prompts and Insight-Token awards are deterministic functions of these scores.</w:t>
      </w:r>
    </w:p>
    <w:p>
      <w:pPr>
        <w:spacing w:after="40"/>
      </w:pPr>
      <w:r>
        <w:rPr>
          <w:rFonts w:ascii="Menlo" w:hAnsi="Menlo" w:cs="Sukhumvit Set" w:eastAsia="Sukhumvit Set"/>
          <w:b w:val="0"/>
          <w:i w:val="0"/>
          <w:color w:val="9C6F1C"/>
          <w:sz w:val="18"/>
          <w:spacing w:val="32"/>
        </w:rPr>
        <w:t>OBJECTIVES · เป้าหมายเฉพาะ</w:t>
      </w:r>
    </w:p>
    <w:p>
      <w:pPr>
        <w:pStyle w:val="ListBullet"/>
        <w:spacing w:after="60" w:line="312" w:lineRule="auto"/>
      </w:pPr>
      <w:r>
        <w:rPr>
          <w:rFonts w:ascii="Avenir Next" w:hAnsi="Avenir Next" w:cs="Avenir Next"/>
          <w:b w:val="0"/>
          <w:i w:val="0"/>
          <w:color w:val="000000"/>
          <w:sz w:val="25"/>
        </w:rPr>
        <w:t>Specify the exact dimensions on which AI Judges score each of the five mission stages (BRIEF → PROBE → DECIDE → ACT → DEBRIEF).</w:t>
      </w:r>
    </w:p>
    <w:p>
      <w:pPr>
        <w:pStyle w:val="ListBullet"/>
        <w:spacing w:after="60" w:line="312" w:lineRule="auto"/>
      </w:pPr>
      <w:r>
        <w:rPr>
          <w:rFonts w:ascii="Avenir Next" w:hAnsi="Avenir Next" w:cs="Avenir Next"/>
          <w:b w:val="0"/>
          <w:i w:val="0"/>
          <w:color w:val="000000"/>
          <w:sz w:val="25"/>
        </w:rPr>
        <w:t>Anchor every AI prompt to descriptors a teacher could audit by hand on a random-sample basis.</w:t>
      </w:r>
    </w:p>
    <w:p>
      <w:pPr>
        <w:pStyle w:val="ListBullet"/>
        <w:spacing w:after="60" w:line="312" w:lineRule="auto"/>
      </w:pPr>
      <w:r>
        <w:rPr>
          <w:rFonts w:ascii="Avenir Next" w:hAnsi="Avenir Next" w:cs="Avenir Next"/>
          <w:b w:val="0"/>
          <w:i w:val="0"/>
          <w:color w:val="000000"/>
          <w:sz w:val="25"/>
        </w:rPr>
        <w:t>Document the deliberate confidence-trap at the DECIDE stage and why it is pedagogically defensible.</w:t>
      </w:r>
    </w:p>
    <w:p>
      <w:pPr>
        <w:pStyle w:val="ListBullet"/>
        <w:spacing w:after="60" w:line="312" w:lineRule="auto"/>
      </w:pPr>
      <w:r>
        <w:rPr>
          <w:rFonts w:ascii="Avenir Next" w:hAnsi="Avenir Next" w:cs="Avenir Next"/>
          <w:b w:val="0"/>
          <w:i w:val="0"/>
          <w:color w:val="000000"/>
          <w:sz w:val="25"/>
        </w:rPr>
        <w:t>Define how stage scores compose into the mission pass-threshold that awards an SDG Keystone (idempotent — keystones cannot be double-counted).</w:t>
      </w:r>
    </w:p>
    <w:p>
      <w:pPr>
        <w:pStyle w:val="ListBullet"/>
        <w:spacing w:after="60" w:line="312" w:lineRule="auto"/>
      </w:pPr>
      <w:r>
        <w:rPr>
          <w:rFonts w:ascii="Avenir Next" w:hAnsi="Avenir Next" w:cs="Avenir Next"/>
          <w:b w:val="0"/>
          <w:i w:val="0"/>
          <w:color w:val="000000"/>
          <w:sz w:val="25"/>
        </w:rPr>
        <w:t>Specify the formative-feedback contract: every return includes a specific actionable growthEdge; a null fails validation and the call retries — the journey never blocks.</w:t>
      </w:r>
    </w:p>
    <w:p>
      <w:pPr>
        <w:spacing w:after="40"/>
      </w:pPr>
      <w:r>
        <w:rPr>
          <w:rFonts w:ascii="Menlo" w:hAnsi="Menlo" w:cs="Sukhumvit Set" w:eastAsia="Sukhumvit Set"/>
          <w:b w:val="0"/>
          <w:i w:val="0"/>
          <w:color w:val="9C6F1C"/>
          <w:sz w:val="18"/>
          <w:spacing w:val="32"/>
        </w:rPr>
        <w:t>APPLIES TO · ขอบเขตการใช้</w:t>
      </w:r>
    </w:p>
    <w:p>
      <w:pPr>
        <w:spacing w:after="140" w:line="324" w:lineRule="auto"/>
      </w:pPr>
      <w:r>
        <w:rPr>
          <w:rFonts w:ascii="Avenir Next" w:hAnsi="Avenir Next" w:cs="Avenir Next"/>
          <w:b w:val="0"/>
          <w:i w:val="0"/>
          <w:color w:val="000000"/>
          <w:sz w:val="25"/>
        </w:rPr>
        <w:t>Each decision logged during a mission. Six regional missions (EEC fringe health · Mae Sot education · Khon Kaen water · Bangkok cities · Chiang Mai climate · Andaman marine) all run the same 5-stage arc. The AI Judge scores per stage; the engine composes the mission pass-threshold from those scores.</w:t>
      </w:r>
    </w:p>
    <w:p>
      <w:pPr>
        <w:spacing w:after="40"/>
      </w:pPr>
      <w:r>
        <w:rPr>
          <w:rFonts w:ascii="Menlo" w:hAnsi="Menlo" w:cs="Sukhumvit Set" w:eastAsia="Sukhumvit Set"/>
          <w:b w:val="0"/>
          <w:i w:val="0"/>
          <w:color w:val="9C6F1C"/>
          <w:sz w:val="18"/>
          <w:spacing w:val="32"/>
        </w:rPr>
        <w:t>SCORING SCALE · มาตราการให้คะแนน</w:t>
      </w:r>
    </w:p>
    <w:p>
      <w:pPr>
        <w:spacing w:after="140" w:line="324" w:lineRule="auto"/>
      </w:pPr>
      <w:r>
        <w:rPr>
          <w:rFonts w:ascii="Avenir Next" w:hAnsi="Avenir Next" w:cs="Avenir Next"/>
          <w:b w:val="0"/>
          <w:i w:val="0"/>
          <w:color w:val="000000"/>
          <w:sz w:val="25"/>
        </w:rPr>
        <w:t>Each criterion 1 · 3 · 5. Insight Tokens awarded −10 … +25 from the integrated score (tokens are a process reward — they never buy a Keystone). Pass threshold: engine composite ≥ 0.60 OR net-token bar ≥ 8 ◆. Clearing the bar awards the SDG Keystone for that region (idempotent).</w:t>
      </w:r>
    </w:p>
    <w:p>
      <w:pPr>
        <w:spacing w:after="40"/>
      </w:pPr>
      <w:r>
        <w:rPr>
          <w:rFonts w:ascii="Menlo" w:hAnsi="Menlo" w:cs="Sukhumvit Set" w:eastAsia="Sukhumvit Set"/>
          <w:b w:val="0"/>
          <w:i w:val="0"/>
          <w:color w:val="9C6F1C"/>
          <w:sz w:val="18"/>
          <w:spacing w:val="32"/>
        </w:rPr>
        <w:t>USED BY · ผู้ใช้รูบริก</w:t>
      </w:r>
    </w:p>
    <w:p>
      <w:pPr>
        <w:spacing w:after="140" w:line="324" w:lineRule="auto"/>
      </w:pPr>
      <w:r>
        <w:rPr>
          <w:rFonts w:ascii="Avenir Next" w:hAnsi="Avenir Next" w:cs="Avenir Next"/>
          <w:b w:val="0"/>
          <w:i w:val="0"/>
          <w:color w:val="000000"/>
          <w:sz w:val="25"/>
        </w:rPr>
        <w:t>AI Judges (Tier 1 of the 4-tier hybrid judging system, formative, every mission, every region). Teachers audit randomly-sampled scores against this rubric to calibrate the model. The capstone (Voice for Change) is excluded by design — it belongs to Rubric A (teacher), preserving the AI-TPACK boundary.</w:t>
      </w:r>
    </w:p>
    <w:p>
      <w:pPr>
        <w:spacing w:after="40"/>
      </w:pPr>
      <w:r>
        <w:rPr>
          <w:rFonts w:ascii="Menlo" w:hAnsi="Menlo" w:cs="Sukhumvit Set" w:eastAsia="Sukhumvit Set"/>
          <w:b w:val="0"/>
          <w:i w:val="0"/>
          <w:color w:val="9C6F1C"/>
          <w:sz w:val="18"/>
          <w:spacing w:val="32"/>
        </w:rPr>
        <w:t>PEDAGOGICAL ANCHORS · กรอบทฤษฎีที่ใช้</w:t>
      </w:r>
    </w:p>
    <w:p>
      <w:pPr>
        <w:spacing w:after="140" w:line="324" w:lineRule="auto"/>
      </w:pPr>
      <w:r>
        <w:rPr>
          <w:rFonts w:ascii="Avenir Next" w:hAnsi="Avenir Next" w:cs="Avenir Next"/>
          <w:b w:val="0"/>
          <w:i w:val="0"/>
          <w:color w:val="000000"/>
          <w:sz w:val="25"/>
        </w:rPr>
        <w:t>AI-TPACK (boundary) · PICRAT · Interactive-Amplifies · Bloom's Revised Taxonomy (Remember → Metacognition) · Hattie Visible Learning (formative feedback) · Vygotsky ZPD (the confidence-trap forces productive struggle)</w:t>
      </w:r>
    </w:p>
    <w:p>
      <w:pPr>
        <w:spacing w:before="320" w:after="140"/>
        <w:pBdr>
          <w:bottom w:val="single" w:sz="6" w:space="4" w:color="C9A961"/>
        </w:pBdr>
      </w:pPr>
      <w:r>
        <w:rPr>
          <w:rFonts w:ascii="Baskerville" w:hAnsi="Baskerville" w:cs="Baskerville"/>
          <w:b w:val="0"/>
          <w:i w:val="0"/>
          <w:color w:val="9C6F1C"/>
          <w:sz w:val="33"/>
        </w:rPr>
        <w:t>Stage 01 · BRIEF — Absorb the situation</w:t>
      </w:r>
    </w:p>
    <w:p>
      <w:pPr>
        <w:spacing w:after="40"/>
      </w:pPr>
      <w:r>
        <w:rPr>
          <w:rFonts w:ascii="Menlo" w:hAnsi="Menlo" w:cs="Sukhumvit Set" w:eastAsia="Sukhumvit Set"/>
          <w:b w:val="0"/>
          <w:i w:val="0"/>
          <w:color w:val="9C6F1C"/>
          <w:sz w:val="18"/>
          <w:spacing w:val="32"/>
        </w:rPr>
        <w:t>BLOOM: REMEMBER / UNDERSTAND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9D2C4"/>
          <w:left w:val="single" w:sz="4" w:space="0" w:color="D9D2C4"/>
          <w:bottom w:val="single" w:sz="4" w:space="0" w:color="D9D2C4"/>
          <w:right w:val="single" w:sz="4" w:space="0" w:color="D9D2C4"/>
          <w:insideH w:val="single" w:sz="4" w:space="0" w:color="D9D2C4"/>
          <w:insideV w:val="single" w:sz="4" w:space="0" w:color="D9D2C4"/>
        </w:tblBorders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F4F1EA"/>
          </w:tcPr>
          <w:p>
            <w:pPr>
              <w:spacing w:after="20"/>
            </w:pPr>
            <w:r>
              <w:rPr>
                <w:rFonts w:ascii="Menlo" w:hAnsi="Menlo" w:cs="Menlo"/>
                <w:b/>
                <w:i w:val="0"/>
                <w:color w:val="9C6F1C"/>
                <w:sz w:val="16"/>
                <w:spacing w:val="16"/>
              </w:rPr>
              <w:t>CRITERION</w:t>
            </w:r>
          </w:p>
        </w:tc>
        <w:tc>
          <w:tcPr>
            <w:tcW w:type="dxa" w:w="2353"/>
            <w:shd w:val="clear" w:color="auto" w:fill="F4F1EA"/>
          </w:tcPr>
          <w:p>
            <w:pPr>
              <w:spacing w:after="20"/>
            </w:pPr>
            <w:r>
              <w:rPr>
                <w:rFonts w:ascii="Menlo" w:hAnsi="Menlo" w:cs="Menlo"/>
                <w:b/>
                <w:i w:val="0"/>
                <w:color w:val="9C6F1C"/>
                <w:sz w:val="16"/>
                <w:spacing w:val="16"/>
              </w:rPr>
              <w:t>1 · EMERGING</w:t>
            </w:r>
          </w:p>
        </w:tc>
        <w:tc>
          <w:tcPr>
            <w:tcW w:type="dxa" w:w="2353"/>
            <w:shd w:val="clear" w:color="auto" w:fill="F4F1EA"/>
          </w:tcPr>
          <w:p>
            <w:pPr>
              <w:spacing w:after="20"/>
            </w:pPr>
            <w:r>
              <w:rPr>
                <w:rFonts w:ascii="Menlo" w:hAnsi="Menlo" w:cs="Menlo"/>
                <w:b/>
                <w:i w:val="0"/>
                <w:color w:val="9C6F1C"/>
                <w:sz w:val="16"/>
                <w:spacing w:val="16"/>
              </w:rPr>
              <w:t>3 · DEVELOPING</w:t>
            </w:r>
          </w:p>
        </w:tc>
        <w:tc>
          <w:tcPr>
            <w:tcW w:type="dxa" w:w="2353"/>
            <w:shd w:val="clear" w:color="auto" w:fill="F4F1EA"/>
          </w:tcPr>
          <w:p>
            <w:pPr>
              <w:spacing w:after="20"/>
            </w:pPr>
            <w:r>
              <w:rPr>
                <w:rFonts w:ascii="Menlo" w:hAnsi="Menlo" w:cs="Menlo"/>
                <w:b/>
                <w:i w:val="0"/>
                <w:color w:val="9C6F1C"/>
                <w:sz w:val="16"/>
                <w:spacing w:val="16"/>
              </w:rPr>
              <w:t>5 · DISTINGUISHED</w:t>
            </w:r>
          </w:p>
        </w:tc>
      </w:tr>
      <w:tr>
        <w:tc>
          <w:tcPr>
            <w:tcW w:type="dxa" w:w="2353"/>
          </w:tcPr>
          <w:p>
            <w:pPr>
              <w:spacing w:after="20" w:line="300" w:lineRule="auto"/>
            </w:pPr>
            <w:r>
              <w:rPr>
                <w:rFonts w:ascii="Avenir Next" w:hAnsi="Avenir Next" w:cs="Avenir Next"/>
                <w:b w:val="0"/>
                <w:i w:val="0"/>
                <w:color w:val="000000"/>
                <w:sz w:val="21"/>
              </w:rPr>
              <w:t>Factual grounding</w:t>
            </w:r>
          </w:p>
        </w:tc>
        <w:tc>
          <w:tcPr>
            <w:tcW w:type="dxa" w:w="2353"/>
          </w:tcPr>
          <w:p>
            <w:pPr>
              <w:spacing w:after="20" w:line="300" w:lineRule="auto"/>
            </w:pPr>
            <w:r>
              <w:rPr>
                <w:rFonts w:ascii="Avenir Next" w:hAnsi="Avenir Next" w:cs="Avenir Next"/>
                <w:b w:val="0"/>
                <w:i w:val="0"/>
                <w:color w:val="000000"/>
                <w:sz w:val="21"/>
              </w:rPr>
              <w:t>Multiple errors of fact</w:t>
            </w:r>
          </w:p>
        </w:tc>
        <w:tc>
          <w:tcPr>
            <w:tcW w:type="dxa" w:w="2353"/>
          </w:tcPr>
          <w:p>
            <w:pPr>
              <w:spacing w:after="20" w:line="300" w:lineRule="auto"/>
            </w:pPr>
            <w:r>
              <w:rPr>
                <w:rFonts w:ascii="Avenir Next" w:hAnsi="Avenir Next" w:cs="Avenir Next"/>
                <w:b w:val="0"/>
                <w:i w:val="0"/>
                <w:color w:val="000000"/>
                <w:sz w:val="21"/>
              </w:rPr>
              <w:t>Mostly accurate, minor slips</w:t>
            </w:r>
          </w:p>
        </w:tc>
        <w:tc>
          <w:tcPr>
            <w:tcW w:type="dxa" w:w="2353"/>
          </w:tcPr>
          <w:p>
            <w:pPr>
              <w:spacing w:after="20" w:line="300" w:lineRule="auto"/>
            </w:pPr>
            <w:r>
              <w:rPr>
                <w:rFonts w:ascii="Avenir Next" w:hAnsi="Avenir Next" w:cs="Avenir Next"/>
                <w:b w:val="0"/>
                <w:i w:val="0"/>
                <w:color w:val="000000"/>
                <w:sz w:val="21"/>
              </w:rPr>
              <w:t>All claims traceable to the dossier (at the learner's tier)</w:t>
            </w:r>
          </w:p>
        </w:tc>
      </w:tr>
      <w:tr>
        <w:tc>
          <w:tcPr>
            <w:tcW w:type="dxa" w:w="2353"/>
          </w:tcPr>
          <w:p>
            <w:pPr>
              <w:spacing w:after="20" w:line="300" w:lineRule="auto"/>
            </w:pPr>
            <w:r>
              <w:rPr>
                <w:rFonts w:ascii="Avenir Next" w:hAnsi="Avenir Next" w:cs="Avenir Next"/>
                <w:b w:val="0"/>
                <w:i w:val="0"/>
                <w:color w:val="000000"/>
                <w:sz w:val="21"/>
              </w:rPr>
              <w:t>Vocabulary recognition</w:t>
            </w:r>
          </w:p>
        </w:tc>
        <w:tc>
          <w:tcPr>
            <w:tcW w:type="dxa" w:w="2353"/>
          </w:tcPr>
          <w:p>
            <w:pPr>
              <w:spacing w:after="20" w:line="300" w:lineRule="auto"/>
            </w:pPr>
            <w:r>
              <w:rPr>
                <w:rFonts w:ascii="Avenir Next" w:hAnsi="Avenir Next" w:cs="Avenir Next"/>
                <w:b w:val="0"/>
                <w:i w:val="0"/>
                <w:color w:val="000000"/>
                <w:sz w:val="21"/>
              </w:rPr>
              <w:t>Misuses key terms</w:t>
            </w:r>
          </w:p>
        </w:tc>
        <w:tc>
          <w:tcPr>
            <w:tcW w:type="dxa" w:w="2353"/>
          </w:tcPr>
          <w:p>
            <w:pPr>
              <w:spacing w:after="20" w:line="300" w:lineRule="auto"/>
            </w:pPr>
            <w:r>
              <w:rPr>
                <w:rFonts w:ascii="Avenir Next" w:hAnsi="Avenir Next" w:cs="Avenir Next"/>
                <w:b w:val="0"/>
                <w:i w:val="0"/>
                <w:color w:val="000000"/>
                <w:sz w:val="21"/>
              </w:rPr>
              <w:t>Uses key terms with occasional imprecision</w:t>
            </w:r>
          </w:p>
        </w:tc>
        <w:tc>
          <w:tcPr>
            <w:tcW w:type="dxa" w:w="2353"/>
          </w:tcPr>
          <w:p>
            <w:pPr>
              <w:spacing w:after="20" w:line="300" w:lineRule="auto"/>
            </w:pPr>
            <w:r>
              <w:rPr>
                <w:rFonts w:ascii="Avenir Next" w:hAnsi="Avenir Next" w:cs="Avenir Next"/>
                <w:b w:val="0"/>
                <w:i w:val="0"/>
                <w:color w:val="000000"/>
                <w:sz w:val="21"/>
              </w:rPr>
              <w:t>Uses key terms precisely; differentiates near-synonyms</w:t>
            </w:r>
          </w:p>
        </w:tc>
      </w:tr>
      <w:tr>
        <w:tc>
          <w:tcPr>
            <w:tcW w:type="dxa" w:w="2353"/>
          </w:tcPr>
          <w:p>
            <w:pPr>
              <w:spacing w:after="20" w:line="300" w:lineRule="auto"/>
            </w:pPr>
            <w:r>
              <w:rPr>
                <w:rFonts w:ascii="Avenir Next" w:hAnsi="Avenir Next" w:cs="Avenir Next"/>
                <w:b w:val="0"/>
                <w:i w:val="0"/>
                <w:color w:val="000000"/>
                <w:sz w:val="21"/>
              </w:rPr>
              <w:t>Situation grasp</w:t>
            </w:r>
          </w:p>
        </w:tc>
        <w:tc>
          <w:tcPr>
            <w:tcW w:type="dxa" w:w="2353"/>
          </w:tcPr>
          <w:p>
            <w:pPr>
              <w:spacing w:after="20" w:line="300" w:lineRule="auto"/>
            </w:pPr>
            <w:r>
              <w:rPr>
                <w:rFonts w:ascii="Avenir Next" w:hAnsi="Avenir Next" w:cs="Avenir Next"/>
                <w:b w:val="0"/>
                <w:i w:val="0"/>
                <w:color w:val="000000"/>
                <w:sz w:val="21"/>
              </w:rPr>
              <w:t>Misses the core tension</w:t>
            </w:r>
          </w:p>
        </w:tc>
        <w:tc>
          <w:tcPr>
            <w:tcW w:type="dxa" w:w="2353"/>
          </w:tcPr>
          <w:p>
            <w:pPr>
              <w:spacing w:after="20" w:line="300" w:lineRule="auto"/>
            </w:pPr>
            <w:r>
              <w:rPr>
                <w:rFonts w:ascii="Avenir Next" w:hAnsi="Avenir Next" w:cs="Avenir Next"/>
                <w:b w:val="0"/>
                <w:i w:val="0"/>
                <w:color w:val="000000"/>
                <w:sz w:val="21"/>
              </w:rPr>
              <w:t>States the tension</w:t>
            </w:r>
          </w:p>
        </w:tc>
        <w:tc>
          <w:tcPr>
            <w:tcW w:type="dxa" w:w="2353"/>
          </w:tcPr>
          <w:p>
            <w:pPr>
              <w:spacing w:after="20" w:line="300" w:lineRule="auto"/>
            </w:pPr>
            <w:r>
              <w:rPr>
                <w:rFonts w:ascii="Avenir Next" w:hAnsi="Avenir Next" w:cs="Avenir Next"/>
                <w:b w:val="0"/>
                <w:i w:val="0"/>
                <w:color w:val="000000"/>
                <w:sz w:val="21"/>
              </w:rPr>
              <w:t>Names the tension and whose interests it pits</w:t>
            </w:r>
          </w:p>
        </w:tc>
      </w:tr>
    </w:tbl>
    <w:p>
      <w:pPr>
        <w:spacing w:before="320" w:after="140"/>
        <w:pBdr>
          <w:bottom w:val="single" w:sz="6" w:space="4" w:color="C9A961"/>
        </w:pBdr>
      </w:pPr>
      <w:r>
        <w:rPr>
          <w:rFonts w:ascii="Baskerville" w:hAnsi="Baskerville" w:cs="Baskerville"/>
          <w:b w:val="0"/>
          <w:i w:val="0"/>
          <w:color w:val="9C6F1C"/>
          <w:sz w:val="33"/>
        </w:rPr>
        <w:t>**** **** **** Stage 02 · PROBE — Question the sources</w:t>
      </w:r>
    </w:p>
    <w:p>
      <w:pPr>
        <w:spacing w:after="40"/>
      </w:pPr>
      <w:r>
        <w:rPr>
          <w:rFonts w:ascii="Menlo" w:hAnsi="Menlo" w:cs="Sukhumvit Set" w:eastAsia="Sukhumvit Set"/>
          <w:b w:val="0"/>
          <w:i w:val="0"/>
          <w:color w:val="9C6F1C"/>
          <w:sz w:val="18"/>
          <w:spacing w:val="32"/>
        </w:rPr>
        <w:t>BLOOM: ANALYZE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9D2C4"/>
          <w:left w:val="single" w:sz="4" w:space="0" w:color="D9D2C4"/>
          <w:bottom w:val="single" w:sz="4" w:space="0" w:color="D9D2C4"/>
          <w:right w:val="single" w:sz="4" w:space="0" w:color="D9D2C4"/>
          <w:insideH w:val="single" w:sz="4" w:space="0" w:color="D9D2C4"/>
          <w:insideV w:val="single" w:sz="4" w:space="0" w:color="D9D2C4"/>
        </w:tblBorders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F4F1EA"/>
          </w:tcPr>
          <w:p>
            <w:pPr>
              <w:spacing w:after="20"/>
            </w:pPr>
            <w:r>
              <w:rPr>
                <w:rFonts w:ascii="Menlo" w:hAnsi="Menlo" w:cs="Menlo"/>
                <w:b/>
                <w:i w:val="0"/>
                <w:color w:val="9C6F1C"/>
                <w:sz w:val="16"/>
                <w:spacing w:val="16"/>
              </w:rPr>
              <w:t>CRITERION</w:t>
            </w:r>
          </w:p>
        </w:tc>
        <w:tc>
          <w:tcPr>
            <w:tcW w:type="dxa" w:w="2353"/>
            <w:shd w:val="clear" w:color="auto" w:fill="F4F1EA"/>
          </w:tcPr>
          <w:p>
            <w:pPr>
              <w:spacing w:after="20"/>
            </w:pPr>
            <w:r>
              <w:rPr>
                <w:rFonts w:ascii="Menlo" w:hAnsi="Menlo" w:cs="Menlo"/>
                <w:b/>
                <w:i w:val="0"/>
                <w:color w:val="9C6F1C"/>
                <w:sz w:val="16"/>
                <w:spacing w:val="16"/>
              </w:rPr>
              <w:t>1 · EMERGING</w:t>
            </w:r>
          </w:p>
        </w:tc>
        <w:tc>
          <w:tcPr>
            <w:tcW w:type="dxa" w:w="2353"/>
            <w:shd w:val="clear" w:color="auto" w:fill="F4F1EA"/>
          </w:tcPr>
          <w:p>
            <w:pPr>
              <w:spacing w:after="20"/>
            </w:pPr>
            <w:r>
              <w:rPr>
                <w:rFonts w:ascii="Menlo" w:hAnsi="Menlo" w:cs="Menlo"/>
                <w:b/>
                <w:i w:val="0"/>
                <w:color w:val="9C6F1C"/>
                <w:sz w:val="16"/>
                <w:spacing w:val="16"/>
              </w:rPr>
              <w:t>3 · DEVELOPING</w:t>
            </w:r>
          </w:p>
        </w:tc>
        <w:tc>
          <w:tcPr>
            <w:tcW w:type="dxa" w:w="2353"/>
            <w:shd w:val="clear" w:color="auto" w:fill="F4F1EA"/>
          </w:tcPr>
          <w:p>
            <w:pPr>
              <w:spacing w:after="20"/>
            </w:pPr>
            <w:r>
              <w:rPr>
                <w:rFonts w:ascii="Menlo" w:hAnsi="Menlo" w:cs="Menlo"/>
                <w:b/>
                <w:i w:val="0"/>
                <w:color w:val="9C6F1C"/>
                <w:sz w:val="16"/>
                <w:spacing w:val="16"/>
              </w:rPr>
              <w:t>5 · DISTINGUISHED</w:t>
            </w:r>
          </w:p>
        </w:tc>
      </w:tr>
      <w:tr>
        <w:tc>
          <w:tcPr>
            <w:tcW w:type="dxa" w:w="2353"/>
          </w:tcPr>
          <w:p>
            <w:pPr>
              <w:spacing w:after="20" w:line="300" w:lineRule="auto"/>
            </w:pPr>
            <w:r>
              <w:rPr>
                <w:rFonts w:ascii="Avenir Next" w:hAnsi="Avenir Next" w:cs="Avenir Next"/>
                <w:b w:val="0"/>
                <w:i w:val="0"/>
                <w:color w:val="000000"/>
                <w:sz w:val="21"/>
              </w:rPr>
              <w:t>Source provenance</w:t>
            </w:r>
          </w:p>
        </w:tc>
        <w:tc>
          <w:tcPr>
            <w:tcW w:type="dxa" w:w="2353"/>
          </w:tcPr>
          <w:p>
            <w:pPr>
              <w:spacing w:after="20" w:line="300" w:lineRule="auto"/>
            </w:pPr>
            <w:r>
              <w:rPr>
                <w:rFonts w:ascii="Avenir Next" w:hAnsi="Avenir Next" w:cs="Avenir Next"/>
                <w:b w:val="0"/>
                <w:i w:val="0"/>
                <w:color w:val="000000"/>
                <w:sz w:val="21"/>
              </w:rPr>
              <w:t>Trusts the most familiar / loudest source</w:t>
            </w:r>
          </w:p>
        </w:tc>
        <w:tc>
          <w:tcPr>
            <w:tcW w:type="dxa" w:w="2353"/>
          </w:tcPr>
          <w:p>
            <w:pPr>
              <w:spacing w:after="20" w:line="300" w:lineRule="auto"/>
            </w:pPr>
            <w:r>
              <w:rPr>
                <w:rFonts w:ascii="Avenir Next" w:hAnsi="Avenir Next" w:cs="Avenir Next"/>
                <w:b w:val="0"/>
                <w:i w:val="0"/>
                <w:color w:val="000000"/>
                <w:sz w:val="21"/>
              </w:rPr>
              <w:t>Weighs one provenance signal</w:t>
            </w:r>
          </w:p>
        </w:tc>
        <w:tc>
          <w:tcPr>
            <w:tcW w:type="dxa" w:w="2353"/>
          </w:tcPr>
          <w:p>
            <w:pPr>
              <w:spacing w:after="20" w:line="300" w:lineRule="auto"/>
            </w:pPr>
            <w:r>
              <w:rPr>
                <w:rFonts w:ascii="Avenir Next" w:hAnsi="Avenir Next" w:cs="Avenir Next"/>
                <w:b w:val="0"/>
                <w:i w:val="0"/>
                <w:color w:val="000000"/>
                <w:sz w:val="21"/>
              </w:rPr>
              <w:t>Weighs methodology, recency, and conflict of interest together</w:t>
            </w:r>
          </w:p>
        </w:tc>
      </w:tr>
      <w:tr>
        <w:tc>
          <w:tcPr>
            <w:tcW w:type="dxa" w:w="2353"/>
          </w:tcPr>
          <w:p>
            <w:pPr>
              <w:spacing w:after="20" w:line="300" w:lineRule="auto"/>
            </w:pPr>
            <w:r>
              <w:rPr>
                <w:rFonts w:ascii="Avenir Next" w:hAnsi="Avenir Next" w:cs="Avenir Next"/>
                <w:b w:val="0"/>
                <w:i w:val="0"/>
                <w:color w:val="000000"/>
                <w:sz w:val="21"/>
              </w:rPr>
              <w:t>Comprehension depth</w:t>
            </w:r>
          </w:p>
        </w:tc>
        <w:tc>
          <w:tcPr>
            <w:tcW w:type="dxa" w:w="2353"/>
          </w:tcPr>
          <w:p>
            <w:pPr>
              <w:spacing w:after="20" w:line="300" w:lineRule="auto"/>
            </w:pPr>
            <w:r>
              <w:rPr>
                <w:rFonts w:ascii="Avenir Next" w:hAnsi="Avenir Next" w:cs="Avenir Next"/>
                <w:b w:val="0"/>
                <w:i w:val="0"/>
                <w:color w:val="000000"/>
                <w:sz w:val="21"/>
              </w:rPr>
              <w:t>Surface restatement</w:t>
            </w:r>
          </w:p>
        </w:tc>
        <w:tc>
          <w:tcPr>
            <w:tcW w:type="dxa" w:w="2353"/>
          </w:tcPr>
          <w:p>
            <w:pPr>
              <w:spacing w:after="20" w:line="300" w:lineRule="auto"/>
            </w:pPr>
            <w:r>
              <w:rPr>
                <w:rFonts w:ascii="Avenir Next" w:hAnsi="Avenir Next" w:cs="Avenir Next"/>
                <w:b w:val="0"/>
                <w:i w:val="0"/>
                <w:color w:val="000000"/>
                <w:sz w:val="21"/>
              </w:rPr>
              <w:t>Captures one layer</w:t>
            </w:r>
          </w:p>
        </w:tc>
        <w:tc>
          <w:tcPr>
            <w:tcW w:type="dxa" w:w="2353"/>
          </w:tcPr>
          <w:p>
            <w:pPr>
              <w:spacing w:after="20" w:line="300" w:lineRule="auto"/>
            </w:pPr>
            <w:r>
              <w:rPr>
                <w:rFonts w:ascii="Avenir Next" w:hAnsi="Avenir Next" w:cs="Avenir Next"/>
                <w:b w:val="0"/>
                <w:i w:val="0"/>
                <w:color w:val="000000"/>
                <w:sz w:val="21"/>
              </w:rPr>
              <w:t>Captures multiple layers and the contested claim</w:t>
            </w:r>
          </w:p>
        </w:tc>
      </w:tr>
      <w:tr>
        <w:tc>
          <w:tcPr>
            <w:tcW w:type="dxa" w:w="2353"/>
          </w:tcPr>
          <w:p>
            <w:pPr>
              <w:spacing w:after="20" w:line="300" w:lineRule="auto"/>
            </w:pPr>
            <w:r>
              <w:rPr>
                <w:rFonts w:ascii="Avenir Next" w:hAnsi="Avenir Next" w:cs="Avenir Next"/>
                <w:b w:val="0"/>
                <w:i w:val="0"/>
                <w:color w:val="000000"/>
                <w:sz w:val="21"/>
              </w:rPr>
              <w:t>Stakeholder reading</w:t>
            </w:r>
          </w:p>
        </w:tc>
        <w:tc>
          <w:tcPr>
            <w:tcW w:type="dxa" w:w="2353"/>
          </w:tcPr>
          <w:p>
            <w:pPr>
              <w:spacing w:after="20" w:line="300" w:lineRule="auto"/>
            </w:pPr>
            <w:r>
              <w:rPr>
                <w:rFonts w:ascii="Avenir Next" w:hAnsi="Avenir Next" w:cs="Avenir Next"/>
                <w:b w:val="0"/>
                <w:i w:val="0"/>
                <w:color w:val="000000"/>
                <w:sz w:val="21"/>
              </w:rPr>
              <w:t>Conflates stakeholders</w:t>
            </w:r>
          </w:p>
        </w:tc>
        <w:tc>
          <w:tcPr>
            <w:tcW w:type="dxa" w:w="2353"/>
          </w:tcPr>
          <w:p>
            <w:pPr>
              <w:spacing w:after="20" w:line="300" w:lineRule="auto"/>
            </w:pPr>
            <w:r>
              <w:rPr>
                <w:rFonts w:ascii="Avenir Next" w:hAnsi="Avenir Next" w:cs="Avenir Next"/>
                <w:b w:val="0"/>
                <w:i w:val="0"/>
                <w:color w:val="000000"/>
                <w:sz w:val="21"/>
              </w:rPr>
              <w:t>Maps each to a stated concern</w:t>
            </w:r>
          </w:p>
        </w:tc>
        <w:tc>
          <w:tcPr>
            <w:tcW w:type="dxa" w:w="2353"/>
          </w:tcPr>
          <w:p>
            <w:pPr>
              <w:spacing w:after="20" w:line="300" w:lineRule="auto"/>
            </w:pPr>
            <w:r>
              <w:rPr>
                <w:rFonts w:ascii="Avenir Next" w:hAnsi="Avenir Next" w:cs="Avenir Next"/>
                <w:b w:val="0"/>
                <w:i w:val="0"/>
                <w:color w:val="000000"/>
                <w:sz w:val="21"/>
              </w:rPr>
              <w:t>Distinguishes stated vs. likely hidden concerns</w:t>
            </w:r>
          </w:p>
        </w:tc>
      </w:tr>
    </w:tbl>
    <w:p>
      <w:pPr>
        <w:spacing w:before="320" w:after="140"/>
        <w:pBdr>
          <w:bottom w:val="single" w:sz="6" w:space="4" w:color="C9A961"/>
        </w:pBdr>
      </w:pPr>
      <w:r>
        <w:rPr>
          <w:rFonts w:ascii="Baskerville" w:hAnsi="Baskerville" w:cs="Baskerville"/>
          <w:b w:val="0"/>
          <w:i w:val="0"/>
          <w:color w:val="9C6F1C"/>
          <w:sz w:val="33"/>
        </w:rPr>
        <w:t>**** **** **** Stage 03 · DECIDE — Choose under a real trade-off</w:t>
      </w:r>
    </w:p>
    <w:p>
      <w:pPr>
        <w:spacing w:after="40"/>
      </w:pPr>
      <w:r>
        <w:rPr>
          <w:rFonts w:ascii="Menlo" w:hAnsi="Menlo" w:cs="Sukhumvit Set" w:eastAsia="Sukhumvit Set"/>
          <w:b w:val="0"/>
          <w:i w:val="0"/>
          <w:color w:val="9C6F1C"/>
          <w:sz w:val="18"/>
          <w:spacing w:val="32"/>
        </w:rPr>
        <w:t>BLOOM: EVALUATE · HIGHEST-STAKES SCORING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9D2C4"/>
          <w:left w:val="single" w:sz="4" w:space="0" w:color="D9D2C4"/>
          <w:bottom w:val="single" w:sz="4" w:space="0" w:color="D9D2C4"/>
          <w:right w:val="single" w:sz="4" w:space="0" w:color="D9D2C4"/>
          <w:insideH w:val="single" w:sz="4" w:space="0" w:color="D9D2C4"/>
          <w:insideV w:val="single" w:sz="4" w:space="0" w:color="D9D2C4"/>
        </w:tblBorders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F4F1EA"/>
          </w:tcPr>
          <w:p>
            <w:pPr>
              <w:spacing w:after="20"/>
            </w:pPr>
            <w:r>
              <w:rPr>
                <w:rFonts w:ascii="Menlo" w:hAnsi="Menlo" w:cs="Menlo"/>
                <w:b/>
                <w:i w:val="0"/>
                <w:color w:val="9C6F1C"/>
                <w:sz w:val="16"/>
                <w:spacing w:val="16"/>
              </w:rPr>
              <w:t>CRITERION</w:t>
            </w:r>
          </w:p>
        </w:tc>
        <w:tc>
          <w:tcPr>
            <w:tcW w:type="dxa" w:w="2353"/>
            <w:shd w:val="clear" w:color="auto" w:fill="F4F1EA"/>
          </w:tcPr>
          <w:p>
            <w:pPr>
              <w:spacing w:after="20"/>
            </w:pPr>
            <w:r>
              <w:rPr>
                <w:rFonts w:ascii="Menlo" w:hAnsi="Menlo" w:cs="Menlo"/>
                <w:b/>
                <w:i w:val="0"/>
                <w:color w:val="9C6F1C"/>
                <w:sz w:val="16"/>
                <w:spacing w:val="16"/>
              </w:rPr>
              <w:t>1 · EMERGING</w:t>
            </w:r>
          </w:p>
        </w:tc>
        <w:tc>
          <w:tcPr>
            <w:tcW w:type="dxa" w:w="2353"/>
            <w:shd w:val="clear" w:color="auto" w:fill="F4F1EA"/>
          </w:tcPr>
          <w:p>
            <w:pPr>
              <w:spacing w:after="20"/>
            </w:pPr>
            <w:r>
              <w:rPr>
                <w:rFonts w:ascii="Menlo" w:hAnsi="Menlo" w:cs="Menlo"/>
                <w:b/>
                <w:i w:val="0"/>
                <w:color w:val="9C6F1C"/>
                <w:sz w:val="16"/>
                <w:spacing w:val="16"/>
              </w:rPr>
              <w:t>3 · DEVELOPING</w:t>
            </w:r>
          </w:p>
        </w:tc>
        <w:tc>
          <w:tcPr>
            <w:tcW w:type="dxa" w:w="2353"/>
            <w:shd w:val="clear" w:color="auto" w:fill="F4F1EA"/>
          </w:tcPr>
          <w:p>
            <w:pPr>
              <w:spacing w:after="20"/>
            </w:pPr>
            <w:r>
              <w:rPr>
                <w:rFonts w:ascii="Menlo" w:hAnsi="Menlo" w:cs="Menlo"/>
                <w:b/>
                <w:i w:val="0"/>
                <w:color w:val="9C6F1C"/>
                <w:sz w:val="16"/>
                <w:spacing w:val="16"/>
              </w:rPr>
              <w:t>5 · DISTINGUISHED</w:t>
            </w:r>
          </w:p>
        </w:tc>
      </w:tr>
      <w:tr>
        <w:tc>
          <w:tcPr>
            <w:tcW w:type="dxa" w:w="2353"/>
          </w:tcPr>
          <w:p>
            <w:pPr>
              <w:spacing w:after="20" w:line="300" w:lineRule="auto"/>
            </w:pPr>
            <w:r>
              <w:rPr>
                <w:rFonts w:ascii="Avenir Next" w:hAnsi="Avenir Next" w:cs="Avenir Next"/>
                <w:b w:val="0"/>
                <w:i w:val="0"/>
                <w:color w:val="000000"/>
                <w:sz w:val="21"/>
              </w:rPr>
              <w:t>Strategic coherence</w:t>
            </w:r>
          </w:p>
        </w:tc>
        <w:tc>
          <w:tcPr>
            <w:tcW w:type="dxa" w:w="2353"/>
          </w:tcPr>
          <w:p>
            <w:pPr>
              <w:spacing w:after="20" w:line="300" w:lineRule="auto"/>
            </w:pPr>
            <w:r>
              <w:rPr>
                <w:rFonts w:ascii="Avenir Next" w:hAnsi="Avenir Next" w:cs="Avenir Next"/>
                <w:b w:val="0"/>
                <w:i w:val="0"/>
                <w:color w:val="000000"/>
                <w:sz w:val="21"/>
              </w:rPr>
              <w:t>Choice contradicts stated values</w:t>
            </w:r>
          </w:p>
        </w:tc>
        <w:tc>
          <w:tcPr>
            <w:tcW w:type="dxa" w:w="2353"/>
          </w:tcPr>
          <w:p>
            <w:pPr>
              <w:spacing w:after="20" w:line="300" w:lineRule="auto"/>
            </w:pPr>
            <w:r>
              <w:rPr>
                <w:rFonts w:ascii="Avenir Next" w:hAnsi="Avenir Next" w:cs="Avenir Next"/>
                <w:b w:val="0"/>
                <w:i w:val="0"/>
                <w:color w:val="000000"/>
                <w:sz w:val="21"/>
              </w:rPr>
              <w:t>Aligns but generic</w:t>
            </w:r>
          </w:p>
        </w:tc>
        <w:tc>
          <w:tcPr>
            <w:tcW w:type="dxa" w:w="2353"/>
          </w:tcPr>
          <w:p>
            <w:pPr>
              <w:spacing w:after="20" w:line="300" w:lineRule="auto"/>
            </w:pPr>
            <w:r>
              <w:rPr>
                <w:rFonts w:ascii="Avenir Next" w:hAnsi="Avenir Next" w:cs="Avenir Next"/>
                <w:b w:val="0"/>
                <w:i w:val="0"/>
                <w:color w:val="000000"/>
                <w:sz w:val="21"/>
              </w:rPr>
              <w:t>Specific, defensible, traceable to scenario evidence</w:t>
            </w:r>
          </w:p>
        </w:tc>
      </w:tr>
      <w:tr>
        <w:tc>
          <w:tcPr>
            <w:tcW w:type="dxa" w:w="2353"/>
          </w:tcPr>
          <w:p>
            <w:pPr>
              <w:spacing w:after="20" w:line="300" w:lineRule="auto"/>
            </w:pPr>
            <w:r>
              <w:rPr>
                <w:rFonts w:ascii="Avenir Next" w:hAnsi="Avenir Next" w:cs="Avenir Next"/>
                <w:b w:val="0"/>
                <w:i w:val="0"/>
                <w:color w:val="000000"/>
                <w:sz w:val="21"/>
              </w:rPr>
              <w:t>Consequence awareness</w:t>
            </w:r>
          </w:p>
        </w:tc>
        <w:tc>
          <w:tcPr>
            <w:tcW w:type="dxa" w:w="2353"/>
          </w:tcPr>
          <w:p>
            <w:pPr>
              <w:spacing w:after="20" w:line="300" w:lineRule="auto"/>
            </w:pPr>
            <w:r>
              <w:rPr>
                <w:rFonts w:ascii="Avenir Next" w:hAnsi="Avenir Next" w:cs="Avenir Next"/>
                <w:b w:val="0"/>
                <w:i w:val="0"/>
                <w:color w:val="000000"/>
                <w:sz w:val="21"/>
              </w:rPr>
              <w:t>Ignores second-order effects</w:t>
            </w:r>
          </w:p>
        </w:tc>
        <w:tc>
          <w:tcPr>
            <w:tcW w:type="dxa" w:w="2353"/>
          </w:tcPr>
          <w:p>
            <w:pPr>
              <w:spacing w:after="20" w:line="300" w:lineRule="auto"/>
            </w:pPr>
            <w:r>
              <w:rPr>
                <w:rFonts w:ascii="Avenir Next" w:hAnsi="Avenir Next" w:cs="Avenir Next"/>
                <w:b w:val="0"/>
                <w:i w:val="0"/>
                <w:color w:val="000000"/>
                <w:sz w:val="21"/>
              </w:rPr>
              <w:t>Names one consequence</w:t>
            </w:r>
          </w:p>
        </w:tc>
        <w:tc>
          <w:tcPr>
            <w:tcW w:type="dxa" w:w="2353"/>
          </w:tcPr>
          <w:p>
            <w:pPr>
              <w:spacing w:after="20" w:line="300" w:lineRule="auto"/>
            </w:pPr>
            <w:r>
              <w:rPr>
                <w:rFonts w:ascii="Avenir Next" w:hAnsi="Avenir Next" w:cs="Avenir Next"/>
                <w:b w:val="0"/>
                <w:i w:val="0"/>
                <w:color w:val="000000"/>
                <w:sz w:val="21"/>
              </w:rPr>
              <w:t>Anticipates the trade-off the counter-position will raise</w:t>
            </w:r>
          </w:p>
        </w:tc>
      </w:tr>
      <w:tr>
        <w:tc>
          <w:tcPr>
            <w:tcW w:type="dxa" w:w="2353"/>
          </w:tcPr>
          <w:p>
            <w:pPr>
              <w:spacing w:after="20" w:line="300" w:lineRule="auto"/>
            </w:pPr>
            <w:r>
              <w:rPr>
                <w:rFonts w:ascii="Avenir Next" w:hAnsi="Avenir Next" w:cs="Avenir Next"/>
                <w:b w:val="0"/>
                <w:i w:val="0"/>
                <w:color w:val="000000"/>
                <w:sz w:val="21"/>
              </w:rPr>
              <w:t>Confidence calibration</w:t>
            </w:r>
          </w:p>
        </w:tc>
        <w:tc>
          <w:tcPr>
            <w:tcW w:type="dxa" w:w="2353"/>
          </w:tcPr>
          <w:p>
            <w:pPr>
              <w:spacing w:after="20" w:line="300" w:lineRule="auto"/>
            </w:pPr>
            <w:r>
              <w:rPr>
                <w:rFonts w:ascii="Avenir Next" w:hAnsi="Avenir Next" w:cs="Avenir Next"/>
                <w:b w:val="0"/>
                <w:i w:val="0"/>
                <w:color w:val="000000"/>
                <w:sz w:val="21"/>
              </w:rPr>
              <w:t>High confidence on weak reasoning (deliberate trap)</w:t>
            </w:r>
          </w:p>
        </w:tc>
        <w:tc>
          <w:tcPr>
            <w:tcW w:type="dxa" w:w="2353"/>
          </w:tcPr>
          <w:p>
            <w:pPr>
              <w:spacing w:after="20" w:line="300" w:lineRule="auto"/>
            </w:pPr>
            <w:r>
              <w:rPr>
                <w:rFonts w:ascii="Avenir Next" w:hAnsi="Avenir Next" w:cs="Avenir Next"/>
                <w:b w:val="0"/>
                <w:i w:val="0"/>
                <w:color w:val="000000"/>
                <w:sz w:val="21"/>
              </w:rPr>
              <w:t>Confidence loosely matched to evidence</w:t>
            </w:r>
          </w:p>
        </w:tc>
        <w:tc>
          <w:tcPr>
            <w:tcW w:type="dxa" w:w="2353"/>
          </w:tcPr>
          <w:p>
            <w:pPr>
              <w:spacing w:after="20" w:line="300" w:lineRule="auto"/>
            </w:pPr>
            <w:r>
              <w:rPr>
                <w:rFonts w:ascii="Avenir Next" w:hAnsi="Avenir Next" w:cs="Avenir Next"/>
                <w:b w:val="0"/>
                <w:i w:val="0"/>
                <w:color w:val="000000"/>
                <w:sz w:val="21"/>
              </w:rPr>
              <w:t>Confidence honestly tracks evidence strength</w:t>
            </w:r>
          </w:p>
        </w:tc>
      </w:tr>
    </w:tbl>
    <w:p>
      <w:pPr>
        <w:spacing w:after="140" w:line="324" w:lineRule="auto"/>
      </w:pPr>
      <w:r>
        <w:rPr>
          <w:rFonts w:ascii="Avenir Next" w:hAnsi="Avenir Next" w:cs="Avenir Next"/>
          <w:b w:val="0"/>
          <w:i w:val="0"/>
          <w:color w:val="000000"/>
          <w:sz w:val="25"/>
        </w:rPr>
        <w:t xml:space="preserve"> </w:t>
      </w:r>
      <w:r>
        <w:rPr>
          <w:rFonts w:ascii="Avenir Next" w:hAnsi="Avenir Next" w:cs="Avenir Next"/>
          <w:b w:val="0"/>
          <w:i w:val="0"/>
          <w:color w:val="000000"/>
          <w:sz w:val="25"/>
        </w:rPr>
        <w:t xml:space="preserve"> </w:t>
      </w:r>
      <w:r>
        <w:rPr>
          <w:rFonts w:ascii="Avenir Next" w:hAnsi="Avenir Next" w:cs="Avenir Next"/>
          <w:b w:val="0"/>
          <w:i w:val="0"/>
          <w:color w:val="000000"/>
          <w:sz w:val="25"/>
        </w:rPr>
        <w:t xml:space="preserve"> </w:t>
      </w:r>
      <w:r>
        <w:rPr>
          <w:rFonts w:ascii="Avenir Next" w:hAnsi="Avenir Next" w:cs="Avenir Next"/>
          <w:b/>
          <w:i w:val="0"/>
          <w:color w:val="000000"/>
          <w:sz w:val="25"/>
        </w:rPr>
        <w:t>Token Band</w:t>
      </w:r>
      <w:r>
        <w:rPr>
          <w:rFonts w:ascii="Avenir Next" w:hAnsi="Avenir Next" w:cs="Avenir Next"/>
          <w:b w:val="0"/>
          <w:i w:val="0"/>
          <w:color w:val="000000"/>
          <w:sz w:val="25"/>
        </w:rPr>
        <w:t xml:space="preserve"> The arc's highest-stakes scoring — −10 (high-confidence trap) … +25 (calibrated, defensible). The confidence-trap is deliberate: it makes overclaiming costly, modelling intellectual humility (Vygotsky ZPD-style productive struggle).</w:t>
      </w:r>
    </w:p>
    <w:p>
      <w:pPr>
        <w:spacing w:before="320" w:after="140"/>
        <w:pBdr>
          <w:bottom w:val="single" w:sz="6" w:space="4" w:color="C9A961"/>
        </w:pBdr>
      </w:pPr>
      <w:r>
        <w:rPr>
          <w:rFonts w:ascii="Baskerville" w:hAnsi="Baskerville" w:cs="Baskerville"/>
          <w:b w:val="0"/>
          <w:i w:val="0"/>
          <w:color w:val="9C6F1C"/>
          <w:sz w:val="33"/>
        </w:rPr>
        <w:t>Stage 04 · ACT — Communicate the decision</w:t>
      </w:r>
    </w:p>
    <w:p>
      <w:pPr>
        <w:spacing w:after="40"/>
      </w:pPr>
      <w:r>
        <w:rPr>
          <w:rFonts w:ascii="Menlo" w:hAnsi="Menlo" w:cs="Sukhumvit Set" w:eastAsia="Sukhumvit Set"/>
          <w:b w:val="0"/>
          <w:i w:val="0"/>
          <w:color w:val="9C6F1C"/>
          <w:sz w:val="18"/>
          <w:spacing w:val="32"/>
        </w:rPr>
        <w:t>BLOOM: APPLY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9D2C4"/>
          <w:left w:val="single" w:sz="4" w:space="0" w:color="D9D2C4"/>
          <w:bottom w:val="single" w:sz="4" w:space="0" w:color="D9D2C4"/>
          <w:right w:val="single" w:sz="4" w:space="0" w:color="D9D2C4"/>
          <w:insideH w:val="single" w:sz="4" w:space="0" w:color="D9D2C4"/>
          <w:insideV w:val="single" w:sz="4" w:space="0" w:color="D9D2C4"/>
        </w:tblBorders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F4F1EA"/>
          </w:tcPr>
          <w:p>
            <w:pPr>
              <w:spacing w:after="20"/>
            </w:pPr>
            <w:r>
              <w:rPr>
                <w:rFonts w:ascii="Menlo" w:hAnsi="Menlo" w:cs="Menlo"/>
                <w:b/>
                <w:i w:val="0"/>
                <w:color w:val="9C6F1C"/>
                <w:sz w:val="16"/>
                <w:spacing w:val="16"/>
              </w:rPr>
              <w:t>CRITERION</w:t>
            </w:r>
          </w:p>
        </w:tc>
        <w:tc>
          <w:tcPr>
            <w:tcW w:type="dxa" w:w="2353"/>
            <w:shd w:val="clear" w:color="auto" w:fill="F4F1EA"/>
          </w:tcPr>
          <w:p>
            <w:pPr>
              <w:spacing w:after="20"/>
            </w:pPr>
            <w:r>
              <w:rPr>
                <w:rFonts w:ascii="Menlo" w:hAnsi="Menlo" w:cs="Menlo"/>
                <w:b/>
                <w:i w:val="0"/>
                <w:color w:val="9C6F1C"/>
                <w:sz w:val="16"/>
                <w:spacing w:val="16"/>
              </w:rPr>
              <w:t>1 · EMERGING</w:t>
            </w:r>
          </w:p>
        </w:tc>
        <w:tc>
          <w:tcPr>
            <w:tcW w:type="dxa" w:w="2353"/>
            <w:shd w:val="clear" w:color="auto" w:fill="F4F1EA"/>
          </w:tcPr>
          <w:p>
            <w:pPr>
              <w:spacing w:after="20"/>
            </w:pPr>
            <w:r>
              <w:rPr>
                <w:rFonts w:ascii="Menlo" w:hAnsi="Menlo" w:cs="Menlo"/>
                <w:b/>
                <w:i w:val="0"/>
                <w:color w:val="9C6F1C"/>
                <w:sz w:val="16"/>
                <w:spacing w:val="16"/>
              </w:rPr>
              <w:t>3 · DEVELOPING</w:t>
            </w:r>
          </w:p>
        </w:tc>
        <w:tc>
          <w:tcPr>
            <w:tcW w:type="dxa" w:w="2353"/>
            <w:shd w:val="clear" w:color="auto" w:fill="F4F1EA"/>
          </w:tcPr>
          <w:p>
            <w:pPr>
              <w:spacing w:after="20"/>
            </w:pPr>
            <w:r>
              <w:rPr>
                <w:rFonts w:ascii="Menlo" w:hAnsi="Menlo" w:cs="Menlo"/>
                <w:b/>
                <w:i w:val="0"/>
                <w:color w:val="9C6F1C"/>
                <w:sz w:val="16"/>
                <w:spacing w:val="16"/>
              </w:rPr>
              <w:t>5 · DISTINGUISHED</w:t>
            </w:r>
          </w:p>
        </w:tc>
      </w:tr>
      <w:tr>
        <w:tc>
          <w:tcPr>
            <w:tcW w:type="dxa" w:w="2353"/>
          </w:tcPr>
          <w:p>
            <w:pPr>
              <w:spacing w:after="20" w:line="300" w:lineRule="auto"/>
            </w:pPr>
            <w:r>
              <w:rPr>
                <w:rFonts w:ascii="Avenir Next" w:hAnsi="Avenir Next" w:cs="Avenir Next"/>
                <w:b w:val="0"/>
                <w:i w:val="0"/>
                <w:color w:val="000000"/>
                <w:sz w:val="21"/>
              </w:rPr>
              <w:t>Language quality</w:t>
            </w:r>
          </w:p>
        </w:tc>
        <w:tc>
          <w:tcPr>
            <w:tcW w:type="dxa" w:w="2353"/>
          </w:tcPr>
          <w:p>
            <w:pPr>
              <w:spacing w:after="20" w:line="300" w:lineRule="auto"/>
            </w:pPr>
            <w:r>
              <w:rPr>
                <w:rFonts w:ascii="Avenir Next" w:hAnsi="Avenir Next" w:cs="Avenir Next"/>
                <w:b w:val="0"/>
                <w:i w:val="0"/>
                <w:color w:val="000000"/>
                <w:sz w:val="21"/>
              </w:rPr>
              <w:t>Errors compromise meaning</w:t>
            </w:r>
          </w:p>
        </w:tc>
        <w:tc>
          <w:tcPr>
            <w:tcW w:type="dxa" w:w="2353"/>
          </w:tcPr>
          <w:p>
            <w:pPr>
              <w:spacing w:after="20" w:line="300" w:lineRule="auto"/>
            </w:pPr>
            <w:r>
              <w:rPr>
                <w:rFonts w:ascii="Avenir Next" w:hAnsi="Avenir Next" w:cs="Avenir Next"/>
                <w:b w:val="0"/>
                <w:i w:val="0"/>
                <w:color w:val="000000"/>
                <w:sz w:val="21"/>
              </w:rPr>
              <w:t>Generally clear, minor errors</w:t>
            </w:r>
          </w:p>
        </w:tc>
        <w:tc>
          <w:tcPr>
            <w:tcW w:type="dxa" w:w="2353"/>
          </w:tcPr>
          <w:p>
            <w:pPr>
              <w:spacing w:after="20" w:line="300" w:lineRule="auto"/>
            </w:pPr>
            <w:r>
              <w:rPr>
                <w:rFonts w:ascii="Avenir Next" w:hAnsi="Avenir Next" w:cs="Avenir Next"/>
                <w:b w:val="0"/>
                <w:i w:val="0"/>
                <w:color w:val="000000"/>
                <w:sz w:val="21"/>
              </w:rPr>
              <w:t>Controlled register, audience-appropriate</w:t>
            </w:r>
          </w:p>
        </w:tc>
      </w:tr>
      <w:tr>
        <w:tc>
          <w:tcPr>
            <w:tcW w:type="dxa" w:w="2353"/>
          </w:tcPr>
          <w:p>
            <w:pPr>
              <w:spacing w:after="20" w:line="300" w:lineRule="auto"/>
            </w:pPr>
            <w:r>
              <w:rPr>
                <w:rFonts w:ascii="Avenir Next" w:hAnsi="Avenir Next" w:cs="Avenir Next"/>
                <w:b w:val="0"/>
                <w:i w:val="0"/>
                <w:color w:val="000000"/>
                <w:sz w:val="21"/>
              </w:rPr>
              <w:t>Audience awareness</w:t>
            </w:r>
          </w:p>
        </w:tc>
        <w:tc>
          <w:tcPr>
            <w:tcW w:type="dxa" w:w="2353"/>
          </w:tcPr>
          <w:p>
            <w:pPr>
              <w:spacing w:after="20" w:line="300" w:lineRule="auto"/>
            </w:pPr>
            <w:r>
              <w:rPr>
                <w:rFonts w:ascii="Avenir Next" w:hAnsi="Avenir Next" w:cs="Avenir Next"/>
                <w:b w:val="0"/>
                <w:i w:val="0"/>
                <w:color w:val="000000"/>
                <w:sz w:val="21"/>
              </w:rPr>
              <w:t>Generic "audience"</w:t>
            </w:r>
          </w:p>
        </w:tc>
        <w:tc>
          <w:tcPr>
            <w:tcW w:type="dxa" w:w="2353"/>
          </w:tcPr>
          <w:p>
            <w:pPr>
              <w:spacing w:after="20" w:line="300" w:lineRule="auto"/>
            </w:pPr>
            <w:r>
              <w:rPr>
                <w:rFonts w:ascii="Avenir Next" w:hAnsi="Avenir Next" w:cs="Avenir Next"/>
                <w:b w:val="0"/>
                <w:i w:val="0"/>
                <w:color w:val="000000"/>
                <w:sz w:val="21"/>
              </w:rPr>
              <w:t>Names one audience-specific concern</w:t>
            </w:r>
          </w:p>
        </w:tc>
        <w:tc>
          <w:tcPr>
            <w:tcW w:type="dxa" w:w="2353"/>
          </w:tcPr>
          <w:p>
            <w:pPr>
              <w:spacing w:after="20" w:line="300" w:lineRule="auto"/>
            </w:pPr>
            <w:r>
              <w:rPr>
                <w:rFonts w:ascii="Avenir Next" w:hAnsi="Avenir Next" w:cs="Avenir Next"/>
                <w:b w:val="0"/>
                <w:i w:val="0"/>
                <w:color w:val="000000"/>
                <w:sz w:val="21"/>
              </w:rPr>
              <w:t>Anticipates and addresses audience objections</w:t>
            </w:r>
          </w:p>
        </w:tc>
      </w:tr>
      <w:tr>
        <w:tc>
          <w:tcPr>
            <w:tcW w:type="dxa" w:w="2353"/>
          </w:tcPr>
          <w:p>
            <w:pPr>
              <w:spacing w:after="20" w:line="300" w:lineRule="auto"/>
            </w:pPr>
            <w:r>
              <w:rPr>
                <w:rFonts w:ascii="Avenir Next" w:hAnsi="Avenir Next" w:cs="Avenir Next"/>
                <w:b w:val="0"/>
                <w:i w:val="0"/>
                <w:color w:val="000000"/>
                <w:sz w:val="21"/>
              </w:rPr>
              <w:t>Justification</w:t>
            </w:r>
          </w:p>
        </w:tc>
        <w:tc>
          <w:tcPr>
            <w:tcW w:type="dxa" w:w="2353"/>
          </w:tcPr>
          <w:p>
            <w:pPr>
              <w:spacing w:after="20" w:line="300" w:lineRule="auto"/>
            </w:pPr>
            <w:r>
              <w:rPr>
                <w:rFonts w:ascii="Avenir Next" w:hAnsi="Avenir Next" w:cs="Avenir Next"/>
                <w:b w:val="0"/>
                <w:i w:val="0"/>
                <w:color w:val="000000"/>
                <w:sz w:val="21"/>
              </w:rPr>
              <w:t>One-sentence assertion</w:t>
            </w:r>
          </w:p>
        </w:tc>
        <w:tc>
          <w:tcPr>
            <w:tcW w:type="dxa" w:w="2353"/>
          </w:tcPr>
          <w:p>
            <w:pPr>
              <w:spacing w:after="20" w:line="300" w:lineRule="auto"/>
            </w:pPr>
            <w:r>
              <w:rPr>
                <w:rFonts w:ascii="Avenir Next" w:hAnsi="Avenir Next" w:cs="Avenir Next"/>
                <w:b w:val="0"/>
                <w:i w:val="0"/>
                <w:color w:val="000000"/>
                <w:sz w:val="21"/>
              </w:rPr>
              <w:t>Reasoned but thin</w:t>
            </w:r>
          </w:p>
        </w:tc>
        <w:tc>
          <w:tcPr>
            <w:tcW w:type="dxa" w:w="2353"/>
          </w:tcPr>
          <w:p>
            <w:pPr>
              <w:spacing w:after="20" w:line="300" w:lineRule="auto"/>
            </w:pPr>
            <w:r>
              <w:rPr>
                <w:rFonts w:ascii="Avenir Next" w:hAnsi="Avenir Next" w:cs="Avenir Next"/>
                <w:b w:val="0"/>
                <w:i w:val="0"/>
                <w:color w:val="000000"/>
                <w:sz w:val="21"/>
              </w:rPr>
              <w:t>Explicit, specific, names the trade-off</w:t>
            </w:r>
          </w:p>
        </w:tc>
      </w:tr>
    </w:tbl>
    <w:p>
      <w:pPr>
        <w:spacing w:before="320" w:after="140"/>
        <w:pBdr>
          <w:bottom w:val="single" w:sz="6" w:space="4" w:color="C9A961"/>
        </w:pBdr>
      </w:pPr>
      <w:r>
        <w:rPr>
          <w:rFonts w:ascii="Baskerville" w:hAnsi="Baskerville" w:cs="Baskerville"/>
          <w:b w:val="0"/>
          <w:i w:val="0"/>
          <w:color w:val="9C6F1C"/>
          <w:sz w:val="33"/>
        </w:rPr>
        <w:t>**** **** **** Stage 05 · DEBRIEF — Reflect on consequence</w:t>
      </w:r>
    </w:p>
    <w:p>
      <w:pPr>
        <w:spacing w:after="40"/>
      </w:pPr>
      <w:r>
        <w:rPr>
          <w:rFonts w:ascii="Menlo" w:hAnsi="Menlo" w:cs="Sukhumvit Set" w:eastAsia="Sukhumvit Set"/>
          <w:b w:val="0"/>
          <w:i w:val="0"/>
          <w:color w:val="9C6F1C"/>
          <w:sz w:val="18"/>
          <w:spacing w:val="32"/>
        </w:rPr>
        <w:t>BLOOM: METACOGNITION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9D2C4"/>
          <w:left w:val="single" w:sz="4" w:space="0" w:color="D9D2C4"/>
          <w:bottom w:val="single" w:sz="4" w:space="0" w:color="D9D2C4"/>
          <w:right w:val="single" w:sz="4" w:space="0" w:color="D9D2C4"/>
          <w:insideH w:val="single" w:sz="4" w:space="0" w:color="D9D2C4"/>
          <w:insideV w:val="single" w:sz="4" w:space="0" w:color="D9D2C4"/>
        </w:tblBorders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F4F1EA"/>
          </w:tcPr>
          <w:p>
            <w:pPr>
              <w:spacing w:after="20"/>
            </w:pPr>
            <w:r>
              <w:rPr>
                <w:rFonts w:ascii="Menlo" w:hAnsi="Menlo" w:cs="Menlo"/>
                <w:b/>
                <w:i w:val="0"/>
                <w:color w:val="9C6F1C"/>
                <w:sz w:val="16"/>
                <w:spacing w:val="16"/>
              </w:rPr>
              <w:t>CRITERION</w:t>
            </w:r>
          </w:p>
        </w:tc>
        <w:tc>
          <w:tcPr>
            <w:tcW w:type="dxa" w:w="2353"/>
            <w:shd w:val="clear" w:color="auto" w:fill="F4F1EA"/>
          </w:tcPr>
          <w:p>
            <w:pPr>
              <w:spacing w:after="20"/>
            </w:pPr>
            <w:r>
              <w:rPr>
                <w:rFonts w:ascii="Menlo" w:hAnsi="Menlo" w:cs="Menlo"/>
                <w:b/>
                <w:i w:val="0"/>
                <w:color w:val="9C6F1C"/>
                <w:sz w:val="16"/>
                <w:spacing w:val="16"/>
              </w:rPr>
              <w:t>1 · EMERGING</w:t>
            </w:r>
          </w:p>
        </w:tc>
        <w:tc>
          <w:tcPr>
            <w:tcW w:type="dxa" w:w="2353"/>
            <w:shd w:val="clear" w:color="auto" w:fill="F4F1EA"/>
          </w:tcPr>
          <w:p>
            <w:pPr>
              <w:spacing w:after="20"/>
            </w:pPr>
            <w:r>
              <w:rPr>
                <w:rFonts w:ascii="Menlo" w:hAnsi="Menlo" w:cs="Menlo"/>
                <w:b/>
                <w:i w:val="0"/>
                <w:color w:val="9C6F1C"/>
                <w:sz w:val="16"/>
                <w:spacing w:val="16"/>
              </w:rPr>
              <w:t>3 · DEVELOPING</w:t>
            </w:r>
          </w:p>
        </w:tc>
        <w:tc>
          <w:tcPr>
            <w:tcW w:type="dxa" w:w="2353"/>
            <w:shd w:val="clear" w:color="auto" w:fill="F4F1EA"/>
          </w:tcPr>
          <w:p>
            <w:pPr>
              <w:spacing w:after="20"/>
            </w:pPr>
            <w:r>
              <w:rPr>
                <w:rFonts w:ascii="Menlo" w:hAnsi="Menlo" w:cs="Menlo"/>
                <w:b/>
                <w:i w:val="0"/>
                <w:color w:val="9C6F1C"/>
                <w:sz w:val="16"/>
                <w:spacing w:val="16"/>
              </w:rPr>
              <w:t>5 · DISTINGUISHED</w:t>
            </w:r>
          </w:p>
        </w:tc>
      </w:tr>
      <w:tr>
        <w:tc>
          <w:tcPr>
            <w:tcW w:type="dxa" w:w="2353"/>
          </w:tcPr>
          <w:p>
            <w:pPr>
              <w:spacing w:after="20" w:line="300" w:lineRule="auto"/>
            </w:pPr>
            <w:r>
              <w:rPr>
                <w:rFonts w:ascii="Avenir Next" w:hAnsi="Avenir Next" w:cs="Avenir Next"/>
                <w:b w:val="0"/>
                <w:i w:val="0"/>
                <w:color w:val="000000"/>
                <w:sz w:val="21"/>
              </w:rPr>
              <w:t>Counterargument handling</w:t>
            </w:r>
          </w:p>
        </w:tc>
        <w:tc>
          <w:tcPr>
            <w:tcW w:type="dxa" w:w="2353"/>
          </w:tcPr>
          <w:p>
            <w:pPr>
              <w:spacing w:after="20" w:line="300" w:lineRule="auto"/>
            </w:pPr>
            <w:r>
              <w:rPr>
                <w:rFonts w:ascii="Avenir Next" w:hAnsi="Avenir Next" w:cs="Avenir Next"/>
                <w:b w:val="0"/>
                <w:i w:val="0"/>
                <w:color w:val="000000"/>
                <w:sz w:val="21"/>
              </w:rPr>
              <w:t>Dismisses or capitulates</w:t>
            </w:r>
          </w:p>
        </w:tc>
        <w:tc>
          <w:tcPr>
            <w:tcW w:type="dxa" w:w="2353"/>
          </w:tcPr>
          <w:p>
            <w:pPr>
              <w:spacing w:after="20" w:line="300" w:lineRule="auto"/>
            </w:pPr>
            <w:r>
              <w:rPr>
                <w:rFonts w:ascii="Avenir Next" w:hAnsi="Avenir Next" w:cs="Avenir Next"/>
                <w:b w:val="0"/>
                <w:i w:val="0"/>
                <w:color w:val="000000"/>
                <w:sz w:val="21"/>
              </w:rPr>
              <w:t>Acknowledges, partially answers</w:t>
            </w:r>
          </w:p>
        </w:tc>
        <w:tc>
          <w:tcPr>
            <w:tcW w:type="dxa" w:w="2353"/>
          </w:tcPr>
          <w:p>
            <w:pPr>
              <w:spacing w:after="20" w:line="300" w:lineRule="auto"/>
            </w:pPr>
            <w:r>
              <w:rPr>
                <w:rFonts w:ascii="Avenir Next" w:hAnsi="Avenir Next" w:cs="Avenir Next"/>
                <w:b w:val="0"/>
                <w:i w:val="0"/>
                <w:color w:val="000000"/>
                <w:sz w:val="21"/>
              </w:rPr>
              <w:t>Acknowledges, refutes, refines own position</w:t>
            </w:r>
          </w:p>
        </w:tc>
      </w:tr>
      <w:tr>
        <w:tc>
          <w:tcPr>
            <w:tcW w:type="dxa" w:w="2353"/>
          </w:tcPr>
          <w:p>
            <w:pPr>
              <w:spacing w:after="20" w:line="300" w:lineRule="auto"/>
            </w:pPr>
            <w:r>
              <w:rPr>
                <w:rFonts w:ascii="Avenir Next" w:hAnsi="Avenir Next" w:cs="Avenir Next"/>
                <w:b w:val="0"/>
                <w:i w:val="0"/>
                <w:color w:val="000000"/>
                <w:sz w:val="21"/>
              </w:rPr>
              <w:t>Willingness to revise</w:t>
            </w:r>
          </w:p>
        </w:tc>
        <w:tc>
          <w:tcPr>
            <w:tcW w:type="dxa" w:w="2353"/>
          </w:tcPr>
          <w:p>
            <w:pPr>
              <w:spacing w:after="20" w:line="300" w:lineRule="auto"/>
            </w:pPr>
            <w:r>
              <w:rPr>
                <w:rFonts w:ascii="Avenir Next" w:hAnsi="Avenir Next" w:cs="Avenir Next"/>
                <w:b w:val="0"/>
                <w:i w:val="0"/>
                <w:color w:val="000000"/>
                <w:sz w:val="21"/>
              </w:rPr>
              <w:t>None</w:t>
            </w:r>
          </w:p>
        </w:tc>
        <w:tc>
          <w:tcPr>
            <w:tcW w:type="dxa" w:w="2353"/>
          </w:tcPr>
          <w:p>
            <w:pPr>
              <w:spacing w:after="20" w:line="300" w:lineRule="auto"/>
            </w:pPr>
            <w:r>
              <w:rPr>
                <w:rFonts w:ascii="Avenir Next" w:hAnsi="Avenir Next" w:cs="Avenir Next"/>
                <w:b w:val="0"/>
                <w:i w:val="0"/>
                <w:color w:val="000000"/>
                <w:sz w:val="21"/>
              </w:rPr>
              <w:t>Revision in form only</w:t>
            </w:r>
          </w:p>
        </w:tc>
        <w:tc>
          <w:tcPr>
            <w:tcW w:type="dxa" w:w="2353"/>
          </w:tcPr>
          <w:p>
            <w:pPr>
              <w:spacing w:after="20" w:line="300" w:lineRule="auto"/>
            </w:pPr>
            <w:r>
              <w:rPr>
                <w:rFonts w:ascii="Avenir Next" w:hAnsi="Avenir Next" w:cs="Avenir Next"/>
                <w:b w:val="0"/>
                <w:i w:val="0"/>
                <w:color w:val="000000"/>
                <w:sz w:val="21"/>
              </w:rPr>
              <w:t>Genuinely incorporates the strongest counter</w:t>
            </w:r>
          </w:p>
        </w:tc>
      </w:tr>
      <w:tr>
        <w:tc>
          <w:tcPr>
            <w:tcW w:type="dxa" w:w="2353"/>
          </w:tcPr>
          <w:p>
            <w:pPr>
              <w:spacing w:after="20" w:line="300" w:lineRule="auto"/>
            </w:pPr>
            <w:r>
              <w:rPr>
                <w:rFonts w:ascii="Avenir Next" w:hAnsi="Avenir Next" w:cs="Avenir Next"/>
                <w:b w:val="0"/>
                <w:i w:val="0"/>
                <w:color w:val="000000"/>
                <w:sz w:val="21"/>
              </w:rPr>
              <w:t>Evidence commitment</w:t>
            </w:r>
          </w:p>
        </w:tc>
        <w:tc>
          <w:tcPr>
            <w:tcW w:type="dxa" w:w="2353"/>
          </w:tcPr>
          <w:p>
            <w:pPr>
              <w:spacing w:after="20" w:line="300" w:lineRule="auto"/>
            </w:pPr>
            <w:r>
              <w:rPr>
                <w:rFonts w:ascii="Avenir Next" w:hAnsi="Avenir Next" w:cs="Avenir Next"/>
                <w:b w:val="0"/>
                <w:i w:val="0"/>
                <w:color w:val="000000"/>
                <w:sz w:val="21"/>
              </w:rPr>
              <w:t>None recorded</w:t>
            </w:r>
          </w:p>
        </w:tc>
        <w:tc>
          <w:tcPr>
            <w:tcW w:type="dxa" w:w="2353"/>
          </w:tcPr>
          <w:p>
            <w:pPr>
              <w:spacing w:after="20" w:line="300" w:lineRule="auto"/>
            </w:pPr>
            <w:r>
              <w:rPr>
                <w:rFonts w:ascii="Avenir Next" w:hAnsi="Avenir Next" w:cs="Avenir Next"/>
                <w:b w:val="0"/>
                <w:i w:val="0"/>
                <w:color w:val="000000"/>
                <w:sz w:val="21"/>
              </w:rPr>
              <w:t>Names evidence vaguely</w:t>
            </w:r>
          </w:p>
        </w:tc>
        <w:tc>
          <w:tcPr>
            <w:tcW w:type="dxa" w:w="2353"/>
          </w:tcPr>
          <w:p>
            <w:pPr>
              <w:spacing w:after="20" w:line="300" w:lineRule="auto"/>
            </w:pPr>
            <w:r>
              <w:rPr>
                <w:rFonts w:ascii="Avenir Next" w:hAnsi="Avenir Next" w:cs="Avenir Next"/>
                <w:b w:val="0"/>
                <w:i w:val="0"/>
                <w:color w:val="000000"/>
                <w:sz w:val="21"/>
              </w:rPr>
              <w:t>Commits to specific evidence (carried to the Voice for Change)</w:t>
            </w:r>
          </w:p>
        </w:tc>
      </w:tr>
    </w:tbl>
    <w:p>
      <w:pPr>
        <w:spacing w:after="40"/>
      </w:pPr>
      <w:r>
        <w:rPr>
          <w:rFonts w:ascii="Menlo" w:hAnsi="Menlo" w:cs="Sukhumvit Set" w:eastAsia="Sukhumvit Set"/>
          <w:b w:val="0"/>
          <w:i w:val="0"/>
          <w:color w:val="9C6F1C"/>
          <w:sz w:val="18"/>
          <w:spacing w:val="32"/>
        </w:rPr>
        <w:t>**** **** **** CALIBRATION &amp; OPERATIONAL NOTES</w:t>
      </w:r>
    </w:p>
    <w:p>
      <w:pPr>
        <w:pStyle w:val="ListBullet"/>
        <w:spacing w:after="60" w:line="312" w:lineRule="auto"/>
      </w:pPr>
      <w:r>
        <w:rPr>
          <w:rFonts w:ascii="Avenir Next" w:hAnsi="Avenir Next" w:cs="Avenir Next"/>
          <w:b w:val="0"/>
          <w:i w:val="0"/>
          <w:color w:val="000000"/>
          <w:sz w:val="25"/>
        </w:rPr>
        <w:t>AI-Judge calibration: during the pilot, random-sample ~5% of decisions and compare AI scores to a teacher's; drift greater than 0.5 score-point on any criterion triggers prompt revision.</w:t>
      </w:r>
    </w:p>
    <w:p>
      <w:pPr>
        <w:pStyle w:val="ListBullet"/>
        <w:spacing w:after="60" w:line="312" w:lineRule="auto"/>
      </w:pPr>
      <w:r>
        <w:rPr>
          <w:rFonts w:ascii="Avenir Next" w:hAnsi="Avenir Next" w:cs="Avenir Next"/>
          <w:b w:val="0"/>
          <w:i w:val="0"/>
          <w:color w:val="000000"/>
          <w:sz w:val="25"/>
        </w:rPr>
        <w:t>growthEdge mandatory: every AI return must include a specific actionable growthEdge. A null fails validation and the call is retried — the journey never blocks.</w:t>
      </w:r>
    </w:p>
    <w:p>
      <w:pPr>
        <w:pStyle w:val="ListBullet"/>
        <w:spacing w:after="60" w:line="312" w:lineRule="auto"/>
      </w:pPr>
      <w:r>
        <w:rPr>
          <w:rFonts w:ascii="Avenir Next" w:hAnsi="Avenir Next" w:cs="Avenir Next"/>
          <w:b w:val="0"/>
          <w:i w:val="0"/>
          <w:color w:val="000000"/>
          <w:sz w:val="25"/>
        </w:rPr>
        <w:t>No dead-ends: a learner below the bar may replay DECIDE/ACT, or a teacher may grant the Keystone for assessed offline-equivalent work (logged, audited — see Teacher Guide).</w:t>
      </w:r>
    </w:p>
    <w:p>
      <w:pPr>
        <w:pStyle w:val="ListBullet"/>
        <w:spacing w:after="60" w:line="312" w:lineRule="auto"/>
      </w:pPr>
      <w:r>
        <w:rPr>
          <w:rFonts w:ascii="Avenir Next" w:hAnsi="Avenir Next" w:cs="Avenir Next"/>
          <w:b w:val="0"/>
          <w:i w:val="0"/>
          <w:color w:val="000000"/>
          <w:sz w:val="25"/>
        </w:rPr>
        <w:t>Composite pass rule: stage scores compose into the mission pass-threshold via the engine (default 0.60). Tokens reward process; the Keystone records "met the bar for this region."</w:t>
      </w:r>
    </w:p>
    <w:p>
      <w:pPr>
        <w:spacing w:after="140" w:line="324" w:lineRule="auto"/>
      </w:pPr>
      <w:r>
        <w:rPr>
          <w:rFonts w:ascii="Avenir Next" w:hAnsi="Avenir Next" w:cs="Avenir Next"/>
          <w:b w:val="0"/>
          <w:i w:val="0"/>
          <w:color w:val="000000"/>
          <w:sz w:val="25"/>
        </w:rPr>
        <w:t xml:space="preserve"> </w:t>
      </w:r>
      <w:r>
        <w:rPr>
          <w:rFonts w:ascii="Avenir Next" w:hAnsi="Avenir Next" w:cs="Avenir Next"/>
          <w:b w:val="0"/>
          <w:i w:val="0"/>
          <w:color w:val="000000"/>
          <w:sz w:val="25"/>
        </w:rPr>
        <w:t xml:space="preserve"> </w:t>
      </w:r>
      <w:r>
        <w:rPr>
          <w:rFonts w:ascii="Avenir Next" w:hAnsi="Avenir Next" w:cs="Avenir Next"/>
          <w:b w:val="0"/>
          <w:i w:val="0"/>
          <w:color w:val="000000"/>
          <w:sz w:val="25"/>
        </w:rPr>
        <w:t xml:space="preserve"> </w:t>
      </w:r>
    </w:p>
    <w:sectPr w:rsidR="00FC693F" w:rsidRPr="0006063C" w:rsidSect="00034616">
      <w:footerReference w:type="default" r:id="rId9"/>
      <w:pgSz w:w="11906" w:h="16838"/>
      <w:pgMar w:top="124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20"/>
      <w:jc w:val="center"/>
    </w:pPr>
    <w:r>
      <w:rPr>
        <w:rFonts w:ascii="Menlo" w:hAnsi="Menlo" w:cs="Menlo"/>
        <w:b w:val="0"/>
        <w:i w:val="0"/>
        <w:color w:val="5A5A60"/>
        <w:sz w:val="15"/>
        <w:spacing w:val="10"/>
      </w:rPr>
      <w:t>Dr. Payungsak Kaenchan  |  Faculty of Liberal Arts, Mahidol University</w:t>
    </w:r>
  </w:p>
  <w:p>
    <w:pPr>
      <w:jc w:val="center"/>
    </w:pPr>
    <w:r>
      <w:rPr>
        <w:rFonts w:ascii="Menlo" w:hAnsi="Menlo" w:cs="Menlo"/>
        <w:b w:val="0"/>
        <w:i w:val="0"/>
        <w:color w:val="5A5A60"/>
        <w:sz w:val="13"/>
        <w:spacing w:val="6"/>
      </w:rPr>
      <w:t>Creative Commons BY-NC · Educational, non-commercial use only · No profit · Reuse or duplication must credit the author and obtain prior consent.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venir Next" w:hAnsi="Avenir Next" w:cs="Avenir Next" w:eastAsia="Sukhumvit Set"/>
      <w:color w:val="000000"/>
      <w:sz w:val="25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