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bric-b-mission-dec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enlo" w:hAnsi="Menlo" w:cs="Sukhumvit Set" w:eastAsia="Sukhumvit Set"/>
          <w:b w:val="0"/>
          <w:i w:val="0"/>
          <w:color w:val="9C6F1C"/>
          <w:sz w:val="20"/>
          <w:spacing w:val="36"/>
        </w:rPr>
        <w:t>RUBRIC · B · AI JUDGE LOGIC</w:t>
      </w:r>
    </w:p>
    <w:p>
      <w:pPr>
        <w:spacing w:after="120" w:line="245" w:lineRule="auto"/>
        <w:jc w:val="center"/>
      </w:pPr>
      <w:r>
        <w:rPr>
          <w:rFonts w:ascii="Baskerville" w:hAnsi="Baskerville" w:cs="Baskerville"/>
          <w:b w:val="0"/>
          <w:i w:val="0"/>
          <w:color w:val="7B1B1B"/>
          <w:sz w:val="64"/>
        </w:rPr>
        <w:t>Mission Decision Quality — AI Judge Logic</w:t>
      </w:r>
    </w:p>
    <w:p>
      <w:pPr>
        <w:spacing w:after="80"/>
        <w:jc w:val="center"/>
      </w:pPr>
      <w:r>
        <w:rPr>
          <w:rFonts w:ascii="Baskerville" w:hAnsi="Baskerville" w:cs="Baskerville"/>
          <w:b w:val="0"/>
          <w:i/>
          <w:color w:val="5A5A60"/>
          <w:sz w:val="30"/>
        </w:rPr>
        <w:t>Assessment rubric · FUTUREPROOF</w:t>
      </w:r>
    </w:p>
    <w:p>
      <w:pPr>
        <w:spacing w:after="480"/>
        <w:jc w:val="center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รูบริก B · คุณภาพการตัดสินใจระหว่างภารกิจ</w:t>
      </w:r>
    </w:p>
    <w:p>
      <w:pPr>
        <w:spacing w:before="400"/>
        <w:jc w:val="center"/>
      </w:pPr>
      <w:r>
        <w:rPr>
          <w:rFonts w:ascii="Avenir Next" w:hAnsi="Avenir Next" w:cs="Avenir Next"/>
          <w:b w:val="0"/>
          <w:i w:val="0"/>
          <w:color w:val="000000"/>
          <w:sz w:val="22"/>
        </w:rPr>
        <w:t>Dr. Payungsak Kaenchan  ·  Faculty of Liberal Arts, Mahidol University</w:t>
      </w:r>
    </w:p>
    <w:p>
      <w:pPr>
        <w:jc w:val="center"/>
      </w:pPr>
      <w:r>
        <w:rPr>
          <w:rFonts w:ascii="Menlo" w:hAnsi="Menlo" w:cs="Menlo"/>
          <w:b w:val="0"/>
          <w:i w:val="0"/>
          <w:color w:val="5A5A60"/>
          <w:sz w:val="16"/>
          <w:spacing w:val="16"/>
        </w:rPr>
        <w:t>Submitted to the SPU Tech Creative Learning Awards 2569</w:t>
      </w:r>
    </w:p>
    <w:p>
      <w:r>
        <w:br w:type="page"/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FUTUREPROOF · SDG MISSION JOURNEY   ·   RUBRIC · B · AI JUDGE LOGIC</w:t>
      </w:r>
    </w:p>
    <w:p>
      <w:pPr>
        <w:spacing w:before="40" w:after="80" w:line="245" w:lineRule="auto"/>
      </w:pPr>
      <w:r>
        <w:rPr>
          <w:rFonts w:ascii="Baskerville" w:hAnsi="Baskerville" w:cs="Baskerville"/>
          <w:b w:val="0"/>
          <w:i w:val="0"/>
          <w:color w:val="7B1B1B"/>
          <w:sz w:val="54"/>
        </w:rPr>
        <w:t>Mission Decision Quality — AI Judge Logic</w:t>
      </w:r>
    </w:p>
    <w:p>
      <w:pPr>
        <w:spacing w:after="200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รูบริก B · คุณภาพการตัดสินใจในภารกิจ (ตรรกะ AI Judge)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PURPOSE · วัตถุประสงค์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Make the AI Judges' scoring logic </w:t>
      </w:r>
      <w:r>
        <w:rPr>
          <w:rFonts w:ascii="Avenir Next" w:hAnsi="Avenir Next" w:cs="Avenir Next"/>
          <w:b/>
          <w:i w:val="0"/>
          <w:color w:val="000000"/>
          <w:sz w:val="25"/>
        </w:rPr>
        <w:t>transparent and auditable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— for teachers, learners, and the competition judges. Every decision a learner submits inside a mission is scored against the criteria in this rubric. The platform's feedback prompts and Insight-Token awards are deterministic functions of these scores.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OBJECTIVES · เป้าหมายเฉพาะ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Specify the exact dimensions on which AI Judges score each of the five mission stages (BRIEF → PROBE → DECIDE → ACT → DEBRIEF).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Anchor every AI prompt to descriptors a teacher could audit by hand on a random-sample basis.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Document the deliberate confidence-trap at the DECIDE stage and why it is pedagogically defensible.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Define how stage scores compose into the mission pass-threshold that awards an SDG Keystone (idempotent — keystones cannot be double-counted).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Specify the formative-feedback contract: every return includes a specific actionable growthEdge; a null fails validation and the call retries — the journey never blocks.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APPLIES TO · ขอบเขตการใช้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Each decision logged during a mission. Six regional missions (EEC fringe health · Mae Sot education · Khon Kaen water · Bangkok cities · Chiang Mai climate · Andaman marine) all run the same 5-stage arc. The AI Judge scores per stage; the engine composes the mission pass-threshold from those scores.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SCORING SCALE · มาตราการให้คะแนน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Each criterion 1 · 3 · 5. Insight Tokens awarded −10 … +25 from the integrated score (tokens are a process reward — they never buy a Keystone). Pass threshold: engine composite ≥ 0.60 OR net-token bar ≥ 8 ◆. Clearing the bar awards the SDG Keystone for that region (idempotent).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USED BY · ผู้ใช้รูบริก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AI Judges (Tier 1 of the 4-tier hybrid judging system, formative, every mission, every region). Teachers audit randomly-sampled scores against this rubric to calibrate the model. The capstone (Voice for Change) is excluded by design — it belongs to Rubric A (teacher), preserving the AI-TPACK boundary.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PEDAGOGICAL ANCHORS · กรอบทฤษฎีที่ใช้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AI-TPACK (boundary) · PICRAT · Interactive-Amplifies · Bloom's Revised Taxonomy (Remember → Metacognition) · Hattie Visible Learning (formative feedback) · Vygotsky ZPD (the confidence-trap forces productive struggle)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Stage 01 · BRIEF — Absorb the situation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BLOOM: REMEMBER / UNDERSTAND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CRITERION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1 · EMERGING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3 · DEVELOPING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5 · DISTINGUISHED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Factual grounding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Multiple errors of fact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Mostly accurate, minor slips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All claims traceable to the dossier (at the learner's tier)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Vocabulary recognition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Misuses key terms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Uses key terms with occasional imprecision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Uses key terms precisely; differentiates near-synonyms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Situation grasp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Misses the core tension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States the tension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Names the tension and whose interests it pits</w:t>
            </w:r>
          </w:p>
        </w:tc>
      </w:tr>
    </w:tbl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**** **** **** Stage 02 · PROBE — Question the sources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BLOOM: ANALYZE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CRITERION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1 · EMERGING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3 · DEVELOPING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5 · DISTINGUISHED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Source provenance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Trusts the most familiar / loudest source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Weighs one provenance signal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Weighs methodology, recency, and conflict of interest together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Comprehension depth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Surface restatement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Captures one layer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Captures multiple layers and the contested claim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Stakeholder reading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Conflates stakeholders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Maps each to a stated concern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Distinguishes stated vs. likely hidden concerns</w:t>
            </w:r>
          </w:p>
        </w:tc>
      </w:tr>
    </w:tbl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**** **** **** Stage 03 · DECIDE — Choose under a real trade-off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BLOOM: EVALUATE · HIGHEST-STAKES SCORING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CRITERION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1 · EMERGING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3 · DEVELOPING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5 · DISTINGUISHED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Strategic coherence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Choice contradicts stated values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Aligns but generic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Specific, defensible, traceable to scenario evidence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Consequence awareness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Ignores second-order effects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Names one consequence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Anticipates the trade-off the counter-position will raise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Confidence calibration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High confidence on weak reasoning (deliberate trap)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Confidence loosely matched to evidence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Confidence honestly tracks evidence strength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/>
          <w:i w:val="0"/>
          <w:color w:val="000000"/>
          <w:sz w:val="25"/>
        </w:rPr>
        <w:t>Token Band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The arc's highest-stakes scoring — −10 (high-confidence trap) … +25 (calibrated, defensible). The confidence-trap is deliberate: it makes overclaiming costly, modelling intellectual humility (Vygotsky ZPD-style productive struggle).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Stage 04 · ACT — Communicate the decision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BLOOM: APPLY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CRITERION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1 · EMERGING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3 · DEVELOPING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5 · DISTINGUISHED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Language quality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Errors compromise meaning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Generally clear, minor errors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Controlled register, audience-appropriate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Audience awareness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Generic "audience"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Names one audience-specific concern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Anticipates and addresses audience objections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Justification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One-sentence assertion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Reasoned but thin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Explicit, specific, names the trade-off</w:t>
            </w:r>
          </w:p>
        </w:tc>
      </w:tr>
    </w:tbl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**** **** **** Stage 05 · DEBRIEF — Reflect on consequence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BLOOM: METACOGNITION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CRITERION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1 · EMERGING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3 · DEVELOPING</w:t>
            </w:r>
          </w:p>
        </w:tc>
        <w:tc>
          <w:tcPr>
            <w:tcW w:type="dxa" w:w="2353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5 · DISTINGUISHED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Counterargument handling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Dismisses or capitulates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Acknowledges, partially answers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Acknowledges, refutes, refines own position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Willingness to revise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None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Revision in form only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Genuinely incorporates the strongest counter</w:t>
            </w:r>
          </w:p>
        </w:tc>
      </w:tr>
      <w:tr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Evidence commitment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None recorded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Names evidence vaguely</w:t>
            </w:r>
          </w:p>
        </w:tc>
        <w:tc>
          <w:tcPr>
            <w:tcW w:type="dxa" w:w="2353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Commits to specific evidence (carried to the Voice for Change)</w:t>
            </w:r>
          </w:p>
        </w:tc>
      </w:tr>
    </w:tbl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**** **** **** CALIBRATION &amp; OPERATIONAL NOTES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AI-Judge calibration: during the pilot, random-sample ~5% of decisions and compare AI scores to a teacher's; drift greater than 0.5 score-point on any criterion triggers prompt revision.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growthEdge mandatory: every AI return must include a specific actionable growthEdge. A null fails validation and the call is retried — the journey never blocks.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No dead-ends: a learner below the bar may replay DECIDE/ACT, or a teacher may grant the Keystone for assessed offline-equivalent work (logged, audited — see Teacher Guide).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Composite pass rule: stage scores compose into the mission pass-threshold via the engine (default 0.60). Tokens reward process; the Keystone records "met the bar for this region."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</w:t>
      </w:r>
    </w:p>
    <w:sectPr w:rsidR="00FC693F" w:rsidRPr="0006063C" w:rsidSect="00034616"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jc w:val="center"/>
    </w:pPr>
    <w:r>
      <w:drawing>
        <wp:inline xmlns:a="http://schemas.openxmlformats.org/drawingml/2006/main" xmlns:pic="http://schemas.openxmlformats.org/drawingml/2006/picture">
          <wp:extent cx="684000" cy="2409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c-by-nc-88x3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" cy="240955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20"/>
      <w:jc w:val="center"/>
    </w:pPr>
    <w:r>
      <w:rPr>
        <w:rFonts w:ascii="Menlo" w:hAnsi="Menlo" w:cs="Menlo"/>
        <w:b w:val="0"/>
        <w:i w:val="0"/>
        <w:color w:val="5A5A60"/>
        <w:sz w:val="15"/>
        <w:spacing w:val="10"/>
      </w:rPr>
      <w:t>Dr. Payungsak Kaenchan  |  Faculty of Liberal Arts, Mahidol University</w:t>
    </w:r>
  </w:p>
  <w:p>
    <w:pPr>
      <w:jc w:val="center"/>
    </w:pPr>
    <w:r>
      <w:rPr>
        <w:rFonts w:ascii="Menlo" w:hAnsi="Menlo" w:cs="Menlo"/>
        <w:b w:val="0"/>
        <w:i w:val="0"/>
        <w:color w:val="5A5A60"/>
        <w:sz w:val="13"/>
        <w:spacing w:val="6"/>
      </w:rPr>
      <w:t>Creative Commons BY-NC · Educational, non-commercial use only · No profit · Reuse or duplication must credit the author and obtain prior consent.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 w:cs="Avenir Next" w:eastAsia="Sukhumvit Set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