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5976000" cy="3984000"/>
            <wp:docPr id="1" name="Picture 1"/>
            <wp:cNvGraphicFramePr>
              <a:graphicFrameLocks noChangeAspect="1"/>
            </wp:cNvGraphicFramePr>
            <a:graphic>
              <a:graphicData uri="http://schemas.openxmlformats.org/drawingml/2006/picture">
                <pic:pic>
                  <pic:nvPicPr>
                    <pic:cNvPr id="0" name="rubric-c-cefr-language.png"/>
                    <pic:cNvPicPr/>
                  </pic:nvPicPr>
                  <pic:blipFill>
                    <a:blip r:embed="rId9"/>
                    <a:stretch>
                      <a:fillRect/>
                    </a:stretch>
                  </pic:blipFill>
                  <pic:spPr>
                    <a:xfrm>
                      <a:off x="0" y="0"/>
                      <a:ext cx="5976000" cy="3984000"/>
                    </a:xfrm>
                    <a:prstGeom prst="rect"/>
                  </pic:spPr>
                </pic:pic>
              </a:graphicData>
            </a:graphic>
          </wp:inline>
        </w:drawing>
      </w:r>
    </w:p>
    <w:p>
      <w:pPr>
        <w:spacing w:after="80"/>
        <w:jc w:val="center"/>
      </w:pPr>
      <w:r>
        <w:rPr>
          <w:rFonts w:ascii="Menlo" w:hAnsi="Menlo" w:cs="Sukhumvit Set" w:eastAsia="Sukhumvit Set"/>
          <w:b w:val="0"/>
          <w:i w:val="0"/>
          <w:color w:val="9C6F1C"/>
          <w:sz w:val="20"/>
          <w:spacing w:val="36"/>
        </w:rPr>
        <w:t>RUBRIC · C · LANGUAGE DEVELOPMENT</w:t>
      </w:r>
    </w:p>
    <w:p>
      <w:pPr>
        <w:spacing w:after="120" w:line="245" w:lineRule="auto"/>
        <w:jc w:val="center"/>
      </w:pPr>
      <w:r>
        <w:rPr>
          <w:rFonts w:ascii="Baskerville" w:hAnsi="Baskerville" w:cs="Baskerville"/>
          <w:b w:val="0"/>
          <w:i w:val="0"/>
          <w:color w:val="7B1B1B"/>
          <w:sz w:val="64"/>
        </w:rPr>
        <w:t>CEFR-Aligned Language Development (Pre / Post)</w:t>
      </w:r>
    </w:p>
    <w:p>
      <w:pPr>
        <w:spacing w:after="80"/>
        <w:jc w:val="center"/>
      </w:pPr>
      <w:r>
        <w:rPr>
          <w:rFonts w:ascii="Baskerville" w:hAnsi="Baskerville" w:cs="Baskerville"/>
          <w:b w:val="0"/>
          <w:i/>
          <w:color w:val="5A5A60"/>
          <w:sz w:val="30"/>
        </w:rPr>
        <w:t>Assessment rubric · FUTUREPROOF</w:t>
      </w:r>
    </w:p>
    <w:p>
      <w:pPr>
        <w:spacing w:after="480"/>
        <w:jc w:val="center"/>
      </w:pPr>
      <w:r>
        <w:rPr>
          <w:rFonts w:ascii="Sukhumvit Set" w:hAnsi="Sukhumvit Set" w:cs="Sukhumvit Set" w:eastAsia="Sukhumvit Set"/>
          <w:b w:val="0"/>
          <w:i w:val="0"/>
          <w:color w:val="9C6F1C"/>
          <w:sz w:val="26"/>
        </w:rPr>
        <w:t>รูบริก C · พัฒนาการภาษาตามกรอบ CEFR</w:t>
      </w:r>
    </w:p>
    <w:p>
      <w:pPr>
        <w:spacing w:before="400"/>
        <w:jc w:val="center"/>
      </w:pPr>
      <w:r>
        <w:rPr>
          <w:rFonts w:ascii="Avenir Next" w:hAnsi="Avenir Next" w:cs="Avenir Next"/>
          <w:b w:val="0"/>
          <w:i w:val="0"/>
          <w:color w:val="000000"/>
          <w:sz w:val="22"/>
        </w:rPr>
        <w:t>Dr. Payungsak Kaenchan  ·  Faculty of Liberal Arts, Mahidol University</w:t>
      </w:r>
    </w:p>
    <w:p>
      <w:pPr>
        <w:jc w:val="center"/>
      </w:pPr>
      <w:r>
        <w:rPr>
          <w:rFonts w:ascii="Menlo" w:hAnsi="Menlo" w:cs="Menlo"/>
          <w:b w:val="0"/>
          <w:i w:val="0"/>
          <w:color w:val="5A5A60"/>
          <w:sz w:val="16"/>
          <w:spacing w:val="16"/>
        </w:rPr>
        <w:t>Submitted to the SPU Tech Creative Learning Awards 2569</w:t>
      </w:r>
    </w:p>
    <w:p>
      <w:r>
        <w:br w:type="page"/>
      </w:r>
    </w:p>
    <w:p>
      <w:pPr>
        <w:spacing w:after="40"/>
      </w:pPr>
      <w:r>
        <w:rPr>
          <w:rFonts w:ascii="Menlo" w:hAnsi="Menlo" w:cs="Sukhumvit Set" w:eastAsia="Sukhumvit Set"/>
          <w:b w:val="0"/>
          <w:i w:val="0"/>
          <w:color w:val="9C6F1C"/>
          <w:sz w:val="18"/>
          <w:spacing w:val="32"/>
        </w:rPr>
        <w:t>FUTUREPROOF · SDG MISSION JOURNEY   ·   RUBRIC · C · LANGUAGE DEVELOPMENT</w:t>
      </w:r>
    </w:p>
    <w:p>
      <w:pPr>
        <w:spacing w:before="40" w:after="80" w:line="245" w:lineRule="auto"/>
      </w:pPr>
      <w:r>
        <w:rPr>
          <w:rFonts w:ascii="Baskerville" w:hAnsi="Baskerville" w:cs="Baskerville"/>
          <w:b w:val="0"/>
          <w:i w:val="0"/>
          <w:color w:val="7B1B1B"/>
          <w:sz w:val="54"/>
        </w:rPr>
        <w:t>CEFR-Aligned Language Development (Pre / Post)</w:t>
      </w:r>
    </w:p>
    <w:p>
      <w:pPr>
        <w:spacing w:after="200"/>
      </w:pPr>
      <w:r>
        <w:rPr>
          <w:rFonts w:ascii="Sukhumvit Set" w:hAnsi="Sukhumvit Set" w:cs="Sukhumvit Set" w:eastAsia="Sukhumvit Set"/>
          <w:b w:val="0"/>
          <w:i w:val="0"/>
          <w:color w:val="9C6F1C"/>
          <w:sz w:val="26"/>
        </w:rPr>
        <w:t>รูบริก C · พัฒนาการทางภาษาตามมาตรฐาน CEFR (เปรียบเทียบก่อน/หลัง)</w:t>
      </w:r>
    </w:p>
    <w:p>
      <w:pPr>
        <w:spacing w:after="40"/>
      </w:pPr>
      <w:r>
        <w:rPr>
          <w:rFonts w:ascii="Menlo" w:hAnsi="Menlo" w:cs="Sukhumvit Set" w:eastAsia="Sukhumvit Set"/>
          <w:b w:val="0"/>
          <w:i w:val="0"/>
          <w:color w:val="9C6F1C"/>
          <w:sz w:val="18"/>
          <w:spacing w:val="32"/>
        </w:rPr>
        <w:t>PURPOSE · วัตถุประสงค์</w:t>
      </w:r>
    </w:p>
    <w:p>
      <w:pPr>
        <w:spacing w:after="140" w:line="324" w:lineRule="auto"/>
      </w:pPr>
      <w:r>
        <w:rPr>
          <w:rFonts w:ascii="Avenir Next" w:hAnsi="Avenir Next" w:cs="Avenir Next"/>
          <w:b w:val="0"/>
          <w:i w:val="0"/>
          <w:color w:val="000000"/>
          <w:sz w:val="25"/>
        </w:rPr>
        <w:t xml:space="preserve">Measure each learner's </w:t>
      </w:r>
      <w:r>
        <w:rPr>
          <w:rFonts w:ascii="Avenir Next" w:hAnsi="Avenir Next" w:cs="Avenir Next"/>
          <w:b/>
          <w:i w:val="0"/>
          <w:color w:val="000000"/>
          <w:sz w:val="25"/>
        </w:rPr>
        <w:t>delta</w:t>
      </w:r>
      <w:r>
        <w:rPr>
          <w:rFonts w:ascii="Avenir Next" w:hAnsi="Avenir Next" w:cs="Avenir Next"/>
          <w:b w:val="0"/>
          <w:i w:val="0"/>
          <w:color w:val="000000"/>
          <w:sz w:val="25"/>
        </w:rPr>
        <w:t xml:space="preserve"> — the gain in language proficiency — across the course, in CEFR half-band increments. The unit of evaluation is growth, not absolute level. This rubric exists to defend the claim that FUTUREPROOF causes measurable language development, not to rank learners against each other or against native-like norms.</w:t>
      </w:r>
    </w:p>
    <w:p>
      <w:pPr>
        <w:spacing w:after="40"/>
      </w:pPr>
      <w:r>
        <w:rPr>
          <w:rFonts w:ascii="Menlo" w:hAnsi="Menlo" w:cs="Sukhumvit Set" w:eastAsia="Sukhumvit Set"/>
          <w:b w:val="0"/>
          <w:i w:val="0"/>
          <w:color w:val="9C6F1C"/>
          <w:sz w:val="18"/>
          <w:spacing w:val="32"/>
        </w:rPr>
        <w:t>OBJECTIVES · เป้าหมายเฉพาะ</w:t>
      </w:r>
    </w:p>
    <w:p>
      <w:pPr>
        <w:pStyle w:val="ListBullet"/>
        <w:spacing w:after="60" w:line="312" w:lineRule="auto"/>
      </w:pPr>
      <w:r>
        <w:rPr>
          <w:rFonts w:ascii="Avenir Next" w:hAnsi="Avenir Next" w:cs="Avenir Next"/>
          <w:b w:val="0"/>
          <w:i w:val="0"/>
          <w:color w:val="000000"/>
          <w:sz w:val="25"/>
        </w:rPr>
        <w:t>Establish each learner's CEFR band at three timepoints: diagnostic, mid-journey (after first passed regional mission), and post-capstone (after Voice for Change).</w:t>
      </w:r>
    </w:p>
    <w:p>
      <w:pPr>
        <w:pStyle w:val="ListBullet"/>
        <w:spacing w:after="60" w:line="312" w:lineRule="auto"/>
      </w:pPr>
      <w:r>
        <w:rPr>
          <w:rFonts w:ascii="Avenir Next" w:hAnsi="Avenir Next" w:cs="Avenir Next"/>
          <w:b w:val="0"/>
          <w:i w:val="0"/>
          <w:color w:val="000000"/>
          <w:sz w:val="25"/>
        </w:rPr>
        <w:t>Score five dimensions consistently at each timepoint: lexical, grammatical, discourse, register, phonological.</w:t>
      </w:r>
    </w:p>
    <w:p>
      <w:pPr>
        <w:pStyle w:val="ListBullet"/>
        <w:spacing w:after="60" w:line="312" w:lineRule="auto"/>
      </w:pPr>
      <w:r>
        <w:rPr>
          <w:rFonts w:ascii="Avenir Next" w:hAnsi="Avenir Next" w:cs="Avenir Next"/>
          <w:b w:val="0"/>
          <w:i w:val="0"/>
          <w:color w:val="000000"/>
          <w:sz w:val="25"/>
        </w:rPr>
        <w:t>Apply the tier-fairness rule: a Tier-1 learner's A2 → B1 half-band gain equals a Tier-3 learner's B2 → B2+ gain.</w:t>
      </w:r>
    </w:p>
    <w:p>
      <w:pPr>
        <w:pStyle w:val="ListBullet"/>
        <w:spacing w:after="60" w:line="312" w:lineRule="auto"/>
      </w:pPr>
      <w:r>
        <w:rPr>
          <w:rFonts w:ascii="Avenir Next" w:hAnsi="Avenir Next" w:cs="Avenir Next"/>
          <w:b w:val="0"/>
          <w:i w:val="0"/>
          <w:color w:val="000000"/>
          <w:sz w:val="25"/>
        </w:rPr>
        <w:t>Produce a structured growth record per learner suitable for institutional reporting and longitudinal research.</w:t>
      </w:r>
    </w:p>
    <w:p>
      <w:pPr>
        <w:pStyle w:val="ListBullet"/>
        <w:spacing w:after="60" w:line="312" w:lineRule="auto"/>
      </w:pPr>
      <w:r>
        <w:rPr>
          <w:rFonts w:ascii="Avenir Next" w:hAnsi="Avenir Next" w:cs="Avenir Next"/>
          <w:b w:val="0"/>
          <w:i w:val="0"/>
          <w:color w:val="000000"/>
          <w:sz w:val="25"/>
        </w:rPr>
        <w:t>Calibrate AI evaluator against human-scored audit samples; drift &gt; 0.5 half-band on any dimension triggers prompt revision.</w:t>
      </w:r>
    </w:p>
    <w:p>
      <w:pPr>
        <w:spacing w:after="140" w:line="324" w:lineRule="auto"/>
      </w:pPr>
      <w:r>
        <w:rPr>
          <w:rFonts w:ascii="Avenir Next" w:hAnsi="Avenir Next" w:cs="Avenir Next"/>
          <w:b w:val="0"/>
          <w:i w:val="0"/>
          <w:color w:val="000000"/>
          <w:sz w:val="25"/>
        </w:rPr>
        <w:t xml:space="preserve"> </w:t>
      </w:r>
    </w:p>
    <w:p>
      <w:pPr>
        <w:spacing w:after="40"/>
      </w:pPr>
      <w:r>
        <w:rPr>
          <w:rFonts w:ascii="Menlo" w:hAnsi="Menlo" w:cs="Sukhumvit Set" w:eastAsia="Sukhumvit Set"/>
          <w:b w:val="0"/>
          <w:i w:val="0"/>
          <w:color w:val="9C6F1C"/>
          <w:sz w:val="18"/>
          <w:spacing w:val="32"/>
        </w:rPr>
        <w:t>APPLIES TO · ขอบเขตการใช้</w:t>
      </w:r>
    </w:p>
    <w:p>
      <w:pPr>
        <w:spacing w:after="140" w:line="324" w:lineRule="auto"/>
      </w:pPr>
      <w:r>
        <w:rPr>
          <w:rFonts w:ascii="Avenir Next" w:hAnsi="Avenir Next" w:cs="Avenir Next"/>
          <w:b w:val="0"/>
          <w:i w:val="0"/>
          <w:color w:val="000000"/>
          <w:sz w:val="25"/>
        </w:rPr>
        <w:t>A single learner's writing and speaking samples across the course. Reading and listening receptive skills are measured by the diagnostic instrument and by in-platform comprehension; productive samples (writing/speaking) drive band placement.</w:t>
      </w:r>
    </w:p>
    <w:p>
      <w:pPr>
        <w:spacing w:after="40"/>
      </w:pPr>
      <w:r>
        <w:rPr>
          <w:rFonts w:ascii="Menlo" w:hAnsi="Menlo" w:cs="Sukhumvit Set" w:eastAsia="Sukhumvit Set"/>
          <w:b w:val="0"/>
          <w:i w:val="0"/>
          <w:color w:val="9C6F1C"/>
          <w:sz w:val="18"/>
          <w:spacing w:val="32"/>
        </w:rPr>
        <w:t>SCORING SCALE · มาตราการให้คะแนน</w:t>
      </w:r>
    </w:p>
    <w:p>
      <w:pPr>
        <w:spacing w:after="140" w:line="324" w:lineRule="auto"/>
      </w:pPr>
      <w:r>
        <w:rPr>
          <w:rFonts w:ascii="Avenir Next" w:hAnsi="Avenir Next" w:cs="Avenir Next"/>
          <w:b w:val="0"/>
          <w:i w:val="0"/>
          <w:color w:val="000000"/>
          <w:sz w:val="25"/>
        </w:rPr>
        <w:t>CEFR bands A2 → C2 with intra-band markers (A2 · B1− · B1 · B1+ · B2− · B2 · B2+ · C1 · C1+ · C2). Growth = post-band − pre-band, in half-band increments. Composite growth ≥ 4 half-bands across the course is the design target.</w:t>
      </w:r>
    </w:p>
    <w:p>
      <w:pPr>
        <w:spacing w:after="40"/>
      </w:pPr>
      <w:r>
        <w:rPr>
          <w:rFonts w:ascii="Menlo" w:hAnsi="Menlo" w:cs="Sukhumvit Set" w:eastAsia="Sukhumvit Set"/>
          <w:b w:val="0"/>
          <w:i w:val="0"/>
          <w:color w:val="9C6F1C"/>
          <w:sz w:val="18"/>
          <w:spacing w:val="32"/>
        </w:rPr>
        <w:t>USED BY · ผู้ใช้รูบริก</w:t>
      </w:r>
    </w:p>
    <w:p>
      <w:pPr>
        <w:spacing w:after="140" w:line="324" w:lineRule="auto"/>
      </w:pPr>
      <w:r>
        <w:rPr>
          <w:rFonts w:ascii="Avenir Next" w:hAnsi="Avenir Next" w:cs="Avenir Next"/>
          <w:b w:val="0"/>
          <w:i w:val="0"/>
          <w:color w:val="000000"/>
          <w:sz w:val="25"/>
        </w:rPr>
        <w:t>Course-level evaluators (the LALA109 teacher, course coordinator, and institutional researchers). This rubric does NOT generate a passing grade; it produces a development record that supplements Rubric A's holistic capstone grade.</w:t>
      </w:r>
    </w:p>
    <w:p>
      <w:pPr>
        <w:spacing w:after="40"/>
      </w:pPr>
      <w:r>
        <w:rPr>
          <w:rFonts w:ascii="Menlo" w:hAnsi="Menlo" w:cs="Sukhumvit Set" w:eastAsia="Sukhumvit Set"/>
          <w:b w:val="0"/>
          <w:i w:val="0"/>
          <w:color w:val="9C6F1C"/>
          <w:sz w:val="18"/>
          <w:spacing w:val="32"/>
        </w:rPr>
        <w:t>PEDAGOGICAL ANCHORS · กรอบทฤษฎีที่ใช้</w:t>
      </w:r>
    </w:p>
    <w:p>
      <w:pPr>
        <w:spacing w:after="140" w:line="324" w:lineRule="auto"/>
      </w:pPr>
      <w:r>
        <w:rPr>
          <w:rFonts w:ascii="Avenir Next" w:hAnsi="Avenir Next" w:cs="Avenir Next"/>
          <w:b w:val="0"/>
          <w:i w:val="0"/>
          <w:color w:val="000000"/>
          <w:sz w:val="25"/>
        </w:rPr>
        <w:t>CEFR (Council of Europe) · Krashen Input Hypothesis (i+1) · Vygotsky ZPD · CAST UDL 3.0 (multiple means of representation — tier-fairness) · SLA receptive-vs-productive asymmetry</w:t>
      </w:r>
    </w:p>
    <w:p>
      <w:pPr>
        <w:spacing w:before="320" w:after="140"/>
        <w:pBdr>
          <w:bottom w:val="single" w:sz="6" w:space="4" w:color="C9A961"/>
        </w:pBdr>
      </w:pPr>
      <w:r>
        <w:rPr>
          <w:rFonts w:ascii="Baskerville" w:hAnsi="Baskerville" w:cs="Baskerville"/>
          <w:b w:val="0"/>
          <w:i w:val="0"/>
          <w:color w:val="9C6F1C"/>
          <w:sz w:val="33"/>
        </w:rPr>
        <w:t>Methodology · Three Timepoints, Five Dimensions</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DIMENSION</w:t>
            </w:r>
          </w:p>
        </w:tc>
        <w:tc>
          <w:tcPr>
            <w:tcW w:type="dxa" w:w="2353"/>
            <w:shd w:val="clear" w:color="auto" w:fill="F4F1EA"/>
          </w:tcPr>
          <w:p>
            <w:pPr>
              <w:spacing w:after="20"/>
            </w:pPr>
            <w:r>
              <w:rPr>
                <w:rFonts w:ascii="Menlo" w:hAnsi="Menlo" w:cs="Menlo"/>
                <w:b/>
                <w:i w:val="0"/>
                <w:color w:val="9C6F1C"/>
                <w:sz w:val="16"/>
                <w:spacing w:val="16"/>
              </w:rPr>
              <w:t>DIAGNOSTIC SOURCE</w:t>
            </w:r>
          </w:p>
        </w:tc>
        <w:tc>
          <w:tcPr>
            <w:tcW w:type="dxa" w:w="2353"/>
            <w:shd w:val="clear" w:color="auto" w:fill="F4F1EA"/>
          </w:tcPr>
          <w:p>
            <w:pPr>
              <w:spacing w:after="20"/>
            </w:pPr>
            <w:r>
              <w:rPr>
                <w:rFonts w:ascii="Menlo" w:hAnsi="Menlo" w:cs="Menlo"/>
                <w:b/>
                <w:i w:val="0"/>
                <w:color w:val="9C6F1C"/>
                <w:sz w:val="16"/>
                <w:spacing w:val="16"/>
              </w:rPr>
              <w:t>MID-JOURNEY SOURCE</w:t>
            </w:r>
          </w:p>
        </w:tc>
        <w:tc>
          <w:tcPr>
            <w:tcW w:type="dxa" w:w="2353"/>
            <w:shd w:val="clear" w:color="auto" w:fill="F4F1EA"/>
          </w:tcPr>
          <w:p>
            <w:pPr>
              <w:spacing w:after="20"/>
            </w:pPr>
            <w:r>
              <w:rPr>
                <w:rFonts w:ascii="Menlo" w:hAnsi="Menlo" w:cs="Menlo"/>
                <w:b/>
                <w:i w:val="0"/>
                <w:color w:val="9C6F1C"/>
                <w:sz w:val="16"/>
                <w:spacing w:val="16"/>
              </w:rPr>
              <w:t>POST SOURCE</w:t>
            </w:r>
          </w:p>
        </w:tc>
      </w:tr>
      <w:tr>
        <w:tc>
          <w:tcPr>
            <w:tcW w:type="dxa" w:w="2353"/>
          </w:tcPr>
          <w:p>
            <w:pPr>
              <w:spacing w:after="20" w:line="300" w:lineRule="auto"/>
            </w:pPr>
            <w:r>
              <w:rPr>
                <w:rFonts w:ascii="Avenir Next" w:hAnsi="Avenir Next" w:cs="Avenir Next"/>
                <w:b w:val="0"/>
                <w:i w:val="0"/>
                <w:color w:val="000000"/>
                <w:sz w:val="21"/>
              </w:rPr>
              <w:t>Lexical range</w:t>
            </w:r>
          </w:p>
        </w:tc>
        <w:tc>
          <w:tcPr>
            <w:tcW w:type="dxa" w:w="2353"/>
          </w:tcPr>
          <w:p>
            <w:pPr>
              <w:spacing w:after="20" w:line="300" w:lineRule="auto"/>
            </w:pPr>
            <w:r>
              <w:rPr>
                <w:rFonts w:ascii="Avenir Next" w:hAnsi="Avenir Next" w:cs="Avenir Next"/>
                <w:b w:val="0"/>
                <w:i w:val="0"/>
                <w:color w:val="000000"/>
                <w:sz w:val="21"/>
              </w:rPr>
              <w:t>Vocabulary section + writing prompt</w:t>
            </w:r>
          </w:p>
        </w:tc>
        <w:tc>
          <w:tcPr>
            <w:tcW w:type="dxa" w:w="2353"/>
          </w:tcPr>
          <w:p>
            <w:pPr>
              <w:spacing w:after="20" w:line="300" w:lineRule="auto"/>
            </w:pPr>
            <w:r>
              <w:rPr>
                <w:rFonts w:ascii="Avenir Next" w:hAnsi="Avenir Next" w:cs="Avenir Next"/>
                <w:b w:val="0"/>
                <w:i w:val="0"/>
                <w:color w:val="000000"/>
                <w:sz w:val="21"/>
              </w:rPr>
              <w:t>DECIDE / ACT written reasoning in first passed mission</w:t>
            </w:r>
          </w:p>
        </w:tc>
        <w:tc>
          <w:tcPr>
            <w:tcW w:type="dxa" w:w="2353"/>
          </w:tcPr>
          <w:p>
            <w:pPr>
              <w:spacing w:after="20" w:line="300" w:lineRule="auto"/>
            </w:pPr>
            <w:r>
              <w:rPr>
                <w:rFonts w:ascii="Avenir Next" w:hAnsi="Avenir Next" w:cs="Avenir Next"/>
                <w:b w:val="0"/>
                <w:i w:val="0"/>
                <w:color w:val="000000"/>
                <w:sz w:val="21"/>
              </w:rPr>
              <w:t>Voice for Change + transcript</w:t>
            </w:r>
          </w:p>
        </w:tc>
      </w:tr>
      <w:tr>
        <w:tc>
          <w:tcPr>
            <w:tcW w:type="dxa" w:w="2353"/>
          </w:tcPr>
          <w:p>
            <w:pPr>
              <w:spacing w:after="20" w:line="300" w:lineRule="auto"/>
            </w:pPr>
            <w:r>
              <w:rPr>
                <w:rFonts w:ascii="Avenir Next" w:hAnsi="Avenir Next" w:cs="Avenir Next"/>
                <w:b w:val="0"/>
                <w:i w:val="0"/>
                <w:color w:val="000000"/>
                <w:sz w:val="21"/>
              </w:rPr>
              <w:t>Grammatical control</w:t>
            </w:r>
          </w:p>
        </w:tc>
        <w:tc>
          <w:tcPr>
            <w:tcW w:type="dxa" w:w="2353"/>
          </w:tcPr>
          <w:p>
            <w:pPr>
              <w:spacing w:after="20" w:line="300" w:lineRule="auto"/>
            </w:pPr>
            <w:r>
              <w:rPr>
                <w:rFonts w:ascii="Avenir Next" w:hAnsi="Avenir Next" w:cs="Avenir Next"/>
                <w:b w:val="0"/>
                <w:i w:val="0"/>
                <w:color w:val="000000"/>
                <w:sz w:val="21"/>
              </w:rPr>
              <w:t>Cloze + writing prompt</w:t>
            </w:r>
          </w:p>
        </w:tc>
        <w:tc>
          <w:tcPr>
            <w:tcW w:type="dxa" w:w="2353"/>
          </w:tcPr>
          <w:p>
            <w:pPr>
              <w:spacing w:after="20" w:line="300" w:lineRule="auto"/>
            </w:pPr>
            <w:r>
              <w:rPr>
                <w:rFonts w:ascii="Avenir Next" w:hAnsi="Avenir Next" w:cs="Avenir Next"/>
                <w:b w:val="0"/>
                <w:i w:val="0"/>
                <w:color w:val="000000"/>
                <w:sz w:val="21"/>
              </w:rPr>
              <w:t>ACT written communication + DEBRIEF rationale</w:t>
            </w:r>
          </w:p>
        </w:tc>
        <w:tc>
          <w:tcPr>
            <w:tcW w:type="dxa" w:w="2353"/>
          </w:tcPr>
          <w:p>
            <w:pPr>
              <w:spacing w:after="20" w:line="300" w:lineRule="auto"/>
            </w:pPr>
            <w:r>
              <w:rPr>
                <w:rFonts w:ascii="Avenir Next" w:hAnsi="Avenir Next" w:cs="Avenir Next"/>
                <w:b w:val="0"/>
                <w:i w:val="0"/>
                <w:color w:val="000000"/>
                <w:sz w:val="21"/>
              </w:rPr>
              <w:t>Voice for Change + transcript</w:t>
            </w:r>
          </w:p>
        </w:tc>
      </w:tr>
      <w:tr>
        <w:tc>
          <w:tcPr>
            <w:tcW w:type="dxa" w:w="2353"/>
          </w:tcPr>
          <w:p>
            <w:pPr>
              <w:spacing w:after="20" w:line="300" w:lineRule="auto"/>
            </w:pPr>
            <w:r>
              <w:rPr>
                <w:rFonts w:ascii="Avenir Next" w:hAnsi="Avenir Next" w:cs="Avenir Next"/>
                <w:b w:val="0"/>
                <w:i w:val="0"/>
                <w:color w:val="000000"/>
                <w:sz w:val="21"/>
              </w:rPr>
              <w:t>Discourse organization</w:t>
            </w:r>
          </w:p>
        </w:tc>
        <w:tc>
          <w:tcPr>
            <w:tcW w:type="dxa" w:w="2353"/>
          </w:tcPr>
          <w:p>
            <w:pPr>
              <w:spacing w:after="20" w:line="300" w:lineRule="auto"/>
            </w:pPr>
            <w:r>
              <w:rPr>
                <w:rFonts w:ascii="Avenir Next" w:hAnsi="Avenir Next" w:cs="Avenir Next"/>
                <w:b w:val="0"/>
                <w:i w:val="0"/>
                <w:color w:val="000000"/>
                <w:sz w:val="21"/>
              </w:rPr>
              <w:t>Writing prompt</w:t>
            </w:r>
          </w:p>
        </w:tc>
        <w:tc>
          <w:tcPr>
            <w:tcW w:type="dxa" w:w="2353"/>
          </w:tcPr>
          <w:p>
            <w:pPr>
              <w:spacing w:after="20" w:line="300" w:lineRule="auto"/>
            </w:pPr>
            <w:r>
              <w:rPr>
                <w:rFonts w:ascii="Avenir Next" w:hAnsi="Avenir Next" w:cs="Avenir Next"/>
                <w:b w:val="0"/>
                <w:i w:val="0"/>
                <w:color w:val="000000"/>
                <w:sz w:val="21"/>
              </w:rPr>
              <w:t>PROBE source-weighing + DEBRIEF reflection</w:t>
            </w:r>
          </w:p>
        </w:tc>
        <w:tc>
          <w:tcPr>
            <w:tcW w:type="dxa" w:w="2353"/>
          </w:tcPr>
          <w:p>
            <w:pPr>
              <w:spacing w:after="20" w:line="300" w:lineRule="auto"/>
            </w:pPr>
            <w:r>
              <w:rPr>
                <w:rFonts w:ascii="Avenir Next" w:hAnsi="Avenir Next" w:cs="Avenir Next"/>
                <w:b w:val="0"/>
                <w:i w:val="0"/>
                <w:color w:val="000000"/>
                <w:sz w:val="21"/>
              </w:rPr>
              <w:t>Voice for Change synthesis</w:t>
            </w:r>
          </w:p>
        </w:tc>
      </w:tr>
      <w:tr>
        <w:tc>
          <w:tcPr>
            <w:tcW w:type="dxa" w:w="2353"/>
          </w:tcPr>
          <w:p>
            <w:pPr>
              <w:spacing w:after="20" w:line="300" w:lineRule="auto"/>
            </w:pPr>
            <w:r>
              <w:rPr>
                <w:rFonts w:ascii="Avenir Next" w:hAnsi="Avenir Next" w:cs="Avenir Next"/>
                <w:b w:val="0"/>
                <w:i w:val="0"/>
                <w:color w:val="000000"/>
                <w:sz w:val="21"/>
              </w:rPr>
              <w:t>Register flexibility</w:t>
            </w:r>
          </w:p>
        </w:tc>
        <w:tc>
          <w:tcPr>
            <w:tcW w:type="dxa" w:w="2353"/>
          </w:tcPr>
          <w:p>
            <w:pPr>
              <w:spacing w:after="20" w:line="300" w:lineRule="auto"/>
            </w:pPr>
            <w:r>
              <w:rPr>
                <w:rFonts w:ascii="Avenir Next" w:hAnsi="Avenir Next" w:cs="Avenir Next"/>
                <w:b w:val="0"/>
                <w:i w:val="0"/>
                <w:color w:val="000000"/>
                <w:sz w:val="21"/>
              </w:rPr>
              <w:t>Writing prompt (single register)</w:t>
            </w:r>
          </w:p>
        </w:tc>
        <w:tc>
          <w:tcPr>
            <w:tcW w:type="dxa" w:w="2353"/>
          </w:tcPr>
          <w:p>
            <w:pPr>
              <w:spacing w:after="20" w:line="300" w:lineRule="auto"/>
            </w:pPr>
            <w:r>
              <w:rPr>
                <w:rFonts w:ascii="Avenir Next" w:hAnsi="Avenir Next" w:cs="Avenir Next"/>
                <w:b w:val="0"/>
                <w:i w:val="0"/>
                <w:color w:val="000000"/>
                <w:sz w:val="21"/>
              </w:rPr>
              <w:t>ACT audience-specific communication</w:t>
            </w:r>
          </w:p>
        </w:tc>
        <w:tc>
          <w:tcPr>
            <w:tcW w:type="dxa" w:w="2353"/>
          </w:tcPr>
          <w:p>
            <w:pPr>
              <w:spacing w:after="20" w:line="300" w:lineRule="auto"/>
            </w:pPr>
            <w:r>
              <w:rPr>
                <w:rFonts w:ascii="Avenir Next" w:hAnsi="Avenir Next" w:cs="Avenir Next"/>
                <w:b w:val="0"/>
                <w:i w:val="0"/>
                <w:color w:val="000000"/>
                <w:sz w:val="21"/>
              </w:rPr>
              <w:t>Voice for Change (address to a real audience)</w:t>
            </w:r>
          </w:p>
        </w:tc>
      </w:tr>
      <w:tr>
        <w:tc>
          <w:tcPr>
            <w:tcW w:type="dxa" w:w="2353"/>
          </w:tcPr>
          <w:p>
            <w:pPr>
              <w:spacing w:after="20" w:line="300" w:lineRule="auto"/>
            </w:pPr>
            <w:r>
              <w:rPr>
                <w:rFonts w:ascii="Avenir Next" w:hAnsi="Avenir Next" w:cs="Avenir Next"/>
                <w:b w:val="0"/>
                <w:i w:val="0"/>
                <w:color w:val="000000"/>
                <w:sz w:val="21"/>
              </w:rPr>
              <w:t>Phonological control</w:t>
            </w:r>
          </w:p>
        </w:tc>
        <w:tc>
          <w:tcPr>
            <w:tcW w:type="dxa" w:w="2353"/>
          </w:tcPr>
          <w:p>
            <w:pPr>
              <w:spacing w:after="20" w:line="300" w:lineRule="auto"/>
            </w:pPr>
            <w:r>
              <w:rPr>
                <w:rFonts w:ascii="Avenir Next" w:hAnsi="Avenir Next" w:cs="Avenir Next"/>
                <w:b w:val="0"/>
                <w:i w:val="0"/>
                <w:color w:val="000000"/>
                <w:sz w:val="21"/>
              </w:rPr>
              <w:t>Optional pre-recording</w:t>
            </w:r>
          </w:p>
        </w:tc>
        <w:tc>
          <w:tcPr>
            <w:tcW w:type="dxa" w:w="2353"/>
          </w:tcPr>
          <w:p>
            <w:pPr>
              <w:spacing w:after="20" w:line="300" w:lineRule="auto"/>
            </w:pPr>
            <w:r>
              <w:rPr>
                <w:rFonts w:ascii="Avenir Next" w:hAnsi="Avenir Next" w:cs="Avenir Next"/>
                <w:b w:val="0"/>
                <w:i w:val="0"/>
                <w:color w:val="000000"/>
                <w:sz w:val="21"/>
              </w:rPr>
              <w:t>(optional) spoken stage response</w:t>
            </w:r>
          </w:p>
        </w:tc>
        <w:tc>
          <w:tcPr>
            <w:tcW w:type="dxa" w:w="2353"/>
          </w:tcPr>
          <w:p>
            <w:pPr>
              <w:spacing w:after="20" w:line="300" w:lineRule="auto"/>
            </w:pPr>
            <w:r>
              <w:rPr>
                <w:rFonts w:ascii="Avenir Next" w:hAnsi="Avenir Next" w:cs="Avenir Next"/>
                <w:b w:val="0"/>
                <w:i w:val="0"/>
                <w:color w:val="000000"/>
                <w:sz w:val="21"/>
              </w:rPr>
              <w:t>Voice for Change audio narration</w:t>
            </w:r>
          </w:p>
        </w:tc>
      </w:tr>
    </w:tbl>
    <w:p>
      <w:pPr>
        <w:spacing w:after="40"/>
      </w:pPr>
      <w:r>
        <w:rPr>
          <w:rFonts w:ascii="Menlo" w:hAnsi="Menlo" w:cs="Sukhumvit Set" w:eastAsia="Sukhumvit Set"/>
          <w:b w:val="0"/>
          <w:i w:val="0"/>
          <w:color w:val="9C6F1C"/>
          <w:sz w:val="18"/>
          <w:spacing w:val="32"/>
        </w:rPr>
        <w:t>**** **** **** **** **** TIER-FAIRNESS RULE (LOAD-BEARING)</w:t>
      </w:r>
    </w:p>
    <w:p>
      <w:pPr>
        <w:pStyle w:val="ListBullet"/>
        <w:spacing w:after="60" w:line="312" w:lineRule="auto"/>
      </w:pPr>
      <w:r>
        <w:rPr>
          <w:rFonts w:ascii="Avenir Next" w:hAnsi="Avenir Next" w:cs="Avenir Next"/>
          <w:b w:val="0"/>
          <w:i w:val="0"/>
          <w:color w:val="000000"/>
          <w:sz w:val="25"/>
        </w:rPr>
        <w:t>Measure growth, not tier. A Tier-1 learner who moves A2 → B1 has demonstrated the same half-band gain as a Tier-3 learner who moves B2 → B2+. Report the delta, never the absolute band as a verdict on the learner.</w:t>
      </w:r>
    </w:p>
    <w:p>
      <w:pPr>
        <w:pStyle w:val="ListBullet"/>
        <w:spacing w:after="60" w:line="312" w:lineRule="auto"/>
      </w:pPr>
      <w:r>
        <w:rPr>
          <w:rFonts w:ascii="Avenir Next" w:hAnsi="Avenir Next" w:cs="Avenir Next"/>
          <w:b w:val="0"/>
          <w:i w:val="0"/>
          <w:color w:val="000000"/>
          <w:sz w:val="25"/>
        </w:rPr>
        <w:t>Receptive vs. productive. The diagnostic and capstone are productive samples (writing/speaking) and are tier-neutral to produce — grade them directly. Do not infer a ceiling from the learner's reading tier.</w:t>
      </w:r>
    </w:p>
    <w:p>
      <w:pPr>
        <w:pStyle w:val="ListBullet"/>
        <w:spacing w:after="60" w:line="312" w:lineRule="auto"/>
      </w:pPr>
      <w:r>
        <w:rPr>
          <w:rFonts w:ascii="Avenir Next" w:hAnsi="Avenir Next" w:cs="Avenir Next"/>
          <w:b w:val="0"/>
          <w:i w:val="0"/>
          <w:color w:val="000000"/>
          <w:sz w:val="25"/>
        </w:rPr>
        <w:t>Listening is assessed against authentic input with the caption scaffold available; do not down-rate a lower-tier learner for needing the caption — using the provided scaffold is the designed behaviour.</w:t>
      </w:r>
    </w:p>
    <w:p>
      <w:pPr>
        <w:spacing w:after="140" w:line="324" w:lineRule="auto"/>
      </w:pP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p>
    <w:p>
      <w:pPr>
        <w:spacing w:before="320" w:after="140"/>
        <w:pBdr>
          <w:bottom w:val="single" w:sz="6" w:space="4" w:color="C9A961"/>
        </w:pBdr>
      </w:pPr>
      <w:r>
        <w:rPr>
          <w:rFonts w:ascii="Baskerville" w:hAnsi="Baskerville" w:cs="Baskerville"/>
          <w:b w:val="0"/>
          <w:i w:val="0"/>
          <w:color w:val="9C6F1C"/>
          <w:sz w:val="33"/>
        </w:rPr>
        <w:t>CEFR Band Descriptors (FUTUREPROOF working set)</w:t>
      </w:r>
    </w:p>
    <w:p>
      <w:pPr>
        <w:spacing w:before="200" w:after="60"/>
      </w:pPr>
      <w:r>
        <w:rPr>
          <w:rFonts w:ascii="Baskerville" w:hAnsi="Baskerville" w:cs="Baskerville"/>
          <w:b/>
          <w:i w:val="0"/>
          <w:color w:val="000000"/>
          <w:sz w:val="27"/>
        </w:rPr>
        <w:t>Lexical Range</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A2</w:t>
            </w:r>
          </w:p>
        </w:tc>
        <w:tc>
          <w:tcPr>
            <w:tcW w:type="dxa" w:w="4706"/>
            <w:shd w:val="clear" w:color="auto" w:fill="F4F1EA"/>
          </w:tcPr>
          <w:p>
            <w:pPr>
              <w:spacing w:after="20"/>
            </w:pPr>
            <w:r>
              <w:rPr>
                <w:rFonts w:ascii="Menlo" w:hAnsi="Menlo" w:cs="Menlo"/>
                <w:b/>
                <w:i w:val="0"/>
                <w:color w:val="9C6F1C"/>
                <w:sz w:val="16"/>
                <w:spacing w:val="16"/>
              </w:rPr>
              <w:t>LIMITED STOCK OF FREQUENT WORDS; TOPIC-SPECIFIC VOCABULARY IS RARE.</w:t>
            </w:r>
          </w:p>
        </w:tc>
      </w:tr>
      <w:tr>
        <w:tc>
          <w:tcPr>
            <w:tcW w:type="dxa" w:w="4706"/>
          </w:tcPr>
          <w:p>
            <w:pPr>
              <w:spacing w:after="20" w:line="300" w:lineRule="auto"/>
            </w:pPr>
            <w:r>
              <w:rPr>
                <w:rFonts w:ascii="Avenir Next" w:hAnsi="Avenir Next" w:cs="Avenir Next"/>
                <w:b w:val="0"/>
                <w:i w:val="0"/>
                <w:color w:val="000000"/>
                <w:sz w:val="21"/>
              </w:rPr>
              <w:t>B1</w:t>
            </w:r>
          </w:p>
        </w:tc>
        <w:tc>
          <w:tcPr>
            <w:tcW w:type="dxa" w:w="4706"/>
          </w:tcPr>
          <w:p>
            <w:pPr>
              <w:spacing w:after="20" w:line="300" w:lineRule="auto"/>
            </w:pPr>
            <w:r>
              <w:rPr>
                <w:rFonts w:ascii="Avenir Next" w:hAnsi="Avenir Next" w:cs="Avenir Next"/>
                <w:b w:val="0"/>
                <w:i w:val="0"/>
                <w:color w:val="000000"/>
                <w:sz w:val="21"/>
              </w:rPr>
              <w:t>Sufficient vocabulary to discuss familiar topics; some imprecision.</w:t>
            </w:r>
          </w:p>
        </w:tc>
      </w:tr>
      <w:tr>
        <w:tc>
          <w:tcPr>
            <w:tcW w:type="dxa" w:w="4706"/>
          </w:tcPr>
          <w:p>
            <w:pPr>
              <w:spacing w:after="20" w:line="300" w:lineRule="auto"/>
            </w:pPr>
            <w:r>
              <w:rPr>
                <w:rFonts w:ascii="Avenir Next" w:hAnsi="Avenir Next" w:cs="Avenir Next"/>
                <w:b w:val="0"/>
                <w:i w:val="0"/>
                <w:color w:val="000000"/>
                <w:sz w:val="21"/>
              </w:rPr>
              <w:t>B1+</w:t>
            </w:r>
          </w:p>
        </w:tc>
        <w:tc>
          <w:tcPr>
            <w:tcW w:type="dxa" w:w="4706"/>
          </w:tcPr>
          <w:p>
            <w:pPr>
              <w:spacing w:after="20" w:line="300" w:lineRule="auto"/>
            </w:pPr>
            <w:r>
              <w:rPr>
                <w:rFonts w:ascii="Avenir Next" w:hAnsi="Avenir Next" w:cs="Avenir Next"/>
                <w:b w:val="0"/>
                <w:i w:val="0"/>
                <w:color w:val="000000"/>
                <w:sz w:val="21"/>
              </w:rPr>
              <w:t>Reaches for precise vocabulary in familiar domains; occasionally produces lower-frequency word forms.</w:t>
            </w:r>
          </w:p>
        </w:tc>
      </w:tr>
      <w:tr>
        <w:tc>
          <w:tcPr>
            <w:tcW w:type="dxa" w:w="4706"/>
          </w:tcPr>
          <w:p>
            <w:pPr>
              <w:spacing w:after="20" w:line="300" w:lineRule="auto"/>
            </w:pPr>
            <w:r>
              <w:rPr>
                <w:rFonts w:ascii="Avenir Next" w:hAnsi="Avenir Next" w:cs="Avenir Next"/>
                <w:b w:val="0"/>
                <w:i w:val="0"/>
                <w:color w:val="000000"/>
                <w:sz w:val="21"/>
              </w:rPr>
              <w:t>B2</w:t>
            </w:r>
          </w:p>
        </w:tc>
        <w:tc>
          <w:tcPr>
            <w:tcW w:type="dxa" w:w="4706"/>
          </w:tcPr>
          <w:p>
            <w:pPr>
              <w:spacing w:after="20" w:line="300" w:lineRule="auto"/>
            </w:pPr>
            <w:r>
              <w:rPr>
                <w:rFonts w:ascii="Avenir Next" w:hAnsi="Avenir Next" w:cs="Avenir Next"/>
                <w:b w:val="0"/>
                <w:i w:val="0"/>
                <w:color w:val="000000"/>
                <w:sz w:val="21"/>
              </w:rPr>
              <w:t>Range covers most general topics; circumlocutes around lexical gaps.</w:t>
            </w:r>
          </w:p>
        </w:tc>
      </w:tr>
      <w:tr>
        <w:tc>
          <w:tcPr>
            <w:tcW w:type="dxa" w:w="4706"/>
          </w:tcPr>
          <w:p>
            <w:pPr>
              <w:spacing w:after="20" w:line="300" w:lineRule="auto"/>
            </w:pPr>
            <w:r>
              <w:rPr>
                <w:rFonts w:ascii="Avenir Next" w:hAnsi="Avenir Next" w:cs="Avenir Next"/>
                <w:b w:val="0"/>
                <w:i w:val="0"/>
                <w:color w:val="000000"/>
                <w:sz w:val="21"/>
              </w:rPr>
              <w:t>C1</w:t>
            </w:r>
          </w:p>
        </w:tc>
        <w:tc>
          <w:tcPr>
            <w:tcW w:type="dxa" w:w="4706"/>
          </w:tcPr>
          <w:p>
            <w:pPr>
              <w:spacing w:after="20" w:line="300" w:lineRule="auto"/>
            </w:pPr>
            <w:r>
              <w:rPr>
                <w:rFonts w:ascii="Avenir Next" w:hAnsi="Avenir Next" w:cs="Avenir Next"/>
                <w:b w:val="0"/>
                <w:i w:val="0"/>
                <w:color w:val="000000"/>
                <w:sz w:val="21"/>
              </w:rPr>
              <w:t>Reliable command of low-frequency vocabulary, idiomatic and colloquial usage; chosen with intent.</w:t>
            </w:r>
          </w:p>
        </w:tc>
      </w:tr>
    </w:tbl>
    <w:p>
      <w:pPr>
        <w:spacing w:before="200" w:after="60"/>
      </w:pPr>
      <w:r>
        <w:rPr>
          <w:rFonts w:ascii="Baskerville" w:hAnsi="Baskerville" w:cs="Baskerville"/>
          <w:b/>
          <w:i w:val="0"/>
          <w:color w:val="000000"/>
          <w:sz w:val="27"/>
        </w:rPr>
        <w:t>Grammatical Control</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A2</w:t>
            </w:r>
          </w:p>
        </w:tc>
        <w:tc>
          <w:tcPr>
            <w:tcW w:type="dxa" w:w="4706"/>
            <w:shd w:val="clear" w:color="auto" w:fill="F4F1EA"/>
          </w:tcPr>
          <w:p>
            <w:pPr>
              <w:spacing w:after="20"/>
            </w:pPr>
            <w:r>
              <w:rPr>
                <w:rFonts w:ascii="Menlo" w:hAnsi="Menlo" w:cs="Menlo"/>
                <w:b/>
                <w:i w:val="0"/>
                <w:color w:val="9C6F1C"/>
                <w:sz w:val="16"/>
                <w:spacing w:val="16"/>
              </w:rPr>
              <w:t>SIMPLE STRUCTURES; FREQUENT ERRORS IN COORDINATION AND TENSE.</w:t>
            </w:r>
          </w:p>
        </w:tc>
      </w:tr>
      <w:tr>
        <w:tc>
          <w:tcPr>
            <w:tcW w:type="dxa" w:w="4706"/>
          </w:tcPr>
          <w:p>
            <w:pPr>
              <w:spacing w:after="20" w:line="300" w:lineRule="auto"/>
            </w:pPr>
            <w:r>
              <w:rPr>
                <w:rFonts w:ascii="Avenir Next" w:hAnsi="Avenir Next" w:cs="Avenir Next"/>
                <w:b w:val="0"/>
                <w:i w:val="0"/>
                <w:color w:val="000000"/>
                <w:sz w:val="21"/>
              </w:rPr>
              <w:t>B1</w:t>
            </w:r>
          </w:p>
        </w:tc>
        <w:tc>
          <w:tcPr>
            <w:tcW w:type="dxa" w:w="4706"/>
          </w:tcPr>
          <w:p>
            <w:pPr>
              <w:spacing w:after="20" w:line="300" w:lineRule="auto"/>
            </w:pPr>
            <w:r>
              <w:rPr>
                <w:rFonts w:ascii="Avenir Next" w:hAnsi="Avenir Next" w:cs="Avenir Next"/>
                <w:b w:val="0"/>
                <w:i w:val="0"/>
                <w:color w:val="000000"/>
                <w:sz w:val="21"/>
              </w:rPr>
              <w:t>Reasonable accuracy in familiar contexts; complex structures attempted but uneven.</w:t>
            </w:r>
          </w:p>
        </w:tc>
      </w:tr>
      <w:tr>
        <w:tc>
          <w:tcPr>
            <w:tcW w:type="dxa" w:w="4706"/>
          </w:tcPr>
          <w:p>
            <w:pPr>
              <w:spacing w:after="20" w:line="300" w:lineRule="auto"/>
            </w:pPr>
            <w:r>
              <w:rPr>
                <w:rFonts w:ascii="Avenir Next" w:hAnsi="Avenir Next" w:cs="Avenir Next"/>
                <w:b w:val="0"/>
                <w:i w:val="0"/>
                <w:color w:val="000000"/>
                <w:sz w:val="21"/>
              </w:rPr>
              <w:t>B2</w:t>
            </w:r>
          </w:p>
        </w:tc>
        <w:tc>
          <w:tcPr>
            <w:tcW w:type="dxa" w:w="4706"/>
          </w:tcPr>
          <w:p>
            <w:pPr>
              <w:spacing w:after="20" w:line="300" w:lineRule="auto"/>
            </w:pPr>
            <w:r>
              <w:rPr>
                <w:rFonts w:ascii="Avenir Next" w:hAnsi="Avenir Next" w:cs="Avenir Next"/>
                <w:b w:val="0"/>
                <w:i w:val="0"/>
                <w:color w:val="000000"/>
                <w:sz w:val="21"/>
              </w:rPr>
              <w:t>Good control of complex grammar; errors do not impede communication.</w:t>
            </w:r>
          </w:p>
        </w:tc>
      </w:tr>
      <w:tr>
        <w:tc>
          <w:tcPr>
            <w:tcW w:type="dxa" w:w="4706"/>
          </w:tcPr>
          <w:p>
            <w:pPr>
              <w:spacing w:after="20" w:line="300" w:lineRule="auto"/>
            </w:pPr>
            <w:r>
              <w:rPr>
                <w:rFonts w:ascii="Avenir Next" w:hAnsi="Avenir Next" w:cs="Avenir Next"/>
                <w:b w:val="0"/>
                <w:i w:val="0"/>
                <w:color w:val="000000"/>
                <w:sz w:val="21"/>
              </w:rPr>
              <w:t>C1</w:t>
            </w:r>
          </w:p>
        </w:tc>
        <w:tc>
          <w:tcPr>
            <w:tcW w:type="dxa" w:w="4706"/>
          </w:tcPr>
          <w:p>
            <w:pPr>
              <w:spacing w:after="20" w:line="300" w:lineRule="auto"/>
            </w:pPr>
            <w:r>
              <w:rPr>
                <w:rFonts w:ascii="Avenir Next" w:hAnsi="Avenir Next" w:cs="Avenir Next"/>
                <w:b w:val="0"/>
                <w:i w:val="0"/>
                <w:color w:val="000000"/>
                <w:sz w:val="21"/>
              </w:rPr>
              <w:t>Consistent grammatical control; errors rare and self-correctable.</w:t>
            </w:r>
          </w:p>
        </w:tc>
      </w:tr>
    </w:tbl>
    <w:p>
      <w:pPr>
        <w:spacing w:before="200" w:after="60"/>
      </w:pPr>
      <w:r>
        <w:rPr>
          <w:rFonts w:ascii="Baskerville" w:hAnsi="Baskerville" w:cs="Baskerville"/>
          <w:b/>
          <w:i w:val="0"/>
          <w:color w:val="000000"/>
          <w:sz w:val="27"/>
        </w:rPr>
        <w:t>Discourse Organization</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A2</w:t>
            </w:r>
          </w:p>
        </w:tc>
        <w:tc>
          <w:tcPr>
            <w:tcW w:type="dxa" w:w="4706"/>
            <w:shd w:val="clear" w:color="auto" w:fill="F4F1EA"/>
          </w:tcPr>
          <w:p>
            <w:pPr>
              <w:spacing w:after="20"/>
            </w:pPr>
            <w:r>
              <w:rPr>
                <w:rFonts w:ascii="Menlo" w:hAnsi="Menlo" w:cs="Menlo"/>
                <w:b/>
                <w:i w:val="0"/>
                <w:color w:val="9C6F1C"/>
                <w:sz w:val="16"/>
                <w:spacing w:val="16"/>
              </w:rPr>
              <w:t>LINEAR LISTING; FEW CONNECTORS.</w:t>
            </w:r>
          </w:p>
        </w:tc>
      </w:tr>
      <w:tr>
        <w:tc>
          <w:tcPr>
            <w:tcW w:type="dxa" w:w="4706"/>
          </w:tcPr>
          <w:p>
            <w:pPr>
              <w:spacing w:after="20" w:line="300" w:lineRule="auto"/>
            </w:pPr>
            <w:r>
              <w:rPr>
                <w:rFonts w:ascii="Avenir Next" w:hAnsi="Avenir Next" w:cs="Avenir Next"/>
                <w:b w:val="0"/>
                <w:i w:val="0"/>
                <w:color w:val="000000"/>
                <w:sz w:val="21"/>
              </w:rPr>
              <w:t>B1</w:t>
            </w:r>
          </w:p>
        </w:tc>
        <w:tc>
          <w:tcPr>
            <w:tcW w:type="dxa" w:w="4706"/>
          </w:tcPr>
          <w:p>
            <w:pPr>
              <w:spacing w:after="20" w:line="300" w:lineRule="auto"/>
            </w:pPr>
            <w:r>
              <w:rPr>
                <w:rFonts w:ascii="Avenir Next" w:hAnsi="Avenir Next" w:cs="Avenir Next"/>
                <w:b w:val="0"/>
                <w:i w:val="0"/>
                <w:color w:val="000000"/>
                <w:sz w:val="21"/>
              </w:rPr>
              <w:t>Linear with simple connectors (and, but, because).</w:t>
            </w:r>
          </w:p>
        </w:tc>
      </w:tr>
      <w:tr>
        <w:tc>
          <w:tcPr>
            <w:tcW w:type="dxa" w:w="4706"/>
          </w:tcPr>
          <w:p>
            <w:pPr>
              <w:spacing w:after="20" w:line="300" w:lineRule="auto"/>
            </w:pPr>
            <w:r>
              <w:rPr>
                <w:rFonts w:ascii="Avenir Next" w:hAnsi="Avenir Next" w:cs="Avenir Next"/>
                <w:b w:val="0"/>
                <w:i w:val="0"/>
                <w:color w:val="000000"/>
                <w:sz w:val="21"/>
              </w:rPr>
              <w:t>B2</w:t>
            </w:r>
          </w:p>
        </w:tc>
        <w:tc>
          <w:tcPr>
            <w:tcW w:type="dxa" w:w="4706"/>
          </w:tcPr>
          <w:p>
            <w:pPr>
              <w:spacing w:after="20" w:line="300" w:lineRule="auto"/>
            </w:pPr>
            <w:r>
              <w:rPr>
                <w:rFonts w:ascii="Avenir Next" w:hAnsi="Avenir Next" w:cs="Avenir Next"/>
                <w:b w:val="0"/>
                <w:i w:val="0"/>
                <w:color w:val="000000"/>
                <w:sz w:val="21"/>
              </w:rPr>
              <w:t>Multiple connectors; clear paragraphing; topic sentences emerging.</w:t>
            </w:r>
          </w:p>
        </w:tc>
      </w:tr>
      <w:tr>
        <w:tc>
          <w:tcPr>
            <w:tcW w:type="dxa" w:w="4706"/>
          </w:tcPr>
          <w:p>
            <w:pPr>
              <w:spacing w:after="20" w:line="300" w:lineRule="auto"/>
            </w:pPr>
            <w:r>
              <w:rPr>
                <w:rFonts w:ascii="Avenir Next" w:hAnsi="Avenir Next" w:cs="Avenir Next"/>
                <w:b w:val="0"/>
                <w:i w:val="0"/>
                <w:color w:val="000000"/>
                <w:sz w:val="21"/>
              </w:rPr>
              <w:t>C1</w:t>
            </w:r>
          </w:p>
        </w:tc>
        <w:tc>
          <w:tcPr>
            <w:tcW w:type="dxa" w:w="4706"/>
          </w:tcPr>
          <w:p>
            <w:pPr>
              <w:spacing w:after="20" w:line="300" w:lineRule="auto"/>
            </w:pPr>
            <w:r>
              <w:rPr>
                <w:rFonts w:ascii="Avenir Next" w:hAnsi="Avenir Next" w:cs="Avenir Next"/>
                <w:b w:val="0"/>
                <w:i w:val="0"/>
                <w:color w:val="000000"/>
                <w:sz w:val="21"/>
              </w:rPr>
              <w:t>Complex argument structures; subordination signals reliable; metadiscourse present.</w:t>
            </w:r>
          </w:p>
        </w:tc>
      </w:tr>
    </w:tbl>
    <w:p>
      <w:pPr>
        <w:spacing w:before="200" w:after="60"/>
      </w:pPr>
      <w:r>
        <w:rPr>
          <w:rFonts w:ascii="Baskerville" w:hAnsi="Baskerville" w:cs="Baskerville"/>
          <w:b/>
          <w:i w:val="0"/>
          <w:color w:val="000000"/>
          <w:sz w:val="27"/>
        </w:rPr>
        <w:t>Register Flexibility</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A2</w:t>
            </w:r>
          </w:p>
        </w:tc>
        <w:tc>
          <w:tcPr>
            <w:tcW w:type="dxa" w:w="4706"/>
            <w:shd w:val="clear" w:color="auto" w:fill="F4F1EA"/>
          </w:tcPr>
          <w:p>
            <w:pPr>
              <w:spacing w:after="20"/>
            </w:pPr>
            <w:r>
              <w:rPr>
                <w:rFonts w:ascii="Menlo" w:hAnsi="Menlo" w:cs="Menlo"/>
                <w:b/>
                <w:i w:val="0"/>
                <w:color w:val="9C6F1C"/>
                <w:sz w:val="16"/>
                <w:spacing w:val="16"/>
              </w:rPr>
              <w:t>SINGLE REGISTER ONLY.</w:t>
            </w:r>
          </w:p>
        </w:tc>
      </w:tr>
      <w:tr>
        <w:tc>
          <w:tcPr>
            <w:tcW w:type="dxa" w:w="4706"/>
          </w:tcPr>
          <w:p>
            <w:pPr>
              <w:spacing w:after="20" w:line="300" w:lineRule="auto"/>
            </w:pPr>
            <w:r>
              <w:rPr>
                <w:rFonts w:ascii="Avenir Next" w:hAnsi="Avenir Next" w:cs="Avenir Next"/>
                <w:b w:val="0"/>
                <w:i w:val="0"/>
                <w:color w:val="000000"/>
                <w:sz w:val="21"/>
              </w:rPr>
              <w:t>B1</w:t>
            </w:r>
          </w:p>
        </w:tc>
        <w:tc>
          <w:tcPr>
            <w:tcW w:type="dxa" w:w="4706"/>
          </w:tcPr>
          <w:p>
            <w:pPr>
              <w:spacing w:after="20" w:line="300" w:lineRule="auto"/>
            </w:pPr>
            <w:r>
              <w:rPr>
                <w:rFonts w:ascii="Avenir Next" w:hAnsi="Avenir Next" w:cs="Avenir Next"/>
                <w:b w:val="0"/>
                <w:i w:val="0"/>
                <w:color w:val="000000"/>
                <w:sz w:val="21"/>
              </w:rPr>
              <w:t>Two recognizable registers (formal / informal) with crossover.</w:t>
            </w:r>
          </w:p>
        </w:tc>
      </w:tr>
      <w:tr>
        <w:tc>
          <w:tcPr>
            <w:tcW w:type="dxa" w:w="4706"/>
          </w:tcPr>
          <w:p>
            <w:pPr>
              <w:spacing w:after="20" w:line="300" w:lineRule="auto"/>
            </w:pPr>
            <w:r>
              <w:rPr>
                <w:rFonts w:ascii="Avenir Next" w:hAnsi="Avenir Next" w:cs="Avenir Next"/>
                <w:b w:val="0"/>
                <w:i w:val="0"/>
                <w:color w:val="000000"/>
                <w:sz w:val="21"/>
              </w:rPr>
              <w:t>B2</w:t>
            </w:r>
          </w:p>
        </w:tc>
        <w:tc>
          <w:tcPr>
            <w:tcW w:type="dxa" w:w="4706"/>
          </w:tcPr>
          <w:p>
            <w:pPr>
              <w:spacing w:after="20" w:line="300" w:lineRule="auto"/>
            </w:pPr>
            <w:r>
              <w:rPr>
                <w:rFonts w:ascii="Avenir Next" w:hAnsi="Avenir Next" w:cs="Avenir Next"/>
                <w:b w:val="0"/>
                <w:i w:val="0"/>
                <w:color w:val="000000"/>
                <w:sz w:val="21"/>
              </w:rPr>
              <w:t>Distinguishes academic / persuasive / colloquial; minor leakage.</w:t>
            </w:r>
          </w:p>
        </w:tc>
      </w:tr>
      <w:tr>
        <w:tc>
          <w:tcPr>
            <w:tcW w:type="dxa" w:w="4706"/>
          </w:tcPr>
          <w:p>
            <w:pPr>
              <w:spacing w:after="20" w:line="300" w:lineRule="auto"/>
            </w:pPr>
            <w:r>
              <w:rPr>
                <w:rFonts w:ascii="Avenir Next" w:hAnsi="Avenir Next" w:cs="Avenir Next"/>
                <w:b w:val="0"/>
                <w:i w:val="0"/>
                <w:color w:val="000000"/>
                <w:sz w:val="21"/>
              </w:rPr>
              <w:t>C1</w:t>
            </w:r>
          </w:p>
        </w:tc>
        <w:tc>
          <w:tcPr>
            <w:tcW w:type="dxa" w:w="4706"/>
          </w:tcPr>
          <w:p>
            <w:pPr>
              <w:spacing w:after="20" w:line="300" w:lineRule="auto"/>
            </w:pPr>
            <w:r>
              <w:rPr>
                <w:rFonts w:ascii="Avenir Next" w:hAnsi="Avenir Next" w:cs="Avenir Next"/>
                <w:b w:val="0"/>
                <w:i w:val="0"/>
                <w:color w:val="000000"/>
                <w:sz w:val="21"/>
              </w:rPr>
              <w:t>Selects register strategically; can blend registers for rhetorical effect.</w:t>
            </w:r>
          </w:p>
        </w:tc>
      </w:tr>
    </w:tbl>
    <w:p>
      <w:pPr>
        <w:spacing w:before="200" w:after="60"/>
      </w:pPr>
      <w:r>
        <w:rPr>
          <w:rFonts w:ascii="Baskerville" w:hAnsi="Baskerville" w:cs="Baskerville"/>
          <w:b/>
          <w:i w:val="0"/>
          <w:color w:val="000000"/>
          <w:sz w:val="27"/>
        </w:rPr>
        <w:t>Phonological Control (Speaking)</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A2</w:t>
            </w:r>
          </w:p>
        </w:tc>
        <w:tc>
          <w:tcPr>
            <w:tcW w:type="dxa" w:w="4706"/>
            <w:shd w:val="clear" w:color="auto" w:fill="F4F1EA"/>
          </w:tcPr>
          <w:p>
            <w:pPr>
              <w:spacing w:after="20"/>
            </w:pPr>
            <w:r>
              <w:rPr>
                <w:rFonts w:ascii="Menlo" w:hAnsi="Menlo" w:cs="Menlo"/>
                <w:b/>
                <w:i w:val="0"/>
                <w:color w:val="9C6F1C"/>
                <w:sz w:val="16"/>
                <w:spacing w:val="16"/>
              </w:rPr>
              <w:t>PRONUNCIATION TRANSPARENT ENOUGH TO BE UNDERSTOOD WITH EFFORT.</w:t>
            </w:r>
          </w:p>
        </w:tc>
      </w:tr>
      <w:tr>
        <w:tc>
          <w:tcPr>
            <w:tcW w:type="dxa" w:w="4706"/>
          </w:tcPr>
          <w:p>
            <w:pPr>
              <w:spacing w:after="20" w:line="300" w:lineRule="auto"/>
            </w:pPr>
            <w:r>
              <w:rPr>
                <w:rFonts w:ascii="Avenir Next" w:hAnsi="Avenir Next" w:cs="Avenir Next"/>
                <w:b w:val="0"/>
                <w:i w:val="0"/>
                <w:color w:val="000000"/>
                <w:sz w:val="21"/>
              </w:rPr>
              <w:t>B1</w:t>
            </w:r>
          </w:p>
        </w:tc>
        <w:tc>
          <w:tcPr>
            <w:tcW w:type="dxa" w:w="4706"/>
          </w:tcPr>
          <w:p>
            <w:pPr>
              <w:spacing w:after="20" w:line="300" w:lineRule="auto"/>
            </w:pPr>
            <w:r>
              <w:rPr>
                <w:rFonts w:ascii="Avenir Next" w:hAnsi="Avenir Next" w:cs="Avenir Next"/>
                <w:b w:val="0"/>
                <w:i w:val="0"/>
                <w:color w:val="000000"/>
                <w:sz w:val="21"/>
              </w:rPr>
              <w:t>Generally intelligible; word stress sometimes off.</w:t>
            </w:r>
          </w:p>
        </w:tc>
      </w:tr>
      <w:tr>
        <w:tc>
          <w:tcPr>
            <w:tcW w:type="dxa" w:w="4706"/>
          </w:tcPr>
          <w:p>
            <w:pPr>
              <w:spacing w:after="20" w:line="300" w:lineRule="auto"/>
            </w:pPr>
            <w:r>
              <w:rPr>
                <w:rFonts w:ascii="Avenir Next" w:hAnsi="Avenir Next" w:cs="Avenir Next"/>
                <w:b w:val="0"/>
                <w:i w:val="0"/>
                <w:color w:val="000000"/>
                <w:sz w:val="21"/>
              </w:rPr>
              <w:t>B2</w:t>
            </w:r>
          </w:p>
        </w:tc>
        <w:tc>
          <w:tcPr>
            <w:tcW w:type="dxa" w:w="4706"/>
          </w:tcPr>
          <w:p>
            <w:pPr>
              <w:spacing w:after="20" w:line="300" w:lineRule="auto"/>
            </w:pPr>
            <w:r>
              <w:rPr>
                <w:rFonts w:ascii="Avenir Next" w:hAnsi="Avenir Next" w:cs="Avenir Next"/>
                <w:b w:val="0"/>
                <w:i w:val="0"/>
                <w:color w:val="000000"/>
                <w:sz w:val="21"/>
              </w:rPr>
              <w:t>Generally clear; occasional pronunciation issues with low-frequency words.</w:t>
            </w:r>
          </w:p>
        </w:tc>
      </w:tr>
      <w:tr>
        <w:tc>
          <w:tcPr>
            <w:tcW w:type="dxa" w:w="4706"/>
          </w:tcPr>
          <w:p>
            <w:pPr>
              <w:spacing w:after="20" w:line="300" w:lineRule="auto"/>
            </w:pPr>
            <w:r>
              <w:rPr>
                <w:rFonts w:ascii="Avenir Next" w:hAnsi="Avenir Next" w:cs="Avenir Next"/>
                <w:b w:val="0"/>
                <w:i w:val="0"/>
                <w:color w:val="000000"/>
                <w:sz w:val="21"/>
              </w:rPr>
              <w:t>C1</w:t>
            </w:r>
          </w:p>
        </w:tc>
        <w:tc>
          <w:tcPr>
            <w:tcW w:type="dxa" w:w="4706"/>
          </w:tcPr>
          <w:p>
            <w:pPr>
              <w:spacing w:after="20" w:line="300" w:lineRule="auto"/>
            </w:pPr>
            <w:r>
              <w:rPr>
                <w:rFonts w:ascii="Avenir Next" w:hAnsi="Avenir Next" w:cs="Avenir Next"/>
                <w:b w:val="0"/>
                <w:i w:val="0"/>
                <w:color w:val="000000"/>
                <w:sz w:val="21"/>
              </w:rPr>
              <w:t>Pronunciation contributes to meaning; intonation and stress are tools, not obstacles.</w:t>
            </w:r>
          </w:p>
        </w:tc>
      </w:tr>
    </w:tbl>
    <w:p>
      <w:pPr>
        <w:spacing w:before="320" w:after="140"/>
        <w:pBdr>
          <w:bottom w:val="single" w:sz="6" w:space="4" w:color="C9A961"/>
        </w:pBdr>
      </w:pPr>
      <w:r>
        <w:rPr>
          <w:rFonts w:ascii="Baskerville" w:hAnsi="Baskerville" w:cs="Baskerville"/>
          <w:b w:val="0"/>
          <w:i w:val="0"/>
          <w:color w:val="9C6F1C"/>
          <w:sz w:val="33"/>
        </w:rPr>
        <w:t>Recording Growth · Per-Learner Output</w:t>
      </w:r>
    </w:p>
    <w:p>
      <w:pPr>
        <w:spacing w:after="40"/>
      </w:pPr>
      <w:r>
        <w:rPr>
          <w:rFonts w:ascii="Menlo" w:hAnsi="Menlo" w:cs="Sukhumvit Set" w:eastAsia="Sukhumvit Set"/>
          <w:b w:val="0"/>
          <w:i w:val="0"/>
          <w:color w:val="9C6F1C"/>
          <w:sz w:val="18"/>
          <w:spacing w:val="32"/>
        </w:rPr>
        <w:t>{ "LEXICAL": { "PRE": "B1", "POST": "B1+", "GROWTHHALFBANDS": 1 }, "GRAMMAR": { "PRE": "B1", "POST": "B2", "GROWTHHALFBANDS": 2 }, "DISCOURSE": { "PRE": "B1+", "POST": "B2", "GROWTHHALFBANDS": 1 }, "REGISTER": { "PRE": "B1", "POST": "B2", "GROWTHHALFBANDS": 2 }, "PHONOLOGY": { "PRE": "B1", "POST": "B1+", "GROWTHHALFBANDS": 1 }, "COMPOSITEGROWTHHALFBANDS": 7 } RELIABILITY &amp; CALIBRATION</w:t>
      </w:r>
    </w:p>
    <w:p>
      <w:pPr>
        <w:pStyle w:val="ListBullet"/>
        <w:spacing w:after="60" w:line="312" w:lineRule="auto"/>
      </w:pPr>
      <w:r>
        <w:rPr>
          <w:rFonts w:ascii="Avenir Next" w:hAnsi="Avenir Next" w:cs="Avenir Next"/>
          <w:b w:val="0"/>
          <w:i w:val="0"/>
          <w:color w:val="000000"/>
          <w:sz w:val="25"/>
        </w:rPr>
        <w:t>Inter-rater reliability: Cohen's κ ≥ 0.7 target between two human evaluators on a 10% audit sample.</w:t>
      </w:r>
    </w:p>
    <w:p>
      <w:pPr>
        <w:pStyle w:val="ListBullet"/>
        <w:spacing w:after="60" w:line="312" w:lineRule="auto"/>
      </w:pPr>
      <w:r>
        <w:rPr>
          <w:rFonts w:ascii="Avenir Next" w:hAnsi="Avenir Next" w:cs="Avenir Next"/>
          <w:b w:val="0"/>
          <w:i w:val="0"/>
          <w:color w:val="000000"/>
          <w:sz w:val="25"/>
        </w:rPr>
        <w:t>AI evaluator calibration: tuned against human-scored samples; drift &gt; 0.5 half-band on any dimension triggers prompt revision.</w:t>
      </w:r>
    </w:p>
    <w:p>
      <w:pPr>
        <w:pStyle w:val="ListBullet"/>
        <w:spacing w:after="60" w:line="312" w:lineRule="auto"/>
      </w:pPr>
      <w:r>
        <w:rPr>
          <w:rFonts w:ascii="Avenir Next" w:hAnsi="Avenir Next" w:cs="Avenir Next"/>
          <w:b w:val="0"/>
          <w:i w:val="0"/>
          <w:color w:val="000000"/>
          <w:sz w:val="25"/>
        </w:rPr>
        <w:t>Scope discipline: this rubric explicitly excludes content evaluation — that lives in Rubric A.</w:t>
      </w:r>
    </w:p>
    <w:p>
      <w:pPr>
        <w:spacing w:after="140" w:line="324" w:lineRule="auto"/>
      </w:pP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p>
    <w:sectPr w:rsidR="00FC693F" w:rsidRPr="0006063C" w:rsidSect="00034616">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drawing>
        <wp:inline xmlns:a="http://schemas.openxmlformats.org/drawingml/2006/main" xmlns:pic="http://schemas.openxmlformats.org/drawingml/2006/picture">
          <wp:extent cx="684000" cy="240955"/>
          <wp:docPr id="1" name="Picture 1"/>
          <wp:cNvGraphicFramePr>
            <a:graphicFrameLocks noChangeAspect="1"/>
          </wp:cNvGraphicFramePr>
          <a:graphic>
            <a:graphicData uri="http://schemas.openxmlformats.org/drawingml/2006/picture">
              <pic:pic>
                <pic:nvPicPr>
                  <pic:cNvPr id="0" name="cc-by-nc-88x31.png"/>
                  <pic:cNvPicPr/>
                </pic:nvPicPr>
                <pic:blipFill>
                  <a:blip r:embed="rId1"/>
                  <a:stretch>
                    <a:fillRect/>
                  </a:stretch>
                </pic:blipFill>
                <pic:spPr>
                  <a:xfrm>
                    <a:off x="0" y="0"/>
                    <a:ext cx="684000" cy="240955"/>
                  </a:xfrm>
                  <a:prstGeom prst="rect"/>
                </pic:spPr>
              </pic:pic>
            </a:graphicData>
          </a:graphic>
        </wp:inline>
      </w:drawing>
    </w:r>
  </w:p>
  <w:p>
    <w:pPr>
      <w:spacing w:after="20"/>
      <w:jc w:val="center"/>
    </w:pPr>
    <w:r>
      <w:rPr>
        <w:rFonts w:ascii="Menlo" w:hAnsi="Menlo" w:cs="Menlo"/>
        <w:b w:val="0"/>
        <w:i w:val="0"/>
        <w:color w:val="5A5A60"/>
        <w:sz w:val="15"/>
        <w:spacing w:val="10"/>
      </w:rPr>
      <w:t>Dr. Payungsak Kaenchan  |  Faculty of Liberal Arts, Mahidol University</w:t>
    </w:r>
  </w:p>
  <w:p>
    <w:pPr>
      <w:jc w:val="center"/>
    </w:pPr>
    <w:r>
      <w:rPr>
        <w:rFonts w:ascii="Menlo" w:hAnsi="Menlo" w:cs="Menlo"/>
        <w:b w:val="0"/>
        <w:i w:val="0"/>
        <w:color w:val="5A5A60"/>
        <w:sz w:val="13"/>
        <w:spacing w:val="6"/>
      </w:rPr>
      <w:t>Creative Commons BY-NC · Educational, non-commercial use only · No profit · Reuse or duplication must credit the author and obtain prior consent.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cs="Avenir Next" w:eastAsia="Sukhumvit Set"/>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