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bric-d-soft-skil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enlo" w:hAnsi="Menlo" w:cs="Sukhumvit Set" w:eastAsia="Sukhumvit Set"/>
          <w:b w:val="0"/>
          <w:i w:val="0"/>
          <w:color w:val="9C6F1C"/>
          <w:sz w:val="20"/>
          <w:spacing w:val="36"/>
        </w:rPr>
        <w:t>RUBRIC · D · SOFT-SKILLS DEMONSTRATION</w:t>
      </w:r>
    </w:p>
    <w:p>
      <w:pPr>
        <w:spacing w:after="120" w:line="245" w:lineRule="auto"/>
        <w:jc w:val="center"/>
      </w:pPr>
      <w:r>
        <w:rPr>
          <w:rFonts w:ascii="Baskerville" w:hAnsi="Baskerville" w:cs="Baskerville"/>
          <w:b w:val="0"/>
          <w:i w:val="0"/>
          <w:color w:val="7B1B1B"/>
          <w:sz w:val="64"/>
        </w:rPr>
        <w:t>Soft Skills Demonstration</w:t>
      </w:r>
    </w:p>
    <w:p>
      <w:pPr>
        <w:spacing w:after="80"/>
        <w:jc w:val="center"/>
      </w:pPr>
      <w:r>
        <w:rPr>
          <w:rFonts w:ascii="Baskerville" w:hAnsi="Baskerville" w:cs="Baskerville"/>
          <w:b w:val="0"/>
          <w:i/>
          <w:color w:val="5A5A60"/>
          <w:sz w:val="30"/>
        </w:rPr>
        <w:t>Assessment rubric · FUTUREPROOF</w:t>
      </w:r>
    </w:p>
    <w:p>
      <w:pPr>
        <w:spacing w:after="480"/>
        <w:jc w:val="center"/>
      </w:pPr>
      <w:r>
        <w:rPr>
          <w:rFonts w:ascii="Sukhumvit Set" w:hAnsi="Sukhumvit Set" w:cs="Sukhumvit Set" w:eastAsia="Sukhumvit Set"/>
          <w:b w:val="0"/>
          <w:i w:val="0"/>
          <w:color w:val="9C6F1C"/>
          <w:sz w:val="26"/>
        </w:rPr>
        <w:t>รูบริก D · การแสดงทักษะเชิงสังคมและการคิด</w:t>
      </w:r>
    </w:p>
    <w:p>
      <w:pPr>
        <w:spacing w:before="400"/>
        <w:jc w:val="center"/>
      </w:pPr>
      <w:r>
        <w:rPr>
          <w:rFonts w:ascii="Avenir Next" w:hAnsi="Avenir Next" w:cs="Avenir Next"/>
          <w:b w:val="0"/>
          <w:i w:val="0"/>
          <w:color w:val="000000"/>
          <w:sz w:val="22"/>
        </w:rPr>
        <w:t>Dr. Payungsak Kaenchan  ·  Faculty of Liberal Arts, Mahidol University</w:t>
      </w:r>
    </w:p>
    <w:p>
      <w:pPr>
        <w:jc w:val="center"/>
      </w:pPr>
      <w:r>
        <w:rPr>
          <w:rFonts w:ascii="Menlo" w:hAnsi="Menlo" w:cs="Menlo"/>
          <w:b w:val="0"/>
          <w:i w:val="0"/>
          <w:color w:val="5A5A60"/>
          <w:sz w:val="16"/>
          <w:spacing w:val="16"/>
        </w:rPr>
        <w:t>Submitted to the SPU Tech Creative Learning Awards 2569</w:t>
      </w:r>
    </w:p>
    <w:p>
      <w:r>
        <w:br w:type="page"/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FUTUREPROOF · SDG MISSION JOURNEY   ·   RUBRIC · D · SOFT-SKILLS DEMONSTRATION</w:t>
      </w:r>
    </w:p>
    <w:p>
      <w:pPr>
        <w:spacing w:before="40" w:after="80" w:line="245" w:lineRule="auto"/>
      </w:pPr>
      <w:r>
        <w:rPr>
          <w:rFonts w:ascii="Baskerville" w:hAnsi="Baskerville" w:cs="Baskerville"/>
          <w:b w:val="0"/>
          <w:i w:val="0"/>
          <w:color w:val="7B1B1B"/>
          <w:sz w:val="54"/>
        </w:rPr>
        <w:t>Soft Skills Demonstration</w:t>
      </w:r>
    </w:p>
    <w:p>
      <w:pPr>
        <w:spacing w:after="200"/>
      </w:pPr>
      <w:r>
        <w:rPr>
          <w:rFonts w:ascii="Sukhumvit Set" w:hAnsi="Sukhumvit Set" w:cs="Sukhumvit Set" w:eastAsia="Sukhumvit Set"/>
          <w:b w:val="0"/>
          <w:i w:val="0"/>
          <w:color w:val="9C6F1C"/>
          <w:sz w:val="26"/>
        </w:rPr>
        <w:t>รูบริก D · การแสดงทักษะ Soft Skills ทั้ง ๕ มิติ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PURPOSE · วัตถุประสงค์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Surface and grade the </w:t>
      </w:r>
      <w:r>
        <w:rPr>
          <w:rFonts w:ascii="Avenir Next" w:hAnsi="Avenir Next" w:cs="Avenir Next"/>
          <w:b/>
          <w:i w:val="0"/>
          <w:color w:val="000000"/>
          <w:sz w:val="25"/>
        </w:rPr>
        <w:t>five soft skills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the platform is designed to cultivate. Unlike a language rubric, this measures visible behaviour observable in the decision log and Mr Compass interaction history. It is deliberately blind to native-language background and cultural style; distinguished collaboration looks different in different cultures, and the descriptors describe behaviour, not personality.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OBJECTIVES · เป้าหมายเฉพาะ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Score each learner on five framework-stable dimensions: Critical Thinking · Analytical Thinking · Collaboration · Ethical Reasoning · Decision-Making Under Uncertainty.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Anchor every score to specific evidence sources in the platform — every dimension has a 'where to look' pointer that is auditable.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Enable Peer Judging (Tier 2) — give peer teams a usable instrument to score each other after a passed regional mission.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Surface AI / Peer / Self / Teacher score variance on the Admin Dashboard as a learning signal, not a calibration target.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Where evidence is insufficient, allow the teacher to record 'insufficient evidence' rather than a default low score — this is not a penalty.</w:t>
      </w:r>
    </w:p>
    <w:p>
      <w:pPr>
        <w:spacing w:after="140" w:line="324" w:lineRule="auto"/>
      </w:pP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APPLIES TO · ขอบเขตการใช้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The full Thailand journey — observable through decision logs, Mr Compass interaction history, peer-team observation, and the Voice for Change capstone reflection. Six regional missions provide six observation windows.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SCORING SCALE · มาตราการให้คะแนน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Each dimension scored 1 (Emerging) · 4 (Proficient) · 6 (Distinguished). Maximum: 30 (5 × 6). Bands: 25–30 Distinguished · 18–24 Proficient · 12–17 Developing · ≤ 11 Emerging.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USED BY · ผู้ใช้รูบริก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Teacher Judges (summative reflection at end of course) + Peer Judges (Tier 2, cross-team, after a passed regional mission). Peer scores feed metacognition — they are not summative grades.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PEDAGOGICAL ANCHORS · กรอบทฤษฎีที่ใช้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Hattie Visible Learning (metacognition) · Vygotsky social mediation · Lave &amp; Wenger Legitimate Peripheral Participation · Bloom · Metacognition · Kohlberg moral development</w:t>
      </w:r>
    </w:p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1 · Critical Thinking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SCORE</w:t>
            </w:r>
          </w:p>
        </w:tc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DESCRIPTOR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6 · Distinguished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Routinely tests own reasoning; volunteers counter-examples to own claims; revises position when warranted.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4 · Proficient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Considers counter-examples when prompted; engages with feedback substantively.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1 · Emerging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Treats first reasoning as final reasoning; resists or ignores feedback.</w:t>
            </w:r>
          </w:p>
        </w:tc>
      </w:tr>
    </w:tbl>
    <w:p>
      <w:pPr>
        <w:spacing w:after="140" w:line="324" w:lineRule="auto"/>
      </w:pPr>
      <w:r>
        <w:rPr>
          <w:rFonts w:ascii="Avenir Next" w:hAnsi="Avenir Next" w:cs="Avenir Next"/>
          <w:b/>
          <w:i w:val="0"/>
          <w:color w:val="000000"/>
          <w:sz w:val="25"/>
        </w:rPr>
        <w:t>Where to look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DEBRIEF counterargument handling; DECIDE confidence-calibration; Mr Compass interaction history (Socratic, never answers).</w:t>
      </w:r>
    </w:p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2 · Analytical Thinking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SCORE</w:t>
            </w:r>
          </w:p>
        </w:tc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DESCRIPTOR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6 · Distinguished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Decomposes problems into multi-axis comparisons; distinguishes signal from noise; weighs evidence with stated criteria.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4 · Proficient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Decomposes problems into recognizable parts; weighs evidence implicitly.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1 · Emerging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Treats problems as unitary; offers conclusions without analytic chain.</w:t>
            </w:r>
          </w:p>
        </w:tc>
      </w:tr>
    </w:tbl>
    <w:p>
      <w:pPr>
        <w:spacing w:after="140" w:line="324" w:lineRule="auto"/>
      </w:pPr>
      <w:r>
        <w:rPr>
          <w:rFonts w:ascii="Avenir Next" w:hAnsi="Avenir Next" w:cs="Avenir Next"/>
          <w:b/>
          <w:i w:val="0"/>
          <w:color w:val="000000"/>
          <w:sz w:val="25"/>
        </w:rPr>
        <w:t>Where to look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PROBE source-weighing across the dossier + four stakeholder voices; DECIDE strategy rationale under the regional trade-off.</w:t>
      </w:r>
    </w:p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3 · Collaboration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SCORE</w:t>
            </w:r>
          </w:p>
        </w:tc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DESCRIPTOR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6 · Distinguished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Distinguishes own role from teammates' roles; visibly defers and visibly leads at appropriate moments; surfaces unspoken disagreements.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4 · Proficient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Plays role; contributes consistently; resolves disagreement when surfaced.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1 · Emerging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Either dominates or withdraws; collaboration is performative.</w:t>
            </w:r>
          </w:p>
        </w:tc>
      </w:tr>
    </w:tbl>
    <w:p>
      <w:pPr>
        <w:spacing w:after="140" w:line="324" w:lineRule="auto"/>
      </w:pPr>
      <w:r>
        <w:rPr>
          <w:rFonts w:ascii="Avenir Next" w:hAnsi="Avenir Next" w:cs="Avenir Next"/>
          <w:b/>
          <w:i w:val="0"/>
          <w:color w:val="000000"/>
          <w:sz w:val="25"/>
        </w:rPr>
        <w:t>Where to look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Decision-log byUid distribution; Mr Compass "what does your teammate think?" redirects; role-led contributions across the arc and in the Voice for Change.</w:t>
      </w:r>
    </w:p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4 · Ethical Reasoning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SCORE</w:t>
            </w:r>
          </w:p>
        </w:tc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DESCRIPTOR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6 · Distinguished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Articulates ethical stakes proactively; engages with the strongest counterargument; distinguishes ethical claims from preferences.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4 · Proficient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Recognizes ethical stakes when prompted; engages with counterargument with effort.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1 · Emerging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Treats ethics as either obvious or irrelevant.</w:t>
            </w:r>
          </w:p>
        </w:tc>
      </w:tr>
    </w:tbl>
    <w:p>
      <w:pPr>
        <w:spacing w:after="140" w:line="324" w:lineRule="auto"/>
      </w:pPr>
      <w:r>
        <w:rPr>
          <w:rFonts w:ascii="Avenir Next" w:hAnsi="Avenir Next" w:cs="Avenir Next"/>
          <w:b/>
          <w:i w:val="0"/>
          <w:color w:val="000000"/>
          <w:sz w:val="25"/>
        </w:rPr>
        <w:t>Where to look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DECIDE / DEBRIEF ethical reasoning on the regional trade-off; the Voice for Change argument; documented AI-collaboration reflection.</w:t>
      </w:r>
    </w:p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5 · Decision-Making Under Uncertainty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SCORE</w:t>
            </w:r>
          </w:p>
        </w:tc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DESCRIPTOR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6 · Distinguished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Commits to a decision with stated trade-offs and reversibility analysis; updates the decision when new evidence demands it.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4 · Proficient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Commits to a decision with stated rationale.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1 · Emerging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Avoids committing; or commits without rationale.</w:t>
            </w:r>
          </w:p>
        </w:tc>
      </w:tr>
    </w:tbl>
    <w:p>
      <w:pPr>
        <w:spacing w:after="140" w:line="324" w:lineRule="auto"/>
      </w:pPr>
      <w:r>
        <w:rPr>
          <w:rFonts w:ascii="Avenir Next" w:hAnsi="Avenir Next" w:cs="Avenir Next"/>
          <w:b/>
          <w:i w:val="0"/>
          <w:color w:val="000000"/>
          <w:sz w:val="25"/>
        </w:rPr>
        <w:t>Where to look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DECIDE under the trade-off (incl. the deliberate confidence trap); DEBRIEF revision; the evidence commitment carried into the Voice for Change.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PEER JUDGING (TIER 2) AND VARIANCE AS LEARNING SIGNAL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After a team has passed at least one regional mission, each team scores one peer team using Rubric D on that mission's decision trace. Peer scores feed metacognition — they are not summative grades. The Admin Dashboard surfaces the variance between AI · Peer · Self · Teacher scores as a learning signal, not a calibration target. Cultural-style blindness is intentional: distinguished collaboration looks different in different cultural contexts; the descriptors above describe visible behavior, not personality.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INSUFFICIENT-EVIDENCE RULE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Where decision logs are insufficient to score a dimension (e.g., a learner exempted from a particular stage), the teacher records "insufficient evidence" rather than defaulting to a low score. This is not a penalty — it is honest accounting.</w:t>
      </w:r>
    </w:p>
    <w:sectPr w:rsidR="00FC693F" w:rsidRPr="0006063C" w:rsidSect="00034616"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/>
      <w:jc w:val="center"/>
    </w:pPr>
    <w:r>
      <w:drawing>
        <wp:inline xmlns:a="http://schemas.openxmlformats.org/drawingml/2006/main" xmlns:pic="http://schemas.openxmlformats.org/drawingml/2006/picture">
          <wp:extent cx="684000" cy="24095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c-by-nc-88x3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4000" cy="240955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20"/>
      <w:jc w:val="center"/>
    </w:pPr>
    <w:r>
      <w:rPr>
        <w:rFonts w:ascii="Menlo" w:hAnsi="Menlo" w:cs="Menlo"/>
        <w:b w:val="0"/>
        <w:i w:val="0"/>
        <w:color w:val="5A5A60"/>
        <w:sz w:val="15"/>
        <w:spacing w:val="10"/>
      </w:rPr>
      <w:t>Dr. Payungsak Kaenchan  |  Faculty of Liberal Arts, Mahidol University</w:t>
    </w:r>
  </w:p>
  <w:p>
    <w:pPr>
      <w:jc w:val="center"/>
    </w:pPr>
    <w:r>
      <w:rPr>
        <w:rFonts w:ascii="Menlo" w:hAnsi="Menlo" w:cs="Menlo"/>
        <w:b w:val="0"/>
        <w:i w:val="0"/>
        <w:color w:val="5A5A60"/>
        <w:sz w:val="13"/>
        <w:spacing w:val="6"/>
      </w:rPr>
      <w:t>Creative Commons BY-NC · Educational, non-commercial use only · No profit · Reuse or duplication must credit the author and obtain prior consent.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 w:cs="Avenir Next" w:eastAsia="Sukhumvit Set"/>
      <w:color w:val="000000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