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800"/>
        <w:jc w:val="center"/>
        <w:shd w:val="clear" w:color="auto" w:fill="F3ECDD"/>
      </w:pPr>
      <w:r>
        <w:rPr>
          <w:rFonts w:ascii="Menlo" w:hAnsi="Menlo" w:cs="Menlo"/>
          <w:b w:val="0"/>
          <w:i w:val="0"/>
          <w:color w:val="9C6F1C"/>
          <w:sz w:val="18"/>
          <w:spacing w:val="8"/>
        </w:rPr>
        <w:t>[ COVER IMAGE — drop pilot-measurement-plan.png in /docs/document-design/covers/ ]</w:t>
      </w:r>
    </w:p>
    <w:p>
      <w:pPr>
        <w:spacing w:after="80"/>
        <w:jc w:val="center"/>
      </w:pPr>
      <w:r>
        <w:rPr>
          <w:rFonts w:ascii="Menlo" w:hAnsi="Menlo" w:cs="Menlo"/>
          <w:b w:val="0"/>
          <w:i w:val="0"/>
          <w:color w:val="9C6F1C"/>
          <w:sz w:val="20"/>
          <w:spacing w:val="36"/>
        </w:rPr>
        <w:t>RESEARCH DESIGN · FOR JUDGES</w:t>
      </w:r>
    </w:p>
    <w:p>
      <w:pPr>
        <w:spacing w:after="120" w:line="245" w:lineRule="auto"/>
        <w:jc w:val="center"/>
      </w:pPr>
      <w:r>
        <w:rPr>
          <w:rFonts w:ascii="Baskerville" w:hAnsi="Baskerville" w:cs="Baskerville"/>
          <w:b w:val="0"/>
          <w:i w:val="0"/>
          <w:color w:val="7B1B1B"/>
          <w:sz w:val="64"/>
        </w:rPr>
        <w:t>Pilot &amp; Measurement Plan</w:t>
      </w:r>
    </w:p>
    <w:p>
      <w:pPr>
        <w:spacing w:after="80"/>
        <w:jc w:val="center"/>
      </w:pPr>
      <w:r>
        <w:rPr>
          <w:rFonts w:ascii="Baskerville" w:hAnsi="Baskerville" w:cs="Baskerville"/>
          <w:b w:val="0"/>
          <w:i/>
          <w:color w:val="5A5A60"/>
          <w:sz w:val="30"/>
        </w:rPr>
        <w:t>The research design behind FUTUREPROOF</w:t>
      </w:r>
    </w:p>
    <w:p>
      <w:pPr>
        <w:spacing w:after="480"/>
        <w:jc w:val="center"/>
      </w:pPr>
      <w:r>
        <w:rPr>
          <w:rFonts w:ascii="Sukhumvit Set" w:hAnsi="Sukhumvit Set" w:cs="Sukhumvit Set" w:eastAsia="Sukhumvit Set"/>
          <w:b w:val="0"/>
          <w:i w:val="0"/>
          <w:color w:val="9C6F1C"/>
          <w:sz w:val="26"/>
        </w:rPr>
        <w:t>แผนการนำร่องและการวัดผลกระทบ · ภาคการศึกษา ๑ / ๒๕๖๙</w:t>
      </w:r>
    </w:p>
    <w:p>
      <w:pPr>
        <w:spacing w:before="400"/>
        <w:jc w:val="center"/>
      </w:pPr>
      <w:r>
        <w:rPr>
          <w:rFonts w:ascii="Avenir Next" w:hAnsi="Avenir Next" w:cs="Avenir Next"/>
          <w:b w:val="0"/>
          <w:i w:val="0"/>
          <w:color w:val="000000"/>
          <w:sz w:val="22"/>
        </w:rPr>
        <w:t>Dr. Payungsak Kaenchan  ·  Faculty of Liberal Arts, Mahidol University</w:t>
      </w:r>
    </w:p>
    <w:p>
      <w:pPr>
        <w:jc w:val="center"/>
      </w:pPr>
      <w:r>
        <w:rPr>
          <w:rFonts w:ascii="Menlo" w:hAnsi="Menlo" w:cs="Menlo"/>
          <w:b w:val="0"/>
          <w:i w:val="0"/>
          <w:color w:val="5A5A60"/>
          <w:sz w:val="16"/>
          <w:spacing w:val="16"/>
        </w:rPr>
        <w:t>Submitted to the SPU Tech Creative Learning Awards 2569</w:t>
      </w:r>
    </w:p>
    <w:p>
      <w:r>
        <w:br w:type="page"/>
      </w:r>
    </w:p>
    <w:p>
      <w:pPr>
        <w:spacing w:after="40"/>
      </w:pPr>
      <w:r>
        <w:rPr>
          <w:rFonts w:ascii="Menlo" w:hAnsi="Menlo" w:cs="Menlo"/>
          <w:b w:val="0"/>
          <w:i w:val="0"/>
          <w:color w:val="9C6F1C"/>
          <w:sz w:val="18"/>
          <w:spacing w:val="32"/>
        </w:rPr>
        <w:t>FUTUREPROOF · SDG MISSION JOURNEY   ·   PILOT &amp; MEASUREMENT · V1.0 · MAY 2026</w:t>
      </w:r>
    </w:p>
    <w:p>
      <w:pPr>
        <w:spacing w:before="40" w:after="80" w:line="245" w:lineRule="auto"/>
      </w:pPr>
      <w:r>
        <w:rPr>
          <w:rFonts w:ascii="Baskerville" w:hAnsi="Baskerville" w:cs="Baskerville"/>
          <w:b w:val="0"/>
          <w:i w:val="0"/>
          <w:color w:val="7B1B1B"/>
          <w:sz w:val="54"/>
        </w:rPr>
        <w:t>Pilot &amp; Measurement Plan</w:t>
      </w:r>
    </w:p>
    <w:p>
      <w:pPr>
        <w:spacing w:after="200"/>
      </w:pPr>
      <w:r>
        <w:rPr>
          <w:rFonts w:ascii="Sukhumvit Set" w:hAnsi="Sukhumvit Set" w:cs="Sukhumvit Set" w:eastAsia="Sukhumvit Set"/>
          <w:b w:val="0"/>
          <w:i w:val="0"/>
          <w:color w:val="9C6F1C"/>
          <w:sz w:val="26"/>
        </w:rPr>
        <w:t>แผนการนำร่องและการวัดผลกระทบ · ภาคการศึกษา ๑ / ๒๕๖๙</w:t>
      </w:r>
    </w:p>
    <w:p>
      <w:pPr>
        <w:spacing w:after="280" w:line="312" w:lineRule="auto"/>
      </w:pPr>
      <w:r>
        <w:rPr>
          <w:rFonts w:ascii="Baskerville" w:hAnsi="Baskerville" w:cs="Baskerville"/>
          <w:b w:val="0"/>
          <w:i/>
          <w:color w:val="5A5A60"/>
          <w:sz w:val="29"/>
        </w:rPr>
        <w:t>This submission is a launch-ready innovation in its zero-cohort phase. Other submissions show what happened — we show what we are prepared to measure. The data study is the next phase, not the current one.</w:t>
      </w:r>
    </w:p>
    <w:p>
      <w:pPr>
        <w:spacing w:before="320" w:after="140"/>
        <w:pBdr>
          <w:bottom w:val="single" w:sz="6" w:space="4" w:color="C9A961"/>
        </w:pBdr>
      </w:pPr>
      <w:r>
        <w:rPr>
          <w:rFonts w:ascii="Baskerville" w:hAnsi="Baskerville" w:cs="Baskerville"/>
          <w:b w:val="0"/>
          <w:i w:val="0"/>
          <w:color w:val="9C6F1C"/>
          <w:sz w:val="33"/>
        </w:rPr>
        <w:t>The pilot · semester 1 / academic year 2569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</w:tblPr>
      <w:tblGrid>
        <w:gridCol w:w="2948"/>
        <w:gridCol w:w="6463"/>
      </w:tblGrid>
      <w:tr>
        <w:tc>
          <w:tcPr>
            <w:tcW w:type="dxa" w:w="2948"/>
          </w:tcPr>
          <w:p>
            <w:pPr>
              <w:spacing w:after="40"/>
            </w:pPr>
            <w:r>
              <w:rPr>
                <w:rFonts w:ascii="Menlo" w:hAnsi="Menlo" w:cs="Menlo"/>
                <w:b w:val="0"/>
                <w:i w:val="0"/>
                <w:color w:val="9C6F1C"/>
                <w:sz w:val="17"/>
                <w:spacing w:val="12"/>
              </w:rPr>
              <w:t>FIRST COHORT</w:t>
            </w:r>
          </w:p>
        </w:tc>
        <w:tc>
          <w:tcPr>
            <w:tcW w:type="dxa" w:w="6463"/>
          </w:tcPr>
          <w:p>
            <w:pPr>
              <w:spacing w:after="40" w:line="312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3"/>
              </w:rPr>
              <w:t>LALA109 · Sem 1 / AY 2569 · August 2026 · Mahidol University, Faculty of Liberal Arts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>
              <w:rPr>
                <w:rFonts w:ascii="Menlo" w:hAnsi="Menlo" w:cs="Menlo"/>
                <w:b w:val="0"/>
                <w:i w:val="0"/>
                <w:color w:val="9C6F1C"/>
                <w:sz w:val="17"/>
                <w:spacing w:val="12"/>
              </w:rPr>
              <w:t>COHORT SIZE</w:t>
            </w:r>
          </w:p>
        </w:tc>
        <w:tc>
          <w:tcPr>
            <w:tcW w:type="dxa" w:w="6463"/>
          </w:tcPr>
          <w:p>
            <w:pPr>
              <w:spacing w:after="40" w:line="312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3"/>
              </w:rPr>
              <w:t>Up to 50 learners per section × up to 6 sections = up to 300 learners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>
              <w:rPr>
                <w:rFonts w:ascii="Menlo" w:hAnsi="Menlo" w:cs="Menlo"/>
                <w:b w:val="0"/>
                <w:i w:val="0"/>
                <w:color w:val="9C6F1C"/>
                <w:sz w:val="17"/>
                <w:spacing w:val="12"/>
              </w:rPr>
              <w:t>DURATION</w:t>
            </w:r>
          </w:p>
        </w:tc>
        <w:tc>
          <w:tcPr>
            <w:tcW w:type="dxa" w:w="6463"/>
          </w:tcPr>
          <w:p>
            <w:pPr>
              <w:spacing w:after="40" w:line="312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3"/>
              </w:rPr>
              <w:t>15 weeks · 3 in-class hours + 6 async hours per week (135 hours total)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>
              <w:rPr>
                <w:rFonts w:ascii="Menlo" w:hAnsi="Menlo" w:cs="Menlo"/>
                <w:b w:val="0"/>
                <w:i w:val="0"/>
                <w:color w:val="9C6F1C"/>
                <w:sz w:val="17"/>
                <w:spacing w:val="12"/>
              </w:rPr>
              <w:t>COURSE FIT</w:t>
            </w:r>
          </w:p>
        </w:tc>
        <w:tc>
          <w:tcPr>
            <w:tcW w:type="dxa" w:w="6463"/>
          </w:tcPr>
          <w:p>
            <w:pPr>
              <w:spacing w:after="40" w:line="312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3"/>
              </w:rPr>
              <w:t>Replaces the existing Design-Thinking SDG project (weeks 7–14, currently 40% of grade)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>
              <w:rPr>
                <w:rFonts w:ascii="Menlo" w:hAnsi="Menlo" w:cs="Menlo"/>
                <w:b w:val="0"/>
                <w:i w:val="0"/>
                <w:color w:val="9C6F1C"/>
                <w:sz w:val="17"/>
                <w:spacing w:val="12"/>
              </w:rPr>
              <w:t>TEACHER PREPARATION</w:t>
            </w:r>
          </w:p>
        </w:tc>
        <w:tc>
          <w:tcPr>
            <w:tcW w:type="dxa" w:w="6463"/>
          </w:tcPr>
          <w:p>
            <w:pPr>
              <w:spacing w:after="40" w:line="312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3"/>
              </w:rPr>
              <w:t>10 hours pre-term · workshop + Teacher's Manual self-study</w:t>
            </w:r>
          </w:p>
        </w:tc>
      </w:tr>
    </w:tbl>
    <w:p>
      <w:pPr>
        <w:spacing w:before="320" w:after="140"/>
        <w:pBdr>
          <w:bottom w:val="single" w:sz="6" w:space="4" w:color="C9A961"/>
        </w:pBdr>
      </w:pPr>
      <w:r>
        <w:rPr>
          <w:rFonts w:ascii="Baskerville" w:hAnsi="Baskerville" w:cs="Baskerville"/>
          <w:b w:val="0"/>
          <w:i w:val="0"/>
          <w:color w:val="9C6F1C"/>
          <w:sz w:val="33"/>
        </w:rPr>
        <w:t>What we measure · five instruments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9D2C4"/>
          <w:left w:val="single" w:sz="4" w:space="0" w:color="D9D2C4"/>
          <w:bottom w:val="single" w:sz="4" w:space="0" w:color="D9D2C4"/>
          <w:right w:val="single" w:sz="4" w:space="0" w:color="D9D2C4"/>
          <w:insideH w:val="single" w:sz="4" w:space="0" w:color="D9D2C4"/>
          <w:insideV w:val="single" w:sz="4" w:space="0" w:color="D9D2C4"/>
        </w:tblBorders>
      </w:tblPr>
      <w:tblGrid>
        <w:gridCol w:w="3137"/>
        <w:gridCol w:w="3137"/>
        <w:gridCol w:w="3137"/>
      </w:tblGrid>
      <w:tr>
        <w:tc>
          <w:tcPr>
            <w:tcW w:type="dxa" w:w="1928"/>
            <w:shd w:val="clear" w:color="auto" w:fill="F4F1EA"/>
          </w:tcPr>
          <w:p>
            <w:pPr>
              <w:spacing w:after="20"/>
            </w:pPr>
            <w:r>
              <w:rPr>
                <w:rFonts w:ascii="Menlo" w:hAnsi="Menlo" w:cs="Menlo"/>
                <w:b/>
                <w:i w:val="0"/>
                <w:color w:val="9C6F1C"/>
                <w:sz w:val="16"/>
                <w:spacing w:val="16"/>
              </w:rPr>
              <w:t>INSTRUMENT</w:t>
            </w:r>
          </w:p>
        </w:tc>
        <w:tc>
          <w:tcPr>
            <w:tcW w:type="dxa" w:w="2948"/>
            <w:shd w:val="clear" w:color="auto" w:fill="F4F1EA"/>
          </w:tcPr>
          <w:p>
            <w:pPr>
              <w:spacing w:after="20"/>
            </w:pPr>
            <w:r>
              <w:rPr>
                <w:rFonts w:ascii="Menlo" w:hAnsi="Menlo" w:cs="Menlo"/>
                <w:b/>
                <w:i w:val="0"/>
                <w:color w:val="9C6F1C"/>
                <w:sz w:val="16"/>
                <w:spacing w:val="16"/>
              </w:rPr>
              <w:t>CAPTURES</w:t>
            </w:r>
          </w:p>
        </w:tc>
        <w:tc>
          <w:tcPr>
            <w:tcW w:type="dxa" w:w="4535"/>
            <w:shd w:val="clear" w:color="auto" w:fill="F4F1EA"/>
          </w:tcPr>
          <w:p>
            <w:pPr>
              <w:spacing w:after="20"/>
            </w:pPr>
            <w:r>
              <w:rPr>
                <w:rFonts w:ascii="Menlo" w:hAnsi="Menlo" w:cs="Menlo"/>
                <w:b/>
                <w:i w:val="0"/>
                <w:color w:val="9C6F1C"/>
                <w:sz w:val="16"/>
                <w:spacing w:val="16"/>
              </w:rPr>
              <w:t>METHOD</w:t>
            </w:r>
          </w:p>
        </w:tc>
      </w:tr>
      <w:tr>
        <w:tc>
          <w:tcPr>
            <w:tcW w:type="dxa" w:w="1928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Rubric A · capstone</w:t>
            </w:r>
          </w:p>
        </w:tc>
        <w:tc>
          <w:tcPr>
            <w:tcW w:type="dxa" w:w="2948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Voice for Change argument + craft</w:t>
            </w:r>
          </w:p>
        </w:tc>
        <w:tc>
          <w:tcPr>
            <w:tcW w:type="dxa" w:w="4535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Teacher · summative · 5 dimensions × 1.0/0.5 · max 45 pts</w:t>
            </w:r>
          </w:p>
        </w:tc>
      </w:tr>
      <w:tr>
        <w:tc>
          <w:tcPr>
            <w:tcW w:type="dxa" w:w="1928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Rubric B · in-mission</w:t>
            </w:r>
          </w:p>
        </w:tc>
        <w:tc>
          <w:tcPr>
            <w:tcW w:type="dxa" w:w="2948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Decision quality across 5 stages</w:t>
            </w:r>
          </w:p>
        </w:tc>
        <w:tc>
          <w:tcPr>
            <w:tcW w:type="dxa" w:w="4535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AI · formative · stage-anchored · token-graded</w:t>
            </w:r>
          </w:p>
        </w:tc>
      </w:tr>
      <w:tr>
        <w:tc>
          <w:tcPr>
            <w:tcW w:type="dxa" w:w="1928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Rubric C · CEFR delta</w:t>
            </w:r>
          </w:p>
        </w:tc>
        <w:tc>
          <w:tcPr>
            <w:tcW w:type="dxa" w:w="2948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Language gain (pre / mid / post)</w:t>
            </w:r>
          </w:p>
        </w:tc>
        <w:tc>
          <w:tcPr>
            <w:tcW w:type="dxa" w:w="4535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5 dimensions × half-band increments · target +4 half-bands</w:t>
            </w:r>
          </w:p>
        </w:tc>
      </w:tr>
      <w:tr>
        <w:tc>
          <w:tcPr>
            <w:tcW w:type="dxa" w:w="1928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Rubric D · soft skills</w:t>
            </w:r>
          </w:p>
        </w:tc>
        <w:tc>
          <w:tcPr>
            <w:tcW w:type="dxa" w:w="2948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Critical · analytical · collaboration · ethics · decision</w:t>
            </w:r>
          </w:p>
        </w:tc>
        <w:tc>
          <w:tcPr>
            <w:tcW w:type="dxa" w:w="4535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Teacher + peer · 5 dimensions × max 6 pts each</w:t>
            </w:r>
          </w:p>
        </w:tc>
      </w:tr>
      <w:tr>
        <w:tc>
          <w:tcPr>
            <w:tcW w:type="dxa" w:w="1928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Attitude shift</w:t>
            </w:r>
          </w:p>
        </w:tc>
        <w:tc>
          <w:tcPr>
            <w:tcW w:type="dxa" w:w="2948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Pre / post attitudes toward SDGs · AI</w:t>
            </w:r>
          </w:p>
        </w:tc>
        <w:tc>
          <w:tcPr>
            <w:tcW w:type="dxa" w:w="4535"/>
          </w:tcPr>
          <w:p>
            <w:pPr>
              <w:spacing w:after="20" w:line="300" w:lineRule="auto"/>
            </w:pPr>
            <w:r>
              <w:rPr>
                <w:rFonts w:ascii="Avenir Next" w:hAnsi="Avenir Next" w:cs="Avenir Next"/>
                <w:b w:val="0"/>
                <w:i w:val="0"/>
                <w:color w:val="000000"/>
                <w:sz w:val="21"/>
              </w:rPr>
              <w:t>Likert-scale survey · n = full cohort</w:t>
            </w:r>
          </w:p>
        </w:tc>
      </w:tr>
    </w:tbl>
    <w:p>
      <w:pPr>
        <w:spacing w:before="320" w:after="140"/>
        <w:pBdr>
          <w:bottom w:val="single" w:sz="6" w:space="4" w:color="C9A961"/>
        </w:pBdr>
      </w:pPr>
      <w:r>
        <w:rPr>
          <w:rFonts w:ascii="Baskerville" w:hAnsi="Baskerville" w:cs="Baskerville"/>
          <w:b w:val="0"/>
          <w:i w:val="0"/>
          <w:color w:val="9C6F1C"/>
          <w:sz w:val="33"/>
        </w:rPr>
        <w:t>Reliability &amp; ethics safeguards</w:t>
      </w:r>
    </w:p>
    <w:p>
      <w:pPr>
        <w:pStyle w:val="ListBullet"/>
        <w:spacing w:after="60" w:line="312" w:lineRule="auto"/>
      </w:pPr>
      <w:r>
        <w:rPr>
          <w:rFonts w:ascii="Avenir Next" w:hAnsi="Avenir Next" w:cs="Avenir Next"/>
          <w:b/>
          <w:i w:val="0"/>
          <w:color w:val="000000"/>
          <w:sz w:val="25"/>
        </w:rPr>
        <w:t>Inter-rater reliability</w:t>
      </w:r>
      <w:r>
        <w:rPr>
          <w:rFonts w:ascii="Avenir Next" w:hAnsi="Avenir Next" w:cs="Avenir Next"/>
          <w:b w:val="0"/>
          <w:i w:val="0"/>
          <w:color w:val="000000"/>
          <w:sz w:val="25"/>
        </w:rPr>
        <w:t xml:space="preserve"> · Cohen's κ ≥ 0.7 target between two human evaluators on a 10% audit sample.</w:t>
      </w:r>
    </w:p>
    <w:p>
      <w:pPr>
        <w:pStyle w:val="ListBullet"/>
        <w:spacing w:after="60" w:line="312" w:lineRule="auto"/>
      </w:pPr>
      <w:r>
        <w:rPr>
          <w:rFonts w:ascii="Avenir Next" w:hAnsi="Avenir Next" w:cs="Avenir Next"/>
          <w:b/>
          <w:i w:val="0"/>
          <w:color w:val="000000"/>
          <w:sz w:val="25"/>
        </w:rPr>
        <w:t>AI evaluator calibration</w:t>
      </w:r>
      <w:r>
        <w:rPr>
          <w:rFonts w:ascii="Avenir Next" w:hAnsi="Avenir Next" w:cs="Avenir Next"/>
          <w:b w:val="0"/>
          <w:i w:val="0"/>
          <w:color w:val="000000"/>
          <w:sz w:val="25"/>
        </w:rPr>
        <w:t xml:space="preserve"> · random 5% audit against teacher score; drift &gt; 0.5 score-points triggers prompt revision.</w:t>
      </w:r>
    </w:p>
    <w:p>
      <w:pPr>
        <w:pStyle w:val="ListBullet"/>
        <w:spacing w:after="60" w:line="312" w:lineRule="auto"/>
      </w:pPr>
      <w:r>
        <w:rPr>
          <w:rFonts w:ascii="Avenir Next" w:hAnsi="Avenir Next" w:cs="Avenir Next"/>
          <w:b/>
          <w:i w:val="0"/>
          <w:color w:val="000000"/>
          <w:sz w:val="25"/>
        </w:rPr>
        <w:t>PDPA compliance</w:t>
      </w:r>
      <w:r>
        <w:rPr>
          <w:rFonts w:ascii="Avenir Next" w:hAnsi="Avenir Next" w:cs="Avenir Next"/>
          <w:b w:val="0"/>
          <w:i w:val="0"/>
          <w:color w:val="000000"/>
          <w:sz w:val="25"/>
        </w:rPr>
        <w:t xml:space="preserve"> · bilingual consent before any personal-data write; 90-day auto-deletion post-course; granular consent per data category.</w:t>
      </w:r>
    </w:p>
    <w:p>
      <w:pPr>
        <w:pStyle w:val="ListBullet"/>
        <w:spacing w:after="60" w:line="312" w:lineRule="auto"/>
      </w:pPr>
      <w:r>
        <w:rPr>
          <w:rFonts w:ascii="Avenir Next" w:hAnsi="Avenir Next" w:cs="Avenir Next"/>
          <w:b/>
          <w:i w:val="0"/>
          <w:color w:val="000000"/>
          <w:sz w:val="25"/>
        </w:rPr>
        <w:t>DPIA on file</w:t>
      </w:r>
      <w:r>
        <w:rPr>
          <w:rFonts w:ascii="Avenir Next" w:hAnsi="Avenir Next" w:cs="Avenir Next"/>
          <w:b w:val="0"/>
          <w:i w:val="0"/>
          <w:color w:val="000000"/>
          <w:sz w:val="25"/>
        </w:rPr>
        <w:t xml:space="preserve"> · Data Protection Impact Assessment per พ.ร.บ. คุ้มครองข้อมูลส่วนบุคคล พ.ศ. 2562.</w:t>
      </w:r>
    </w:p>
    <w:p>
      <w:pPr>
        <w:pStyle w:val="ListBullet"/>
        <w:spacing w:after="60" w:line="312" w:lineRule="auto"/>
      </w:pPr>
      <w:r>
        <w:rPr>
          <w:rFonts w:ascii="Avenir Next" w:hAnsi="Avenir Next" w:cs="Avenir Next"/>
          <w:b/>
          <w:i w:val="0"/>
          <w:color w:val="000000"/>
          <w:sz w:val="25"/>
        </w:rPr>
        <w:t>Withdrawal rule</w:t>
      </w:r>
      <w:r>
        <w:rPr>
          <w:rFonts w:ascii="Avenir Next" w:hAnsi="Avenir Next" w:cs="Avenir Next"/>
          <w:b w:val="0"/>
          <w:i w:val="0"/>
          <w:color w:val="000000"/>
          <w:sz w:val="25"/>
        </w:rPr>
        <w:t xml:space="preserve"> · learners may withdraw from research participation while continuing the course; their data is purged within 7 days.</w:t>
      </w:r>
    </w:p>
    <w:p>
      <w:pPr>
        <w:spacing w:before="320" w:after="140"/>
        <w:pBdr>
          <w:bottom w:val="single" w:sz="6" w:space="4" w:color="C9A961"/>
        </w:pBdr>
      </w:pPr>
      <w:r>
        <w:rPr>
          <w:rFonts w:ascii="Baskerville" w:hAnsi="Baskerville" w:cs="Baskerville"/>
          <w:b w:val="0"/>
          <w:i w:val="0"/>
          <w:color w:val="9C6F1C"/>
          <w:sz w:val="33"/>
        </w:rPr>
        <w:t>Dissemination path · once data lands</w:t>
      </w:r>
    </w:p>
    <w:p>
      <w:pPr>
        <w:spacing w:before="200" w:after="60"/>
      </w:pPr>
      <w:r>
        <w:rPr>
          <w:rFonts w:ascii="Baskerville" w:hAnsi="Baskerville" w:cs="Baskerville"/>
          <w:b/>
          <w:i w:val="0"/>
          <w:color w:val="000000"/>
          <w:sz w:val="27"/>
        </w:rPr>
        <w:t>Conferences (target)</w:t>
      </w:r>
    </w:p>
    <w:p>
      <w:pPr>
        <w:pStyle w:val="ListBullet"/>
        <w:spacing w:after="60" w:line="312" w:lineRule="auto"/>
      </w:pPr>
      <w:r>
        <w:rPr>
          <w:rFonts w:ascii="Avenir Next" w:hAnsi="Avenir Next" w:cs="Avenir Next"/>
          <w:b w:val="0"/>
          <w:i w:val="0"/>
          <w:color w:val="000000"/>
          <w:sz w:val="25"/>
        </w:rPr>
        <w:t>TESOL International Convention</w:t>
      </w:r>
    </w:p>
    <w:p>
      <w:pPr>
        <w:pStyle w:val="ListBullet"/>
        <w:spacing w:after="60" w:line="312" w:lineRule="auto"/>
      </w:pPr>
      <w:r>
        <w:rPr>
          <w:rFonts w:ascii="Avenir Next" w:hAnsi="Avenir Next" w:cs="Avenir Next"/>
          <w:b w:val="0"/>
          <w:i w:val="0"/>
          <w:color w:val="000000"/>
          <w:sz w:val="25"/>
        </w:rPr>
        <w:t>AsiaTEFL Annual Conference</w:t>
      </w:r>
    </w:p>
    <w:p>
      <w:pPr>
        <w:pStyle w:val="ListBullet"/>
        <w:spacing w:after="60" w:line="312" w:lineRule="auto"/>
      </w:pPr>
      <w:r>
        <w:rPr>
          <w:rFonts w:ascii="Avenir Next" w:hAnsi="Avenir Next" w:cs="Avenir Next"/>
          <w:b w:val="0"/>
          <w:i w:val="0"/>
          <w:color w:val="000000"/>
          <w:sz w:val="25"/>
        </w:rPr>
        <w:t>EuroCALL</w:t>
      </w:r>
    </w:p>
    <w:p>
      <w:pPr>
        <w:pStyle w:val="ListBullet"/>
        <w:spacing w:after="60" w:line="312" w:lineRule="auto"/>
      </w:pPr>
      <w:r>
        <w:rPr>
          <w:rFonts w:ascii="Avenir Next" w:hAnsi="Avenir Next" w:cs="Avenir Next"/>
          <w:b w:val="0"/>
          <w:i w:val="0"/>
          <w:color w:val="000000"/>
          <w:sz w:val="25"/>
        </w:rPr>
        <w:t>AILA World Congress</w:t>
      </w:r>
    </w:p>
    <w:p>
      <w:pPr>
        <w:spacing w:before="200" w:after="60"/>
      </w:pPr>
      <w:r>
        <w:rPr>
          <w:rFonts w:ascii="Baskerville" w:hAnsi="Baskerville" w:cs="Baskerville"/>
          <w:b/>
          <w:i w:val="0"/>
          <w:color w:val="000000"/>
          <w:sz w:val="27"/>
        </w:rPr>
        <w:t>Journals (target)</w:t>
      </w:r>
    </w:p>
    <w:p>
      <w:pPr>
        <w:pStyle w:val="ListBullet"/>
        <w:spacing w:after="60" w:line="312" w:lineRule="auto"/>
      </w:pPr>
      <w:r>
        <w:rPr>
          <w:rFonts w:ascii="Avenir Next" w:hAnsi="Avenir Next" w:cs="Avenir Next"/>
          <w:b w:val="0"/>
          <w:i w:val="0"/>
          <w:color w:val="000000"/>
          <w:sz w:val="25"/>
        </w:rPr>
        <w:t>Computer Assisted Language Learning</w:t>
      </w:r>
    </w:p>
    <w:p>
      <w:pPr>
        <w:pStyle w:val="ListBullet"/>
        <w:spacing w:after="60" w:line="312" w:lineRule="auto"/>
      </w:pPr>
      <w:r>
        <w:rPr>
          <w:rFonts w:ascii="Avenir Next" w:hAnsi="Avenir Next" w:cs="Avenir Next"/>
          <w:b w:val="0"/>
          <w:i w:val="0"/>
          <w:color w:val="000000"/>
          <w:sz w:val="25"/>
        </w:rPr>
        <w:t>ReCALL</w:t>
      </w:r>
    </w:p>
    <w:p>
      <w:pPr>
        <w:pStyle w:val="ListBullet"/>
        <w:spacing w:after="60" w:line="312" w:lineRule="auto"/>
      </w:pPr>
      <w:r>
        <w:rPr>
          <w:rFonts w:ascii="Avenir Next" w:hAnsi="Avenir Next" w:cs="Avenir Next"/>
          <w:b w:val="0"/>
          <w:i w:val="0"/>
          <w:color w:val="000000"/>
          <w:sz w:val="25"/>
        </w:rPr>
        <w:t>Language Learning &amp; Technology</w:t>
      </w:r>
    </w:p>
    <w:p>
      <w:pPr>
        <w:pStyle w:val="ListBullet"/>
        <w:spacing w:after="60" w:line="312" w:lineRule="auto"/>
      </w:pPr>
      <w:r>
        <w:rPr>
          <w:rFonts w:ascii="Avenir Next" w:hAnsi="Avenir Next" w:cs="Avenir Next"/>
          <w:b w:val="0"/>
          <w:i w:val="0"/>
          <w:color w:val="000000"/>
          <w:sz w:val="25"/>
        </w:rPr>
        <w:t>Journal of Digital Learning in Teacher Education</w:t>
      </w:r>
    </w:p>
    <w:p>
      <w:pPr>
        <w:spacing w:before="320" w:after="140"/>
        <w:pBdr>
          <w:bottom w:val="single" w:sz="6" w:space="4" w:color="C9A961"/>
        </w:pBdr>
      </w:pPr>
      <w:r>
        <w:rPr>
          <w:rFonts w:ascii="Baskerville" w:hAnsi="Baskerville" w:cs="Baskerville"/>
          <w:b w:val="0"/>
          <w:i w:val="0"/>
          <w:color w:val="9C6F1C"/>
          <w:sz w:val="33"/>
        </w:rPr>
        <w:t>Why this matters · the strategic frame</w:t>
      </w:r>
    </w:p>
    <w:p>
      <w:pPr>
        <w:spacing w:after="140" w:line="324" w:lineRule="auto"/>
      </w:pPr>
      <w:r>
        <w:rPr>
          <w:rFonts w:ascii="Avenir Next" w:hAnsi="Avenir Next" w:cs="Avenir Next"/>
          <w:b w:val="0"/>
          <w:i w:val="0"/>
          <w:color w:val="000000"/>
          <w:sz w:val="25"/>
        </w:rPr>
        <w:t xml:space="preserve">Past Thai education-innovation competitions have rewarded “evidence of impact” via retrospective classroom data. FUTUREPROOF inverts this: we provide </w:t>
      </w:r>
      <w:r>
        <w:rPr>
          <w:rFonts w:ascii="Avenir Next" w:hAnsi="Avenir Next" w:cs="Avenir Next"/>
          <w:b/>
          <w:i w:val="0"/>
          <w:color w:val="000000"/>
          <w:sz w:val="25"/>
        </w:rPr>
        <w:t>auditable architecture + a rigorous design ready to produce data</w:t>
      </w:r>
      <w:r>
        <w:rPr>
          <w:rFonts w:ascii="Avenir Next" w:hAnsi="Avenir Next" w:cs="Avenir Next"/>
          <w:b w:val="0"/>
          <w:i w:val="0"/>
          <w:color w:val="000000"/>
          <w:sz w:val="25"/>
        </w:rPr>
        <w:t>, not retrospective stories from a single uncontrolled term. This is a methodological choice, not a gap.</w:t>
      </w:r>
    </w:p>
    <w:p>
      <w:pPr>
        <w:spacing w:after="140" w:line="324" w:lineRule="auto"/>
      </w:pPr>
      <w:r>
        <w:rPr>
          <w:rFonts w:ascii="Avenir Next" w:hAnsi="Avenir Next" w:cs="Avenir Next"/>
          <w:b w:val="0"/>
          <w:i w:val="0"/>
          <w:color w:val="000000"/>
          <w:sz w:val="25"/>
        </w:rPr>
        <w:t>When the first cohort completes the pilot in December 2026, every instrument above is already built, calibrated, and waiting — so the evidence, when it lands, will be clean, comparable, and publishable.</w:t>
      </w:r>
    </w:p>
    <w:sectPr w:rsidR="00FC693F" w:rsidRPr="0006063C" w:rsidSect="00034616">
      <w:foot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Menlo" w:hAnsi="Menlo" w:cs="Menlo"/>
        <w:b w:val="0"/>
        <w:i w:val="0"/>
        <w:color w:val="5A5A60"/>
        <w:sz w:val="15"/>
        <w:spacing w:val="12"/>
      </w:rPr>
      <w:t xml:space="preserve">Dr. Payungsak Kaenchan · Faculty of Liberal Arts   ·   </w:t>
    </w:r>
    <w:r>
      <w:rPr>
        <w:rFonts w:ascii="Menlo" w:hAnsi="Menlo" w:cs="Menlo"/>
        <w:b w:val="0"/>
        <w:i w:val="0"/>
        <w:color w:val="5A5A60"/>
        <w:sz w:val="15"/>
        <w:spacing w:val="12"/>
      </w:rPr>
      <w:t>FUTUREPROOF · SPU Tech Creative Learning Awards 2569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" w:hAnsi="Avenir Next" w:cs="Avenir Next" w:eastAsia="Sukhumvit Set"/>
      <w:color w:val="000000"/>
      <w:sz w:val="2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