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0"/>
        <w:jc w:val="center"/>
        <w:shd w:val="clear" w:color="auto" w:fill="F3ECDD"/>
      </w:pPr>
      <w:r>
        <w:rPr>
          <w:rFonts w:ascii="Menlo" w:hAnsi="Menlo" w:cs="Menlo"/>
          <w:b w:val="0"/>
          <w:i w:val="0"/>
          <w:color w:val="9C6F1C"/>
          <w:sz w:val="18"/>
          <w:spacing w:val="8"/>
        </w:rPr>
        <w:t>[ COVER IMAGE — drop read-this-first.png in /docs/document-design/covers/ ]</w:t>
      </w:r>
    </w:p>
    <w:p>
      <w:pPr>
        <w:spacing w:after="80"/>
        <w:jc w:val="center"/>
      </w:pPr>
      <w:r>
        <w:rPr>
          <w:rFonts w:ascii="Menlo" w:hAnsi="Menlo" w:cs="Menlo"/>
          <w:b w:val="0"/>
          <w:i w:val="0"/>
          <w:color w:val="9C6F1C"/>
          <w:sz w:val="20"/>
          <w:spacing w:val="36"/>
        </w:rPr>
        <w:t>START HERE · 1 PAGE · FOR JUDGES</w:t>
      </w:r>
    </w:p>
    <w:p>
      <w:pPr>
        <w:spacing w:after="120" w:line="245" w:lineRule="auto"/>
        <w:jc w:val="center"/>
      </w:pPr>
      <w:r>
        <w:rPr>
          <w:rFonts w:ascii="Baskerville" w:hAnsi="Baskerville" w:cs="Baskerville"/>
          <w:b w:val="0"/>
          <w:i w:val="0"/>
          <w:color w:val="7B1B1B"/>
          <w:sz w:val="64"/>
        </w:rPr>
        <w:t>Read This First</w:t>
      </w:r>
    </w:p>
    <w:p>
      <w:pPr>
        <w:spacing w:after="80"/>
        <w:jc w:val="center"/>
      </w:pPr>
      <w:r>
        <w:rPr>
          <w:rFonts w:ascii="Baskerville" w:hAnsi="Baskerville" w:cs="Baskerville"/>
          <w:b w:val="0"/>
          <w:i/>
          <w:color w:val="5A5A60"/>
          <w:sz w:val="30"/>
        </w:rPr>
        <w:t>Executive summary of the FUTUREPROOF submission</w:t>
      </w:r>
    </w:p>
    <w:p>
      <w:pPr>
        <w:spacing w:after="480"/>
        <w:jc w:val="center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เอกสารแนะนำผลงานในหนึ่งหน้า · สำหรับคณะกรรมการ</w:t>
      </w:r>
    </w:p>
    <w:p>
      <w:pPr>
        <w:spacing w:before="400"/>
        <w:jc w:val="center"/>
      </w:pPr>
      <w:r>
        <w:rPr>
          <w:rFonts w:ascii="Avenir Next" w:hAnsi="Avenir Next" w:cs="Avenir Next"/>
          <w:b w:val="0"/>
          <w:i w:val="0"/>
          <w:color w:val="000000"/>
          <w:sz w:val="22"/>
        </w:rPr>
        <w:t>Dr. Payungsak Kaenchan  ·  Faculty of Liberal Arts, Mahidol University</w:t>
      </w:r>
    </w:p>
    <w:p>
      <w:pPr>
        <w:jc w:val="center"/>
      </w:pPr>
      <w:r>
        <w:rPr>
          <w:rFonts w:ascii="Menlo" w:hAnsi="Menlo" w:cs="Menlo"/>
          <w:b w:val="0"/>
          <w:i w:val="0"/>
          <w:color w:val="5A5A60"/>
          <w:sz w:val="16"/>
          <w:spacing w:val="16"/>
        </w:rPr>
        <w:t>Submitted to the SPU Tech Creative Learning Awards 2569</w:t>
      </w:r>
    </w:p>
    <w:p>
      <w:r>
        <w:br w:type="page"/>
      </w:r>
    </w:p>
    <w:p>
      <w:pPr>
        <w:spacing w:after="40"/>
      </w:pPr>
      <w:r>
        <w:rPr>
          <w:rFonts w:ascii="Menlo" w:hAnsi="Menlo" w:cs="Menlo"/>
          <w:b w:val="0"/>
          <w:i w:val="0"/>
          <w:color w:val="9C6F1C"/>
          <w:sz w:val="18"/>
          <w:spacing w:val="32"/>
        </w:rPr>
        <w:t>FUTUREPROOF · SDG MISSION JOURNEY   ·   READ THIS FIRST · V1.0 · MAY 2026</w:t>
      </w:r>
    </w:p>
    <w:p>
      <w:pPr>
        <w:spacing w:before="40" w:after="80" w:line="245" w:lineRule="auto"/>
      </w:pPr>
      <w:r>
        <w:rPr>
          <w:rFonts w:ascii="Baskerville" w:hAnsi="Baskerville" w:cs="Baskerville"/>
          <w:b w:val="0"/>
          <w:i w:val="0"/>
          <w:color w:val="7B1B1B"/>
          <w:sz w:val="54"/>
        </w:rPr>
        <w:t>Read this first</w:t>
      </w:r>
    </w:p>
    <w:p>
      <w:pPr>
        <w:spacing w:after="200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เอกสารแนะนำผลงานในหนึ่งหน้า · สำหรับคณะกรรมการ</w:t>
      </w:r>
    </w:p>
    <w:p>
      <w:pPr>
        <w:spacing w:after="280" w:line="312" w:lineRule="auto"/>
      </w:pPr>
      <w:r>
        <w:rPr>
          <w:rFonts w:ascii="Baskerville" w:hAnsi="Baskerville" w:cs="Baskerville"/>
          <w:b w:val="0"/>
          <w:i/>
          <w:color w:val="5A5A60"/>
          <w:sz w:val="29"/>
        </w:rPr>
        <w:t>If you read only one document in this submission package, read this one. Three claims, one verification URL, a two-minute commitment.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What this is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An AI-scaffolded English-language learning platform for </w:t>
      </w:r>
      <w:r>
        <w:rPr>
          <w:rFonts w:ascii="Avenir Next" w:hAnsi="Avenir Next" w:cs="Avenir Next"/>
          <w:b/>
          <w:i w:val="0"/>
          <w:color w:val="000000"/>
          <w:sz w:val="25"/>
        </w:rPr>
        <w:t>LALA109 · English for Digital Communication Skills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at the Faculty of Liberal Arts, Mahidol University. Six adaptive missions across Thailand, each anchored to a UN Sustainable Development Goal, culminating in a teacher-graded </w:t>
      </w:r>
      <w:r>
        <w:rPr>
          <w:rFonts w:ascii="Avenir Next" w:hAnsi="Avenir Next" w:cs="Avenir Next"/>
          <w:b/>
          <w:i w:val="0"/>
          <w:color w:val="000000"/>
          <w:sz w:val="25"/>
        </w:rPr>
        <w:t>Voice for Change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capstone — a two-to-five-minute spoken proposal addressed to a real Thai institution.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Three load-bearing claims · all auditable</w:t>
      </w:r>
    </w:p>
    <w:p>
      <w:pPr>
        <w:spacing w:before="160" w:after="0"/>
        <w:shd w:val="clear" w:color="auto" w:fill="F3E4E2"/>
        <w:pBdr>
          <w:left w:val="single" w:sz="22" w:space="8" w:color="7B1B1B"/>
        </w:pBdr>
      </w:pPr>
      <w:r>
        <w:rPr>
          <w:rFonts w:ascii="Menlo" w:hAnsi="Menlo" w:cs="Menlo"/>
          <w:b/>
          <w:i w:val="0"/>
          <w:color w:val="7B1B1B"/>
          <w:sz w:val="17"/>
          <w:spacing w:val="28"/>
        </w:rPr>
        <w:t>CLAIM 1 · AI-TPACK ENFORCED AT THE SYSTEM-PROMPT LEVEL</w:t>
      </w:r>
    </w:p>
    <w:p>
      <w:pPr>
        <w:spacing w:after="160" w:line="312" w:lineRule="auto"/>
        <w:shd w:val="clear" w:color="auto" w:fill="F3E4E2"/>
        <w:pBdr>
          <w:left w:val="single" w:sz="22" w:space="8" w:color="7B1B1B"/>
        </w:pBdr>
      </w:pP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The boundary between what AI handles (scale, formative feedback) and what humans handle (summative grading, cultural authenticity) is </w:t>
      </w:r>
      <w:r>
        <w:rPr>
          <w:rFonts w:ascii="Avenir Next" w:hAnsi="Avenir Next" w:cs="Avenir Next"/>
          <w:b/>
          <w:i w:val="0"/>
          <w:color w:val="000000"/>
          <w:sz w:val="23"/>
        </w:rPr>
        <w:t>hard-coded into the Claude API system prompts</w:t>
      </w: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 of Mr Compass and the AI Judges — not merely declared in the application. Open the Judge Tour, Step 8, to see this in the admin console.</w:t>
      </w:r>
    </w:p>
    <w:p>
      <w:pPr>
        <w:spacing w:before="160" w:after="0"/>
        <w:shd w:val="clear" w:color="auto" w:fill="F3ECDD"/>
        <w:pBdr>
          <w:left w:val="single" w:sz="22" w:space="8" w:color="C9A961"/>
        </w:pBdr>
      </w:pPr>
      <w:r>
        <w:rPr>
          <w:rFonts w:ascii="Menlo" w:hAnsi="Menlo" w:cs="Menlo"/>
          <w:b/>
          <w:i w:val="0"/>
          <w:color w:val="9C6F1C"/>
          <w:sz w:val="17"/>
          <w:spacing w:val="28"/>
        </w:rPr>
        <w:t>CLAIM 2 · THREE LEARNING THEORIES MADE OPERATIONAL</w:t>
      </w:r>
    </w:p>
    <w:p>
      <w:pPr>
        <w:spacing w:after="160" w:line="312" w:lineRule="auto"/>
        <w:shd w:val="clear" w:color="auto" w:fill="F3ECDD"/>
        <w:pBdr>
          <w:left w:val="single" w:sz="22" w:space="8" w:color="C9A961"/>
        </w:pBdr>
      </w:pP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Behaviorism (the Insight-Token economy · operant conditioning), Cognitivism (the 5-stage arc · CTML multimedia), and Social Constructivism (the 3-role asymmetric team · Mr Compass as the More Knowledgeable Other) — </w:t>
      </w:r>
      <w:r>
        <w:rPr>
          <w:rFonts w:ascii="Avenir Next" w:hAnsi="Avenir Next" w:cs="Avenir Next"/>
          <w:b/>
          <w:i w:val="0"/>
          <w:color w:val="000000"/>
          <w:sz w:val="23"/>
        </w:rPr>
        <w:t>each cited theorist maps to a feature you can click on.</w:t>
      </w: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 See the Teacher's Manual, Chapter 4, for the full triptych mapping.</w:t>
      </w:r>
    </w:p>
    <w:p>
      <w:pPr>
        <w:spacing w:before="160" w:after="0"/>
        <w:shd w:val="clear" w:color="auto" w:fill="F3ECDD"/>
        <w:pBdr>
          <w:left w:val="single" w:sz="22" w:space="8" w:color="C9A961"/>
        </w:pBdr>
      </w:pPr>
      <w:r>
        <w:rPr>
          <w:rFonts w:ascii="Menlo" w:hAnsi="Menlo" w:cs="Menlo"/>
          <w:b/>
          <w:i w:val="0"/>
          <w:color w:val="9C6F1C"/>
          <w:sz w:val="17"/>
          <w:spacing w:val="28"/>
        </w:rPr>
        <w:t>CLAIM 3 · COMPLIANCE AND ACCESSIBILITY BUILT INTO THE FOUNDATION</w:t>
      </w:r>
    </w:p>
    <w:p>
      <w:pPr>
        <w:spacing w:after="160" w:line="312" w:lineRule="auto"/>
        <w:shd w:val="clear" w:color="auto" w:fill="F3ECDD"/>
        <w:pBdr>
          <w:left w:val="single" w:sz="22" w:space="8" w:color="C9A961"/>
        </w:pBdr>
      </w:pP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PDPA · พ.ร.บ. คุ้มครองข้อมูลส่วนบุคคล พ.ศ. 2562 · with bilingual consent and 90-day auto-deletion. CAST UDL 3.0 across all three principles. </w:t>
      </w:r>
      <w:r>
        <w:rPr>
          <w:rFonts w:ascii="Avenir Next" w:hAnsi="Avenir Next" w:cs="Avenir Next"/>
          <w:b/>
          <w:i w:val="0"/>
          <w:color w:val="000000"/>
          <w:sz w:val="23"/>
        </w:rPr>
        <w:t>WCAG 2.1 AA</w:t>
      </w: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 verified by Google Lighthouse (Accessibility 100 / 100 on Home and the Judge Tour). Mobile-first from 360 px upward.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Where to verify, in one click each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948"/>
        <w:gridCol w:w="6463"/>
      </w:tblGrid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LIVE PLATFORM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https://futureproof-sdgs-lab.netlify.app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JUDGE TOUR (START HERE)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https://futureproof-sdgs-lab.netlify.app/pages/judge-tour.html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SAMPLE MISSION (PRE-COMPLETED)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Judge Tour · Step 04 · SDG 6 · Khon Kaen · The Aquifer Below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VOICE FOR CHANGE DEMO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“Skip to Voice for Change” button at Judge Tour · Step 04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HALL OF VOICES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Four composite-anonymous exemplars · Judge Tour · Step 07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ADMIN CONSOLE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Seven modules · Judge Tour · Step 08 · sign-in required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Where to read more · the submission package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Application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the 15-page report with a 36-source bibliography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Rubric A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Voice for Change Holistic · teacher-graded · 5 pp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Rubrics B · C · D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AI logic / CEFR delta / soft skills · 4–5 pp each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Teacher's &amp; Judge's Manual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28 pp bilingual · written for teachers and judges alike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Pilot &amp; Measurement Plan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companion research-design document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Scrutiny Report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a self-audit with Lighthouse numbers and competitive analysis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Menlo" w:hAnsi="Menlo" w:cs="Menlo"/>
        <w:b w:val="0"/>
        <w:i w:val="0"/>
        <w:color w:val="5A5A60"/>
        <w:sz w:val="15"/>
        <w:spacing w:val="12"/>
      </w:rPr>
      <w:t xml:space="preserve">Dr. Payungsak Kaenchan · Faculty of Liberal Arts   ·   </w:t>
    </w:r>
    <w:r>
      <w:rPr>
        <w:rFonts w:ascii="Menlo" w:hAnsi="Menlo" w:cs="Menlo"/>
        <w:b w:val="0"/>
        <w:i w:val="0"/>
        <w:color w:val="5A5A60"/>
        <w:sz w:val="15"/>
        <w:spacing w:val="12"/>
      </w:rPr>
      <w:t>FUTUREPROOF · SPU Tech Creative Learning Awards 2569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 w:cs="Avenir Next" w:eastAsia="Sukhumvit Set"/>
      <w:color w:val="000000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