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Eizola’s ambient compositions are inspired by dusty weather transmitters and life in pits occupied by little critters called želetaminky. Samples made of field recordings, slowly shifting layers, fading rhythm, and the vibrations of overheating perma-soil.</w:t>
      </w:r>
    </w:p>
    <w:p w:rsidR="00000000" w:rsidDel="00000000" w:rsidP="00000000" w:rsidRDefault="00000000" w:rsidRPr="00000000" w14:paraId="00000002">
      <w:pPr>
        <w:spacing w:after="240" w:before="240" w:lineRule="auto"/>
        <w:rPr/>
      </w:pPr>
      <w:r w:rsidDel="00000000" w:rsidR="00000000" w:rsidRPr="00000000">
        <w:rPr>
          <w:rtl w:val="0"/>
        </w:rPr>
        <w:t xml:space="preserve">Eizola - Ambientní plochy inspirované zaprášenými meteo stanicemi a nedaleko nich žijících tvorečků želetamínek. Zvuky z pomalých vrstev terénních nahrávek, nejasných rytmů a vibrací přehřívajícího se perma-soilu.</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090Qj/ufdXV4lywapa+Ox5rxjA==">CgMxLjA4AHIhMW9VUUk5LU1aR2MzTFZaNGNWLTZjTmZSa1VoLWJ3NUNn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