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C4385" w14:textId="77777777" w:rsidR="002E4C15" w:rsidRDefault="00000000">
      <w:pPr>
        <w:pStyle w:val="Title"/>
        <w:jc w:val="center"/>
      </w:pPr>
      <w:r>
        <w:rPr>
          <w:color w:val="000000"/>
        </w:rPr>
        <w:t>Biological Sex Differences and Elite Competitive Gaming Performance</w:t>
      </w:r>
    </w:p>
    <w:p w14:paraId="296724DA" w14:textId="77777777" w:rsidR="002E4C15" w:rsidRDefault="00000000">
      <w:pPr>
        <w:jc w:val="center"/>
      </w:pPr>
      <w:r>
        <w:t>A revised explanatory model of psychomotor substrate, competitive funnels, and extreme-tail selection</w:t>
      </w:r>
    </w:p>
    <w:p w14:paraId="74FD895F" w14:textId="77777777" w:rsidR="002E4C15" w:rsidRDefault="00000000">
      <w:pPr>
        <w:pStyle w:val="Heading1"/>
      </w:pPr>
      <w:r>
        <w:rPr>
          <w:color w:val="000000"/>
        </w:rPr>
        <w:t>Author’s Note</w:t>
      </w:r>
    </w:p>
    <w:p w14:paraId="3D8BFAF9" w14:textId="77777777" w:rsidR="002E4C15" w:rsidRDefault="00000000">
      <w:r>
        <w:t>This paper was developed with AI assistance for literature synthesis, revision, visual support and adversarial review. The arguments, source judgments and conclusions remain the author’s.</w:t>
      </w:r>
    </w:p>
    <w:p w14:paraId="3E27E6DE" w14:textId="77777777" w:rsidR="002E4C15" w:rsidRDefault="00000000">
      <w:pPr>
        <w:pStyle w:val="Heading1"/>
      </w:pPr>
      <w:r>
        <w:rPr>
          <w:color w:val="000000"/>
        </w:rPr>
        <w:t>Abstract</w:t>
      </w:r>
    </w:p>
    <w:p>
      <w:pPr/>
      <w:r>
        <w:t>Elite competitive gaming selects simultaneously for psychomotor execution, visuospatial processing, learning efficiency and performance under repeated competitive pressure. This paper develops a biological-plus-funnel model of how those capacities, training conversion, gamesense and selection may shape the sustained open elite tail. The comparative hypothesis is that adding measured performance traits and training conversion will predict elite outcomes better than specified exposure-and-opportunity accounts that predict substantial convergence after opportunity improves.</w:t>
      </w:r>
    </w:p>
    <w:p>
      <w:pPr/>
      <w:r>
        <w:t>Adjacent research finds task-specific sex differences in several relevant domains, but their biological origins, trainability and transfer to elite esports remain separate empirical questions. Historical patterns and illustrative tail calculations motivate the model but do not identify causal contributions or predict a fitted roster ratio. Four tests can strengthen or weaken it: prospective trait prediction, randomized concurrent load, longitudinal training trajectories and held-out forecasts of conditional stage transitions.</w:t>
      </w:r>
    </w:p>
    <w:p>
      <w:pPr/>
      <w:r>
        <w:t>This is a distributional hypothesis, not a claim about individual ability. Cultural barriers can affect entry, development and retention; the narrower question is whether measured performance traits and training conversion add predictive information about the final open tail.</w:t>
      </w:r>
    </w:p>
    <w:p w14:paraId="5D05BF7E" w14:textId="77777777" w:rsidR="002E4C15" w:rsidRDefault="00000000">
      <w:pPr>
        <w:pStyle w:val="Heading1"/>
      </w:pPr>
      <w:r>
        <w:rPr>
          <w:color w:val="000000"/>
        </w:rPr>
        <w:t>I. Introduction</w:t>
      </w:r>
    </w:p>
    <w:p>
      <w:pPr/>
      <w:r>
        <w:t>Participation tells us who enters. Elite competition asks who repeatedly survives the strongest opposition. Throughout this paper, the endpoint is sustained individual elite-tail performance, not mere appearance in a league or tournament conventionally labeled Tier-1 or S-tier. A player can cross an administrative competition boundary without establishing repeated role-relative performance at the extreme open tail. The persistent male skew at that tail therefore poses a narrower question: which capacities, learning processes and selection stages determine sustained elite performance? Answering it matters both for explanation and for any development program intended to change the distribution.</w:t>
      </w:r>
    </w:p>
    <w:p>
      <w:pPr/>
      <w:r>
        <w:t>The screen removes much of the importance of height, mass and maximal strength. It does not remove the nervous system. Elite play still depends on perception, timing, visuomotor control, spatial modeling and decisions under concurrent demands. The explanatory problem is how those capacities develop through practice and enter competitive selection.</w:t>
      </w:r>
    </w:p>
    <w:p>
      <w:pPr/>
      <w:r>
        <w:t>Training is the conversion mechanism: feedback, review, coaching and repetition turn capacity into developed skill. Harassment, opportunity and social expectations can affect access to that process and who remains in it. The unresolved question is whether improved access and practice alone predict the final tail, or whether measured performance traits and training conversion add explanatory power. Paper 2 audits the cultural-literature claims and the construct-validity problems that arise when MMO progression, self-reported motivation or other proxies are transported into claims about elite performance; this paper builds the positive model and states the tests that can defeat it.</w:t>
      </w:r>
    </w:p>
    <w:p w14:paraId="17BD1B16" w14:textId="77777777" w:rsidR="002E4C15" w:rsidRDefault="00000000">
      <w:pPr>
        <w:pStyle w:val="Heading1"/>
      </w:pPr>
      <w:r>
        <w:rPr>
          <w:color w:val="000000"/>
        </w:rPr>
        <w:t>II. Scope and Claims</w:t>
      </w:r>
    </w:p>
    <w:p w14:paraId="4CC4DFED" w14:textId="77777777" w:rsidR="002E4C15" w:rsidRDefault="00000000">
      <w:r>
        <w:t>The model makes six claims, with evidence and predictions distinguished throughout:</w:t>
      </w:r>
    </w:p>
    <w:p w14:paraId="37CF6522" w14:textId="77777777" w:rsidR="002E4C15" w:rsidRDefault="00000000">
      <w:pPr>
        <w:pStyle w:val="ListNumber"/>
      </w:pPr>
      <w:r>
        <w:t>Elite competitive gaming is embodied psychomotor competition, not purely abstract cognition.</w:t>
      </w:r>
    </w:p>
    <w:p w14:paraId="2A67A19E" w14:textId="77777777" w:rsidR="002E4C15" w:rsidRDefault="00000000">
      <w:pPr>
        <w:pStyle w:val="ListNumber"/>
      </w:pPr>
      <w:r>
        <w:t>Major high-selection esports genres select for overlapping traits: visuospatial processing, tracking, reaction time under load, working memory, divided attention, temporal precision, and rapid sequential execution.</w:t>
      </w:r>
    </w:p>
    <w:p w14:paraId="64B00330" w14:textId="77777777" w:rsidR="002E4C15" w:rsidRDefault="00000000">
      <w:pPr>
        <w:pStyle w:val="ListNumber"/>
      </w:pPr>
      <w:r>
        <w:t>Elite performance is then developed through genre-specific deliberate practice, feedback-dense training environments, and learned perceptual compression — gamesense — rather than through raw capacity alone.</w:t>
      </w:r>
    </w:p>
    <w:p w14:paraId="4F772BA4" w14:textId="77777777" w:rsidR="002E4C15" w:rsidRDefault="00000000">
      <w:pPr>
        <w:pStyle w:val="ListNumber"/>
      </w:pPr>
      <w:r>
        <w:t>Several relevant tasks show replicated male mean advantages in adjacent psychomotor and cognitive research; the direction and size are task- and population-specific.</w:t>
      </w:r>
    </w:p>
    <w:p w14:paraId="29D21F4D" w14:textId="77777777" w:rsidR="002E4C15" w:rsidRDefault="00000000">
      <w:pPr>
        <w:pStyle w:val="ListNumber"/>
      </w:pPr>
      <w:r>
        <w:t>Joint selection can amplify modest mean differences when performance requires multiple capacities; the amount must be calculated from their joint distribution and the actual selection rule.</w:t>
      </w:r>
    </w:p>
    <w:p w14:paraId="7D0795F3" w14:textId="77777777" w:rsidR="002E4C15" w:rsidRDefault="00000000">
      <w:pPr>
        <w:pStyle w:val="ListNumber"/>
      </w:pPr>
      <w:r>
        <w:t>The central comparative hypothesis is that the persistent male skew at the open elite tail is better explained by biological-plus-funnel selection than by culture-only accounts that predict convergence after specified improvements in opportunity.</w:t>
      </w:r>
    </w:p>
    <w:p w14:paraId="27108856" w14:textId="77777777" w:rsidR="002E4C15" w:rsidRDefault="00000000">
      <w:r>
        <w:t>These are distributional claims about specified games, roles and populations. They do not imply an absolute individual ceiling, make cultural barriers irrelevant, or assume that every proposed mechanism is necessary. Behavioral differences do not identify biological causes by themselves; the biological interpretation is an explicit hypothesis.</w:t>
      </w:r>
    </w:p>
    <w:p>
      <w:pPr/>
      <w:r>
        <w:t>Because the hypothesis concerns biological sex, empirical tests must define and record sex separately from gender identity when those variables differ. This is a construct-validity requirement: a sex-based hypothesis cannot treat gender identity as an interchangeable exposure variable, and social-experience analyses should not assume that biological sex captures gendered treatment.</w:t>
      </w:r>
    </w:p>
    <w:p w14:paraId="7FAA53AC" w14:textId="77777777" w:rsidR="002E4C15" w:rsidRDefault="00000000">
      <w:pPr>
        <w:pStyle w:val="Heading1"/>
      </w:pPr>
      <w:r>
        <w:rPr>
          <w:color w:val="000000"/>
        </w:rPr>
        <w:t>III. What Elite Competitive Gaming Actually Demands</w:t>
      </w:r>
    </w:p>
    <w:p w14:paraId="4458F4E1" w14:textId="77777777" w:rsidR="002E4C15" w:rsidRDefault="00000000">
      <w:r>
        <w:t>Elite play is not one skill. It is a stack of skills operating at once under time pressure, uncertainty, fatigue and team constraints. Before biology can be mapped onto outcomes, that stack has to be described accurately. Across FPS, FGC, MOBAs and RTS, the recurring demands include:</w:t>
      </w:r>
    </w:p>
    <w:p w14:paraId="23B73E45" w14:textId="77777777" w:rsidR="002E4C15" w:rsidRDefault="00000000">
      <w:pPr>
        <w:pStyle w:val="ListBullet"/>
      </w:pPr>
      <w:r>
        <w:lastRenderedPageBreak/>
        <w:t>rapid visuomotor precision: aiming, flicks, recoil control, skillshots, kiting, and precise input execution;</w:t>
      </w:r>
    </w:p>
    <w:p w14:paraId="47DCB16F" w14:textId="77777777" w:rsidR="002E4C15" w:rsidRDefault="00000000">
      <w:pPr>
        <w:pStyle w:val="ListBullet"/>
      </w:pPr>
      <w:r>
        <w:t>3D spatial reasoning and mental rotation: positioning, trajectory prediction, map orientation, and army control;</w:t>
      </w:r>
    </w:p>
    <w:p w14:paraId="788FDD64" w14:textId="77777777" w:rsidR="002E4C15" w:rsidRDefault="00000000">
      <w:pPr>
        <w:pStyle w:val="ListBullet"/>
      </w:pPr>
      <w:r>
        <w:t>spatial working memory and multiple-object tracking: tracking enemies, cooldowns, resources, hidden information, and scouting states;</w:t>
      </w:r>
    </w:p>
    <w:p w14:paraId="422D3F03" w14:textId="77777777" w:rsidR="002E4C15" w:rsidRDefault="00000000">
      <w:pPr>
        <w:pStyle w:val="ListBullet"/>
      </w:pPr>
      <w:r>
        <w:t>concurrent multitasking under cognitive load: executing micro while managing macro, communication, economy, and positioning;</w:t>
      </w:r>
    </w:p>
    <w:p w14:paraId="5CD72F54" w14:textId="77777777" w:rsidR="002E4C15" w:rsidRDefault="00000000">
      <w:pPr>
        <w:pStyle w:val="ListBullet"/>
      </w:pPr>
      <w:r>
        <w:t>temporal precision and sequential execution: counter-strafing, animation cancels, frame-perfect inputs, ability chaining, and high-APM micro;</w:t>
      </w:r>
    </w:p>
    <w:p w14:paraId="463F902B" w14:textId="77777777" w:rsidR="002E4C15" w:rsidRDefault="00000000">
      <w:pPr>
        <w:pStyle w:val="ListBullet"/>
      </w:pPr>
      <w:r>
        <w:t>sustained vigilance and cognitive endurance across long sessions and multi-day events;</w:t>
      </w:r>
    </w:p>
    <w:p w14:paraId="0F8A959E" w14:textId="77777777" w:rsidR="002E4C15" w:rsidRDefault="00000000">
      <w:pPr>
        <w:pStyle w:val="ListBullet"/>
      </w:pPr>
      <w:r>
        <w:t>probabilistic decision-making and pattern recognition in partially observable state spaces;</w:t>
      </w:r>
    </w:p>
    <w:p w14:paraId="529A99A0" w14:textId="77777777" w:rsidR="002E4C15" w:rsidRDefault="00000000">
      <w:pPr>
        <w:pStyle w:val="ListBullet"/>
      </w:pPr>
      <w:r>
        <w:t>deliberate learning and skill compression: aim trainers, VOD/demo review, coaching, guides, scrims, ranked ladders, lab work, tournament reps, and repeated prediction-error feedback that turn raw execution into stable gamesense and elite-ready skill.</w:t>
      </w:r>
    </w:p>
    <w:p w14:paraId="1004770E" w14:textId="77777777" w:rsidR="002E4C15" w:rsidRDefault="00000000">
      <w:r>
        <w:t>The demands collide in real time. In a CS2 or Valorant bomb-site retake, a player may be aiming while processing rotation audio, tracking enemies through smoke, calling utility and managing the round economy. In fighting games, the same pressure appears in narrow punish windows, frame traps and conditioning layers. In MOBAs, micro execution runs beside wave state, jungle tracking, objective timing and cooldown economy. In RTS, army micro, production, expansions, tech and fog-of-war inference compete for the same attention.</w:t>
      </w:r>
    </w:p>
    <w:p w14:paraId="16580518" w14:textId="77777777" w:rsidR="002E4C15" w:rsidRDefault="00000000">
      <w:r>
        <w:t>The relative weighting differs by genre. FPS titles emphasize aim, tracking, peeking, and time-to-first-shot. FGC emphasizes temporal precision, reaction-option selection, and sequential execution. MOBAs emphasize spatial working memory, resource timing, cooldown tracking, and teamfight pattern recognition. RTS emphasizes multitasking, macro-micro coordination, and extreme action density. But the overlap is large enough that the same extreme-tail logic applies across the major high-selection genres.</w:t>
      </w:r>
    </w:p>
    <w:p w14:paraId="49C81540" w14:textId="77777777" w:rsidR="008B7F88" w:rsidRDefault="00000000">
      <w:pPr>
        <w:spacing w:after="0"/>
      </w:pPr>
      <w:r>
        <w:t>The Unified Model is not claiming that all esports reward the same skills equally; it claims that elite performance across genres emerges from the same layered developmental architecture, with different games assigning different weights to psychomotor capacity, training type, perceptual compression, strategic cognition, teamwork, psychology, and execution. Elite esports performance emerges when psychomotor capacity, psychological persistence, deliberate practice, and feedback-dense competitive exposure are converted into compressed predictive expertise under funnel selection.</w:t>
      </w:r>
    </w:p>
    <w:tbl>
      <w:tblPr>
        <w:tblStyle w:val="LightShading-Accent1"/>
        <w:tblW w:type="auto" w:w="0"/>
        <w:jc w:val="center"/>
        <w:tblLayout w:type="fixed"/>
        <w:tblLook w:firstColumn="1" w:firstRow="1" w:lastColumn="0" w:lastRow="0" w:noHBand="0" w:noVBand="1" w:val="04A0"/>
      </w:tblPr>
      <w:tblGrid>
        <w:gridCol w:w="3360"/>
        <w:gridCol w:w="3360"/>
        <w:gridCol w:w="3360"/>
      </w:tblGrid>
      <w:tr>
        <w:tc>
          <w:tcPr>
            <w:tcW w:type="dxa" w:w="10008"/>
            <w:vAlign w:val="center"/>
            <w:gridSpan w:val="3"/>
            <w:tcMar>
              <w:top w:w="100" w:type="dxa"/>
              <w:start w:w="120" w:type="dxa"/>
              <w:bottom w:w="100" w:type="dxa"/>
              <w:end w:w="120" w:type="dxa"/>
            </w:tcMar>
            <w:shd w:fill="17365D"/>
          </w:tcPr>
          <w:p>
            <w:pPr>
              <w:jc w:val="center"/>
            </w:pPr>
            <w:r>
              <w:rPr>
                <w:b/>
                <w:sz w:val="24"/>
                <w:color w:val="FFFFFF"/>
              </w:rPr>
              <w:t>Unified Model of Elite Esports Performance</w:t>
            </w:r>
          </w:p>
        </w:tc>
      </w:tr>
      <w:tr>
        <w:tc>
          <w:tcPr>
            <w:tcW w:type="dxa" w:w="1800"/>
            <w:vAlign w:val="center"/>
            <w:tcMar>
              <w:top w:w="100" w:type="dxa"/>
              <w:start w:w="120" w:type="dxa"/>
              <w:bottom w:w="100" w:type="dxa"/>
              <w:end w:w="120" w:type="dxa"/>
            </w:tcMar>
            <w:shd w:fill="D9EAF7"/>
          </w:tcPr>
          <w:p>
            <w:r>
              <w:rPr>
                <w:b/>
              </w:rPr>
              <w:t>Layer</w:t>
            </w:r>
          </w:p>
        </w:tc>
        <w:tc>
          <w:tcPr>
            <w:tcW w:type="dxa" w:w="4680"/>
            <w:vAlign w:val="center"/>
            <w:tcMar>
              <w:top w:w="100" w:type="dxa"/>
              <w:start w:w="120" w:type="dxa"/>
              <w:bottom w:w="100" w:type="dxa"/>
              <w:end w:w="120" w:type="dxa"/>
            </w:tcMar>
            <w:shd w:fill="D9EAF7"/>
          </w:tcPr>
          <w:p>
            <w:r>
              <w:rPr>
                <w:b/>
              </w:rPr>
              <w:t>What it does</w:t>
            </w:r>
          </w:p>
        </w:tc>
        <w:tc>
          <w:tcPr>
            <w:tcW w:type="dxa" w:w="3528"/>
            <w:vAlign w:val="center"/>
            <w:tcMar>
              <w:top w:w="100" w:type="dxa"/>
              <w:start w:w="120" w:type="dxa"/>
              <w:bottom w:w="100" w:type="dxa"/>
              <w:end w:w="120" w:type="dxa"/>
            </w:tcMar>
            <w:shd w:fill="D9EAF7"/>
          </w:tcPr>
          <w:p>
            <w:r>
              <w:rPr>
                <w:b/>
              </w:rPr>
              <w:t>What must be tested</w:t>
            </w:r>
          </w:p>
        </w:tc>
      </w:tr>
      <w:tr>
        <w:tc>
          <w:tcPr>
            <w:tcW w:type="dxa" w:w="1800"/>
            <w:vAlign w:val="center"/>
            <w:tcMar>
              <w:top w:w="100" w:type="dxa"/>
              <w:start w:w="120" w:type="dxa"/>
              <w:bottom w:w="100" w:type="dxa"/>
              <w:end w:w="120" w:type="dxa"/>
            </w:tcMar>
          </w:tcPr>
          <w:p>
            <w:r>
              <w:rPr>
                <w:b/>
              </w:rPr>
              <w:t>1. Baseline capacity</w:t>
            </w:r>
          </w:p>
        </w:tc>
        <w:tc>
          <w:tcPr>
            <w:tcW w:type="dxa" w:w="4680"/>
            <w:vAlign w:val="center"/>
            <w:tcMar>
              <w:top w:w="100" w:type="dxa"/>
              <w:start w:w="120" w:type="dxa"/>
              <w:bottom w:w="100" w:type="dxa"/>
              <w:end w:w="120" w:type="dxa"/>
            </w:tcMar>
          </w:tcPr>
          <w:p>
            <w:r>
              <w:t>Psychomotor and visuospatial capacities relevant to high-speed play.</w:t>
            </w:r>
          </w:p>
        </w:tc>
        <w:tc>
          <w:tcPr>
            <w:tcW w:type="dxa" w:w="3528"/>
            <w:vAlign w:val="center"/>
            <w:tcMar>
              <w:top w:w="100" w:type="dxa"/>
              <w:start w:w="120" w:type="dxa"/>
              <w:bottom w:w="100" w:type="dxa"/>
              <w:end w:w="120" w:type="dxa"/>
            </w:tcMar>
          </w:tcPr>
          <w:p>
            <w:r>
              <w:t>Do measured traits predict later competitive output beyond practice and opportunity?</w:t>
            </w:r>
          </w:p>
        </w:tc>
      </w:tr>
      <w:tr>
        <w:tc>
          <w:tcPr>
            <w:tcW w:type="dxa" w:w="1800"/>
            <w:vAlign w:val="center"/>
            <w:tcMar>
              <w:top w:w="100" w:type="dxa"/>
              <w:start w:w="120" w:type="dxa"/>
              <w:bottom w:w="100" w:type="dxa"/>
              <w:end w:w="120" w:type="dxa"/>
            </w:tcMar>
          </w:tcPr>
          <w:p>
            <w:r>
              <w:rPr>
                <w:b/>
              </w:rPr>
              <w:t>2. Training &amp; exposure</w:t>
            </w:r>
          </w:p>
        </w:tc>
        <w:tc>
          <w:tcPr>
            <w:tcW w:type="dxa" w:w="4680"/>
            <w:vAlign w:val="center"/>
            <w:tcMar>
              <w:top w:w="100" w:type="dxa"/>
              <w:start w:w="120" w:type="dxa"/>
              <w:bottom w:w="100" w:type="dxa"/>
              <w:end w:w="120" w:type="dxa"/>
            </w:tcMar>
          </w:tcPr>
          <w:p>
            <w:r>
              <w:t>Practice, coaching, feedback and opportunity convert capacity into developed skill.</w:t>
            </w:r>
          </w:p>
        </w:tc>
        <w:tc>
          <w:tcPr>
            <w:tcW w:type="dxa" w:w="3528"/>
            <w:vAlign w:val="center"/>
            <w:tcMar>
              <w:top w:w="100" w:type="dxa"/>
              <w:start w:w="120" w:type="dxa"/>
              <w:bottom w:w="100" w:type="dxa"/>
              <w:end w:w="120" w:type="dxa"/>
            </w:tcMar>
          </w:tcPr>
          <w:p>
            <w:r>
              <w:t>How do dose, quality, access and dropout shape learning trajectories?</w:t>
            </w:r>
          </w:p>
        </w:tc>
      </w:tr>
      <w:tr>
        <w:tc>
          <w:tcPr>
            <w:tcW w:type="dxa" w:w="1800"/>
            <w:vAlign w:val="center"/>
            <w:tcMar>
              <w:top w:w="100" w:type="dxa"/>
              <w:start w:w="120" w:type="dxa"/>
              <w:bottom w:w="100" w:type="dxa"/>
              <w:end w:w="120" w:type="dxa"/>
            </w:tcMar>
          </w:tcPr>
          <w:p>
            <w:r>
              <w:rPr>
                <w:b/>
              </w:rPr>
              <w:t>3. Gamesense</w:t>
            </w:r>
          </w:p>
        </w:tc>
        <w:tc>
          <w:tcPr>
            <w:tcW w:type="dxa" w:w="4680"/>
            <w:vAlign w:val="center"/>
            <w:tcMar>
              <w:top w:w="100" w:type="dxa"/>
              <w:start w:w="120" w:type="dxa"/>
              <w:bottom w:w="100" w:type="dxa"/>
              <w:end w:w="120" w:type="dxa"/>
            </w:tcMar>
          </w:tcPr>
          <w:p>
            <w:r>
              <w:t>Experience compresses into predictive models, faster heuristics and role-specific expertise.</w:t>
            </w:r>
          </w:p>
        </w:tc>
        <w:tc>
          <w:tcPr>
            <w:tcW w:type="dxa" w:w="3528"/>
            <w:vAlign w:val="center"/>
            <w:tcMar>
              <w:top w:w="100" w:type="dxa"/>
              <w:start w:w="120" w:type="dxa"/>
              <w:bottom w:w="100" w:type="dxa"/>
              <w:end w:w="120" w:type="dxa"/>
            </w:tcMar>
          </w:tcPr>
          <w:p>
            <w:r>
              <w:t>Which traits and training conditions improve prediction, adaptation and decision quality?</w:t>
            </w:r>
          </w:p>
        </w:tc>
      </w:tr>
      <w:tr>
        <w:tc>
          <w:tcPr>
            <w:tcW w:type="dxa" w:w="1800"/>
            <w:vAlign w:val="center"/>
            <w:tcMar>
              <w:top w:w="100" w:type="dxa"/>
              <w:start w:w="120" w:type="dxa"/>
              <w:bottom w:w="100" w:type="dxa"/>
              <w:end w:w="120" w:type="dxa"/>
            </w:tcMar>
          </w:tcPr>
          <w:p>
            <w:r>
              <w:rPr>
                <w:b/>
              </w:rPr>
              <w:t>4. Repeated selection</w:t>
            </w:r>
          </w:p>
        </w:tc>
        <w:tc>
          <w:tcPr>
            <w:tcW w:type="dxa" w:w="4680"/>
            <w:vAlign w:val="center"/>
            <w:tcMar>
              <w:top w:w="100" w:type="dxa"/>
              <w:start w:w="120" w:type="dxa"/>
              <w:bottom w:w="100" w:type="dxa"/>
              <w:end w:w="120" w:type="dxa"/>
            </w:tcMar>
          </w:tcPr>
          <w:p>
            <w:r>
              <w:t>The funnel repeatedly conditions on performance, persistence, role fit and context.</w:t>
            </w:r>
          </w:p>
        </w:tc>
        <w:tc>
          <w:tcPr>
            <w:tcW w:type="dxa" w:w="3528"/>
            <w:vAlign w:val="center"/>
            <w:tcMar>
              <w:top w:w="100" w:type="dxa"/>
              <w:start w:w="120" w:type="dxa"/>
              <w:bottom w:w="100" w:type="dxa"/>
              <w:end w:w="120" w:type="dxa"/>
            </w:tcMar>
          </w:tcPr>
          <w:p>
            <w:r>
              <w:t>Does divergence increase, shrink or remain stable across measured stage transitions?</w:t>
            </w:r>
          </w:p>
        </w:tc>
      </w:tr>
      <w:tr>
        <w:tc>
          <w:tcPr>
            <w:tcW w:type="dxa" w:w="1800"/>
            <w:vAlign w:val="center"/>
            <w:tcMar>
              <w:top w:w="100" w:type="dxa"/>
              <w:start w:w="120" w:type="dxa"/>
              <w:bottom w:w="100" w:type="dxa"/>
              <w:end w:w="120" w:type="dxa"/>
            </w:tcMar>
          </w:tcPr>
          <w:p>
            <w:r>
              <w:rPr>
                <w:b/>
              </w:rPr>
              <w:t>5. Elite endpoint</w:t>
            </w:r>
          </w:p>
        </w:tc>
        <w:tc>
          <w:tcPr>
            <w:tcW w:type="dxa" w:w="4680"/>
            <w:vAlign w:val="center"/>
            <w:tcMar>
              <w:top w:w="100" w:type="dxa"/>
              <w:start w:w="120" w:type="dxa"/>
              <w:bottom w:w="100" w:type="dxa"/>
              <w:end w:w="120" w:type="dxa"/>
            </w:tcMar>
          </w:tcPr>
          <w:p>
            <w:r>
              <w:t>Sustained role-relative performance against the strongest declared opposition.</w:t>
            </w:r>
          </w:p>
        </w:tc>
        <w:tc>
          <w:tcPr>
            <w:tcW w:type="dxa" w:w="3528"/>
            <w:vAlign w:val="center"/>
            <w:tcMar>
              <w:top w:w="100" w:type="dxa"/>
              <w:start w:w="120" w:type="dxa"/>
              <w:bottom w:w="100" w:type="dxa"/>
              <w:end w:w="120" w:type="dxa"/>
            </w:tcMar>
          </w:tcPr>
          <w:p>
            <w:r>
              <w:t>Can a calibrated model forecast held-out elite frequencies better than an opportunity-only comparator?</w:t>
            </w:r>
          </w:p>
        </w:tc>
      </w:tr>
    </w:tbl>
    <w:p w14:paraId="111A1568" w14:textId="77777777" w:rsidR="002E4C15" w:rsidRDefault="00000000">
      <w:pPr>
        <w:pStyle w:val="Caption"/>
        <w:keepLines/>
        <w:spacing w:before="120" w:after="200"/>
        <w:jc w:val="center"/>
      </w:pPr>
      <w:r>
        <w:t>Figure 1. Unified model of elite esports performance as a layered capacity, training, learning and selection system. Each row states a proposed mechanism and the test needed to connect it to the next layer. Repeated selection may amplify, preserve or reduce group differences; the direction and magnitude are predictions to estimate, not built-in coefficients.</w:t>
      </w:r>
    </w:p>
    <w:p w14:paraId="30B40036" w14:textId="77777777" w:rsidR="002E4C15" w:rsidRDefault="00000000">
      <w:pPr>
        <w:pStyle w:val="Heading1"/>
      </w:pPr>
      <w:r>
        <w:rPr>
          <w:color w:val="000000"/>
        </w:rPr>
        <w:t>IV. Core Biological Substrate: Load-Bearing Traits and Supporting Mechanisms</w:t>
      </w:r>
    </w:p>
    <w:p>
      <w:pPr/>
      <w:r>
        <w:t>Section IV at a glance: the core tests concern reaction under concurrent load, spatial processing, dynamic visuomotor tracking, spatial working memory and multiple-object tracking, divided attention, and temporal precision. Proprioceptive calibration, auditory spatial updating and cognitive endurance are supporting task demands. Competitive orientation, practice intensity and persistence sit upstream in entry, development and retention.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Pr>
                <w:rFonts w:ascii="Arial" w:hAnsi="Arial" w:eastAsia="Arial"/>
                <w:b/>
                <w:sz w:val="18"/>
              </w:rPr>
              <w:t>Layer</w:t>
            </w:r>
          </w:p>
        </w:tc>
        <w:tc>
          <w:tcPr>
            <w:tcW w:type="dxa" w:w="3360"/>
            <w:vAlign w:val="center"/>
            <w:shd w:fill="D9EAF7"/>
          </w:tcPr>
          <w:p>
            <w:pPr>
              <w:spacing w:after="0"/>
            </w:pPr>
            <w:r>
              <w:rPr>
                <w:rFonts w:ascii="Arial" w:hAnsi="Arial" w:eastAsia="Arial"/>
                <w:b/>
                <w:sz w:val="18"/>
              </w:rPr>
              <w:t>Variables</w:t>
            </w:r>
          </w:p>
        </w:tc>
        <w:tc>
          <w:tcPr>
            <w:tcW w:type="dxa" w:w="3360"/>
            <w:vAlign w:val="center"/>
            <w:shd w:fill="D9EAF7"/>
          </w:tcPr>
          <w:p>
            <w:pPr>
              <w:spacing w:after="0"/>
            </w:pPr>
            <w:r>
              <w:rPr>
                <w:rFonts w:ascii="Arial" w:hAnsi="Arial" w:eastAsia="Arial"/>
                <w:b/>
                <w:sz w:val="18"/>
              </w:rPr>
              <w:t>Role in the model</w:t>
            </w:r>
          </w:p>
        </w:tc>
      </w:tr>
      <w:tr>
        <w:tc>
          <w:tcPr>
            <w:tcW w:type="dxa" w:w="3360"/>
            <w:vAlign w:val="top"/>
          </w:tcPr>
          <w:p>
            <w:pPr>
              <w:spacing w:after="0"/>
            </w:pPr>
            <w:r>
              <w:rPr>
                <w:rFonts w:ascii="Arial" w:hAnsi="Arial" w:eastAsia="Arial"/>
                <w:b w:val="0"/>
                <w:sz w:val="18"/>
              </w:rPr>
              <w:t>Core tests</w:t>
            </w:r>
          </w:p>
        </w:tc>
        <w:tc>
          <w:tcPr>
            <w:tcW w:type="dxa" w:w="3360"/>
            <w:vAlign w:val="top"/>
          </w:tcPr>
          <w:p>
            <w:pPr>
              <w:spacing w:after="0"/>
            </w:pPr>
            <w:r>
              <w:rPr>
                <w:rFonts w:ascii="Arial" w:hAnsi="Arial" w:eastAsia="Arial"/>
                <w:b w:val="0"/>
                <w:sz w:val="18"/>
              </w:rPr>
              <w:t>Reaction under concurrent load; spatial processing; dynamic tracking; spatial working memory/MOT; divided attention; temporal precision</w:t>
            </w:r>
          </w:p>
        </w:tc>
        <w:tc>
          <w:tcPr>
            <w:tcW w:type="dxa" w:w="3360"/>
            <w:vAlign w:val="top"/>
          </w:tcPr>
          <w:p>
            <w:pPr>
              <w:spacing w:after="0"/>
            </w:pPr>
            <w:r>
              <w:rPr>
                <w:rFonts w:ascii="Arial" w:hAnsi="Arial" w:eastAsia="Arial"/>
                <w:b w:val="0"/>
                <w:sz w:val="18"/>
              </w:rPr>
              <w:t>Directly testable components. Some have adjacent sex-difference evidence; others remain predictions.</w:t>
            </w:r>
          </w:p>
        </w:tc>
      </w:tr>
      <w:tr>
        <w:tc>
          <w:tcPr>
            <w:tcW w:type="dxa" w:w="3360"/>
            <w:vAlign w:val="top"/>
          </w:tcPr>
          <w:p>
            <w:pPr>
              <w:spacing w:after="0"/>
            </w:pPr>
            <w:r>
              <w:rPr>
                <w:rFonts w:ascii="Arial" w:hAnsi="Arial" w:eastAsia="Arial"/>
                <w:b w:val="0"/>
                <w:sz w:val="18"/>
              </w:rPr>
              <w:t>Supporting task demands</w:t>
            </w:r>
          </w:p>
        </w:tc>
        <w:tc>
          <w:tcPr>
            <w:tcW w:type="dxa" w:w="3360"/>
            <w:vAlign w:val="top"/>
          </w:tcPr>
          <w:p>
            <w:pPr>
              <w:spacing w:after="0"/>
            </w:pPr>
            <w:r>
              <w:rPr>
                <w:rFonts w:ascii="Arial" w:hAnsi="Arial" w:eastAsia="Arial"/>
                <w:b w:val="0"/>
                <w:sz w:val="18"/>
              </w:rPr>
              <w:t>Proprioceptive calibration; auditory spatial updating; cognitive endurance</w:t>
            </w:r>
          </w:p>
        </w:tc>
        <w:tc>
          <w:tcPr>
            <w:tcW w:type="dxa" w:w="3360"/>
            <w:vAlign w:val="top"/>
          </w:tcPr>
          <w:p>
            <w:pPr>
              <w:spacing w:after="0"/>
            </w:pPr>
            <w:r>
              <w:rPr>
                <w:rFonts w:ascii="Arial" w:hAnsi="Arial" w:eastAsia="Arial"/>
                <w:b w:val="0"/>
                <w:sz w:val="18"/>
              </w:rPr>
              <w:t>Ecologically relevant to execution, but not load-bearing evidence of group differences.</w:t>
            </w:r>
          </w:p>
        </w:tc>
      </w:tr>
      <w:tr>
        <w:tc>
          <w:tcPr>
            <w:tcW w:type="dxa" w:w="3360"/>
            <w:vAlign w:val="top"/>
          </w:tcPr>
          <w:p>
            <w:pPr>
              <w:spacing w:after="0"/>
            </w:pPr>
            <w:r>
              <w:rPr>
                <w:rFonts w:ascii="Arial" w:hAnsi="Arial" w:eastAsia="Arial"/>
                <w:b w:val="0"/>
                <w:sz w:val="18"/>
              </w:rPr>
              <w:t>Upstream / developmental</w:t>
            </w:r>
          </w:p>
        </w:tc>
        <w:tc>
          <w:tcPr>
            <w:tcW w:type="dxa" w:w="3360"/>
            <w:vAlign w:val="top"/>
          </w:tcPr>
          <w:p>
            <w:pPr>
              <w:spacing w:after="0"/>
            </w:pPr>
            <w:r>
              <w:rPr>
                <w:rFonts w:ascii="Arial" w:hAnsi="Arial" w:eastAsia="Arial"/>
                <w:b w:val="0"/>
                <w:sz w:val="18"/>
              </w:rPr>
              <w:t>Competitive orientation; practice intensity; persistence</w:t>
            </w:r>
          </w:p>
        </w:tc>
        <w:tc>
          <w:tcPr>
            <w:tcW w:type="dxa" w:w="3360"/>
            <w:vAlign w:val="top"/>
          </w:tcPr>
          <w:p>
            <w:pPr>
              <w:spacing w:after="0"/>
            </w:pPr>
            <w:r>
              <w:rPr>
                <w:rFonts w:ascii="Arial" w:hAnsi="Arial" w:eastAsia="Arial"/>
                <w:b w:val="0"/>
                <w:sz w:val="18"/>
              </w:rPr>
              <w:t>Affect entry, training and retention rather than supplying direct elite-performance coefficients.</w:t>
            </w:r>
          </w:p>
        </w:tc>
      </w:tr>
    </w:tbl>
    <w:p>
      <w:pPr/>
      <w:r>
        <w:t>Task relevance is not evidence of a sex difference, and a sex difference is not evidence of an elite-esports effect. Mental rotation and joystick tracking supply concrete adjacent findings; sex-by-load effects, trained-tail persistence and several other links remain predictions. The categories above keep those evidentiary roles separate before the paper turns to individual mechanisms.</w:t>
      </w:r>
    </w:p>
    <w:p>
      <w:pPr/>
      <w:r>
        <w:t>A behavioral difference is not a biological explanation. The causal chain has to be earned: measured traits must predict game performance; their distributions must survive or change under training in the predicted way; and the resulting joint selection must improve prediction of the elite outcome. Each link can fail separately.</w:t>
      </w:r>
    </w:p>
    <w:p>
      <w:pPr>
        <w:pStyle w:val="Heading2"/>
      </w:pPr>
      <w:r>
        <w:rPr>
          <w:color w:val="000000"/>
        </w:rPr>
        <w:t>A. Reaction time under cognitive load</w:t>
      </w:r>
    </w:p>
    <w:p>
      <w:pPr/>
      <w:r>
        <w:t>At elite speed, milliseconds can matter. An illustrative 20–50 ms timing edge can decide who fires first on a mirrored angle or converts a reaction peek, but it is not an estimate of a trained male-female esports gap. Fighting-game punish windows make the same point: competitive reaction occurs while the player is also tracking space, audio, teammates and tactical obligations.</w:t>
      </w:r>
    </w:p>
    <w:p>
      <w:pPr/>
      <w:r>
        <w:t>Der and Deary (2006) measured simple and four-choice reaction time in a large general adult sample; Silverman (2006) reviewed simple visual reaction time. Neither study measured simultaneous aim, communication and tactical load in trained esports players. The model predicts that relevant timing differences may remain consequential, or increase, under concurrent load. That sex-by-load interaction requires its own experiment rather than being attributed to these sources.</w:t>
      </w:r>
    </w:p>
    <w:p>
      <w:pPr>
        <w:pStyle w:val="Heading2"/>
      </w:pPr>
      <w:r>
        <w:rPr>
          <w:color w:val="000000"/>
        </w:rPr>
        <w:t>B. Visuospatial processing and mental rotation</w:t>
      </w:r>
    </w:p>
    <w:p>
      <w:pPr/>
      <w:r>
        <w:t>Mental rotation shows a replicated average male advantage across many spatial tasks (Voyer et al., 1995). Jacobs et al. (2024) found a male advantage in accuracy on an untimed immersive VR test, without a response-time difference. That supports a spatial-accuracy premise, not faster in-game decisions. Training can improve spatial performance: whether a difference persists in the trained competitive tail is a separate prediction, not a result supplied by either study.</w:t>
      </w:r>
    </w:p>
    <w:p>
      <w:pPr>
        <w:pStyle w:val="Heading2"/>
      </w:pPr>
      <w:r>
        <w:rPr>
          <w:color w:val="000000"/>
        </w:rPr>
        <w:t>C. Dynamic visuomotor tracking and aiming precision</w:t>
      </w:r>
    </w:p>
    <w:p>
      <w:pPr/>
      <w:r>
        <w:t>Aim is prediction coupled to movement. Tracking a strafing opponent through partial visibility while counter-strafing, controlling recoil and preparing for a second target is not a generic fine-motor task; it is a coupled visual-motor prediction problem. In MOBAs and RTS, the same substrate appears as kiting, skillshot accuracy, unit focus-fire, army splitting and micro-adjustment under simultaneous macro pressure.</w:t>
      </w:r>
    </w:p>
    <w:p>
      <w:pPr/>
      <w:r>
        <w:t>Mathew, Masson and Danion (2020) found male advantages in joystick tracking across two samples totaling 127 participants: tracking-error effects were d = 0.69 and 0.77, and temporal-lag effects were d = 0.98 and 0.95. Eye and hand movement kinematics did not explain the difference; the authors proposed a difference in the decisional process linking vision and action. Gaming experience was not measured. The result motivates testing perception–action coupling in esports, but ten baseline trials do not establish a low trainability ceiling.</w:t>
      </w:r>
    </w:p>
    <w:p>
      <w:pPr>
        <w:pStyle w:val="Heading2"/>
      </w:pPr>
      <w:r>
        <w:rPr>
          <w:color w:val="000000"/>
        </w:rPr>
        <w:t>D. Spatial working memory and multiple-object tracking</w:t>
      </w:r>
    </w:p>
    <w:p>
      <w:pPr/>
      <w:r>
        <w:t>Gamesense often involves maintaining estimates of several agents and hidden states, updating them from sound, utility, cooldowns, wave state and teammate information. Spatial working memory and tracking are plausible contributors to that process. A laboratory multiple-object tracking task isolates one component; it does not measure the whole learned skill of gamesense.</w:t>
      </w:r>
    </w:p>
    <w:p>
      <w:pPr/>
      <w:r>
        <w:t>Trick et al. (2005) provides a developmental tracking-task reference, not evidence of an adult male advantage. Jin, Zhao and Zhu (2023) found a sex-by-sport interaction: male tracking accuracy was higher among swimmers and non-athletes, while basketball players showed no significant sex difference. That null is not an equivalence test, and the cross-sectional design does not isolate training causally. It does rule out describing this study as a sport-independent male advantage.</w:t>
      </w:r>
    </w:p>
    <w:p>
      <w:pPr>
        <w:pStyle w:val="Heading2"/>
      </w:pPr>
      <w:r>
        <w:rPr>
          <w:color w:val="000000"/>
        </w:rPr>
        <w:t>E. Divided attention and useful field of view under load</w:t>
      </w:r>
    </w:p>
    <w:p>
      <w:pPr/>
      <w:r>
        <w:t>Competitive play rarely allows single-task perception. Players aim while listening, communicating, monitoring a minimap, reading utility, and planning next actions. Useful field of view under divided attention is more relevant than visual tasks performed in isolation. The key claim here is inferential rather than settled by esports-specific telemetry: if male advantages emerge specifically under divided-attention load, that is the condition most relevant to actual games.</w:t>
      </w:r>
    </w:p>
    <w:p>
      <w:pPr>
        <w:keepNext w:val="0"/>
        <w:pageBreakBefore w:val="0"/>
      </w:pPr>
      <w:r>
        <w:t>The adjacent evidence is task-specific. Mäntylä (2013) found a male advantage in a multitasking arrangement involving spatial coordination; the difference was statistically mediated by spatial ability. Hirsch, Koch and Karbach (2019), using standard task-switching and dual-task paradigms with 96 participants, found substantial performance costs but no significant sex difference across ten cost measures, with Bayesian analyses generally favoring the null. These results motivate testing spatially demanding concurrent execution rather than asserting a universal male multitasking advantage. A sex-specific exponential processing penalty is not an established result of this literature.</w:t>
      </w:r>
    </w:p>
    <w:p>
      <w:pPr>
        <w:pStyle w:val="Heading2"/>
      </w:pPr>
      <w:r>
        <w:rPr>
          <w:color w:val="000000"/>
        </w:rPr>
        <w:t>F. Temporal precision and rapid sequential execution</w:t>
      </w:r>
    </w:p>
    <w:p>
      <w:pPr/>
      <w:r>
        <w:t>At the elite level, consistency is part of the ceiling. Temporal precision becomes visible wherever mistakes are discrete and unforgiving: a missed headshot after a quick peek, a mistimed runboost, a late parry, a dropped link, an animation cancel executed too late, or a high-APM sequence performed out of order. The difference between 90% and 99% reliability can determine which options are usable under pressure.</w:t>
      </w:r>
    </w:p>
    <w:p>
      <w:pPr/>
      <w:r>
        <w:t>Many competitive genres are decided by sub-second timing: quick peeks, flick shots, reactionary spray transfers, and target switching in CS/Valorant; skillshots and animation cancels in MOBAs; LMB/RMB + Dash + Melee-style Genji combos in Overwatch; 1-frame or narrow-input windows in fighting games; and high-APM micro in RTS. Temporal discrimination, coincidence-anticipation timing, and sequential motor consolidation are not the whole of performance, but they are part of the mechanical ceiling. This mechanism is especially important because it explains FGC, hero-shooter, MOBA, and RTS relevance without reducing all esports to FPS aiming.</w:t>
      </w:r>
    </w:p>
    <w:p>
      <w:pPr>
        <w:pStyle w:val="Heading2"/>
      </w:pPr>
      <w:r>
        <w:rPr>
          <w:color w:val="000000"/>
        </w:rPr>
        <w:t>G. Supporting mechanism: Proprioception and blind motor calibration</w:t>
      </w:r>
    </w:p>
    <w:p>
      <w:pPr/>
      <w:r>
        <w:t>Proprioception is moved here as a supporting performance mechanism rather than a primary differentiator. Elite input execution depends heavily on proprioception - the unconscious sense of limb position, movement, and force that allows precise actions without constant visual monitoring of the hand or input device. Players develop this through massive repetition in aim trainers and genre-specific drills, where the goal is calibrated muscle memory rather than raw speed alone. Direct sex-stratified elite-esports evidence remains limited, but the mechanism is too game-real to omit.</w:t>
      </w:r>
    </w:p>
    <w:p>
      <w:pPr/>
      <w:r>
        <w:t>This mechanism appears across all major competitive genres:</w:t>
      </w:r>
    </w:p>
    <w:p>
      <w:pPr>
        <w:pStyle w:val="ListBullet"/>
      </w:pPr>
      <w:r>
        <w:t>FPS: flick shots, tracking micro-adjustments, recoil control, counter-strafing, and quick-peek timing performed by feel. Dedicated aim trainers such as Kovaak's, Aim Lab, and Voltaic routines function as proprioceptive calibration drills.</w:t>
      </w:r>
    </w:p>
    <w:p>
      <w:pPr>
        <w:pStyle w:val="ListBullet"/>
      </w:pPr>
      <w:r>
        <w:t>MOBA: reactionary skillshots, flashes, animation cancels, and ability combos. Players do not keep their fingers consciously mapped to every key; they rely on spatial proprioceptive mapping for instant execution under pressure.</w:t>
      </w:r>
    </w:p>
    <w:p>
      <w:pPr>
        <w:pStyle w:val="ListBullet"/>
      </w:pPr>
      <w:r>
        <w:t>RTS: high-APM unit micro, army splitting, worker management, and rapid hotkey chaining while visual attention stays on the minimap, army position, or macro state.</w:t>
      </w:r>
    </w:p>
    <w:p>
      <w:pPr>
        <w:pStyle w:val="ListBullet"/>
      </w:pPr>
      <w:r>
        <w:t>FGC: frame-perfect inputs, option selects, execution chains, and precise analog-stick or pad movements.</w:t>
      </w:r>
    </w:p>
    <w:p>
      <w:pPr>
        <w:pStyle w:val="ListBullet"/>
      </w:pPr>
      <w:r>
        <w:t>Controller play: analog-stick modulation, trigger pressure, and button spacing executed almost entirely by feel during chaotic fights or combos.</w:t>
      </w:r>
    </w:p>
    <w:p>
      <w:pPr/>
      <w:r>
        <w:t>Superior proprioceptive calibration can contribute to lower input error rates, faster reactionary execution, and more consistent mechanical performance when visual attention must be split across multiple threats, teammates, the minimap, or economy state. Its status in the model is supporting: important to execution reliability, but not necessary by itself to establish the biological-plus-funnel thesis.</w:t>
      </w:r>
    </w:p>
    <w:p>
      <w:pPr>
        <w:pStyle w:val="Heading2"/>
      </w:pPr>
      <w:r>
        <w:rPr>
          <w:color w:val="000000"/>
        </w:rPr>
        <w:t>H. Supporting mechanism: Auditory spatial localization and sound-map updating</w:t>
      </w:r>
    </w:p>
    <w:p>
      <w:pPr/>
      <w:r>
        <w:t>Auditory spatial localization is also retained as a supporting mechanism. It is not as broadly studied in elite gaming populations as visual tracking or mental rotation, but it is ecologically central to tactical and arena shooters. In CS2, Valorant, Apex Legends, Rainbow Six Siege, and Overwatch, players continuously convert footsteps, reloads, ability sounds, weapon reports, and directional cues into a working 3D model of unseen opponents. That sound-map updating interacts with spatial working memory and gamesense: a player hears a cue, updates the mental map, predicts a route or timing window, and chooses a peek, rotation, utility throw, or target priority before the opponent appears. The claim is not that auditory localization explains the elite ceiling on its own; it is that sound-map updating is one of the high-load spatial inputs through which the psychomotor substrate is expressed.</w:t>
      </w:r>
    </w:p>
    <w:p w14:paraId="0B71DD9E" w14:textId="77777777" w:rsidR="002E4C15" w:rsidRDefault="00000000">
      <w:pPr>
        <w:pStyle w:val="Heading1"/>
      </w:pPr>
      <w:r>
        <w:rPr>
          <w:color w:val="000000"/>
        </w:rPr>
        <w:t>V. The Competitive Funnel and Extreme-Tail Compounding</w:t>
      </w:r>
    </w:p>
    <w:p>
      <w:pPr/>
      <w:r>
        <w:t>The funnel does two things: it develops players and it filters them. Reaching sustained elite-tail performance requires surviving repeated transitions in which mechanics, gamesense, practice quality, persistence, role fit and opportunity all matter. Entry into a Tier-1 or S-tier competition is one possible transition marker, not the endpoint by itself. The model does not assume that every stage adds an independent multiplier or that the sex ratio must widen at each step.</w:t>
      </w:r>
    </w:p>
    <w:p>
      <w:pPr/>
      <w:r>
        <w:t>Elite selection acts on a profile, not a single trait. If several capacities must each clear demanding thresholds, modest mean differences can compound at the joint tail. If strengths compensate for weaknesses, a weighted score produces a different ratio. The size of any amplification therefore depends on covariance and the actual selection rule; the mathematics cannot choose the rule for us.</w:t>
      </w:r>
    </w:p>
    <w:p>
      <w:pPr/>
      <w:r>
        <w:t>The funnel stages can be summarized as follows:</w:t>
      </w:r>
    </w:p>
    <w:p>
      <w:pPr>
        <w:pStyle w:val="ListBullet"/>
      </w:pPr>
      <w:r>
        <w:t>Casual / ranked play: a large initial pool with broad participation and highly variable intent.</w:t>
      </w:r>
    </w:p>
    <w:p>
      <w:pPr>
        <w:pStyle w:val="ListBullet"/>
      </w:pPr>
      <w:r>
        <w:t>High-ranked grinding and semi-pro: a sharp drop-off requiring sustained high-volume practice, consistency, and basic competitive competence.</w:t>
      </w:r>
    </w:p>
    <w:p>
      <w:pPr>
        <w:pStyle w:val="ListBullet"/>
      </w:pPr>
      <w:r>
        <w:t>Organized teams and Tier-2/Tier-3: a narrower filter demanding team coordination, coaching access, scrim discipline, role fit, and proven performance against strong opposition.</w:t>
      </w:r>
    </w:p>
    <w:p>
      <w:pPr>
        <w:pStyle w:val="ListBullet"/>
      </w:pPr>
      <w:r>
        <w:t>Sustained elite open performance: the narrowest outcome, defined by repeated standing among the best performers in a declared title, role and competitive field, not simply a place on a professional roster.</w:t>
      </w:r>
    </w:p>
    <w:p>
      <w:pPr/>
      <w:r>
        <w:t>Higher stages jointly select mechanics, gamesense, endurance, persistence, role fit and practice quality. Modest group differences can be amplified, but repeated stages may select the same capacities and cannot be treated as independent extra multipliers. The probability of reaching the final stage is the product of conditional transition probabilities given the previous stages and relevant history. Whether the sex ratio widens at each transition is an empirical question.</w:t>
      </w:r>
    </w:p>
    <w:p>
      <w:pPr/>
      <w:r>
        <w:t>This funnel operates across genres:</w:t>
      </w:r>
    </w:p>
    <w:p>
      <w:pPr>
        <w:pStyle w:val="ListBullet"/>
      </w:pPr>
      <w:r>
        <w:t>FPS titles heavily filter for mechanical precision, reactionary speed, tracking, peeking, recoil control, and sound-map updating.</w:t>
      </w:r>
    </w:p>
    <w:p>
      <w:pPr>
        <w:pStyle w:val="ListBullet"/>
      </w:pPr>
      <w:r>
        <w:t>MOBAs filter for strategic decision-making, team coordination under chaos, cooldown tracking, wave-state management, skillshot execution, and objective timing.</w:t>
      </w:r>
    </w:p>
    <w:p>
      <w:pPr>
        <w:pStyle w:val="ListBullet"/>
      </w:pPr>
      <w:r>
        <w:t>RTS games filter for extreme multitasking, information processing, macro/micro coordination, scouting interpretation, and high-APM execution.</w:t>
      </w:r>
    </w:p>
    <w:p>
      <w:pPr>
        <w:pStyle w:val="ListBullet"/>
      </w:pPr>
      <w:r>
        <w:t>Fighting games filter for execution consistency, reaction-option selection, matchup knowledge depth, mental-stack management, and pressure conversion.</w:t>
      </w:r>
    </w:p>
    <w:p>
      <w:pPr/>
      <w:r>
        <w:t>Figure 3 retains the joint-tail mechanism as an explicit illustration. It uses five equicorrelated normal traits, equal variances and equal starting pools, with assumed mean shifts of 0.3 or 0.5 standard deviations. All five traits must exceed a common threshold. This restrictive rule illustrates amplification and correlation sensitivity; it is not an empirical model of five established esports effects. A weighted composite or role-specific compensation can yield different ratios. Greater male variance should be added only as a separately sourced sensitivity analysis.</w:t>
      </w:r>
    </w:p>
    <w:p>
      <w:pPr>
        <w:keepNext w:val="0"/>
        <w:pageBreakBefore w:val="0"/>
      </w:pPr>
      <w:r>
        <w:t>A worked example makes the independence assumption explicit. Let female trait values be standard normal and male values have mean 0.3 and variance 1. Require every trait to exceed z = 2.33, measured from the female mean (approximately its top 1%, not a 3-SD threshold). For k independent traits, the qualifying-probability ratio is:</w:t>
      </w:r>
    </w:p>
    <w:p>
      <w:pPr>
        <w:keepNext w:val="0"/>
        <w:pageBreakBefore w:val="0"/>
        <w:jc w:val="center"/>
      </w:pPr>
      <w:r>
        <w:t>R(k) = {[1 − Φ(2.33 − 0.3)] / [1 − Φ(2.33)]}ᵏ</w:t>
      </w:r>
    </w:p>
    <w:p>
      <w:pPr>
        <w:keepNext w:val="0"/>
        <w:pageBreakBefore w:val="0"/>
        <w:jc w:val="center"/>
      </w:pPr>
      <w:r>
        <w:t>Here Φ is the standard normal cumulative distribution function. The single-trait probabilities are 0.009903 and 0.021178. Their ratio, 2.13855, is raised to the number of independent requirements. Table V1 adds equally correlated five-trait cases calculated by normal integration, using the same assumptions as Figure 3.</w:t>
      </w:r>
    </w:p>
    <w:p>
      <w:pPr>
        <w:keepNext/>
        <w:pageBreakBefore w:val="0"/>
        <w:jc w:val="center"/>
      </w:pPr>
      <w:r>
        <w:rPr>
          <w:i/>
          <w:sz w:val="18"/>
        </w:rPr>
        <w:t>Table V1. Illustrative joint-tail probabilities with d = 0.3 and a common threshold of 2.33.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584"/>
        <w:gridCol w:w="2304"/>
        <w:gridCol w:w="2304"/>
        <w:gridCol w:w="2016"/>
      </w:tblGrid>
      <w:tr>
        <w:trPr>
          <w:cantSplit/>
          <w:tblHeader/>
        </w:trPr>
        <w:tc>
          <w:tcPr>
            <w:tcW w:type="dxa" w:w="1008"/>
            <w:vAlign w:val="center"/>
            <w:shd w:fill="17354A"/>
            <w:tcMar>
              <w:top w:w="90" w:type="dxa"/>
              <w:bottom w:w="90" w:type="dxa"/>
              <w:left w:w="90" w:type="dxa"/>
              <w:right w:w="90" w:type="dxa"/>
            </w:tcMar>
          </w:tcPr>
          <w:p>
            <w:pPr>
              <w:spacing w:before="40" w:after="60" w:line="252" w:lineRule="auto"/>
              <w:jc w:val="center"/>
            </w:pPr>
            <w:r>
              <w:rPr>
                <w:rFonts w:ascii="Arial" w:hAnsi="Arial"/>
                <w:b/>
                <w:color w:val="FFFFFF"/>
                <w:sz w:val="18"/>
              </w:rPr>
              <w:t>Traits</w:t>
            </w:r>
          </w:p>
        </w:tc>
        <w:tc>
          <w:tcPr>
            <w:tcW w:type="dxa" w:w="1584"/>
            <w:vAlign w:val="center"/>
            <w:shd w:fill="17354A"/>
            <w:tcMar>
              <w:top w:w="90" w:type="dxa"/>
              <w:bottom w:w="90" w:type="dxa"/>
              <w:left w:w="90" w:type="dxa"/>
              <w:right w:w="90" w:type="dxa"/>
            </w:tcMar>
          </w:tcPr>
          <w:p>
            <w:pPr>
              <w:spacing w:before="40" w:after="60" w:line="252" w:lineRule="auto"/>
              <w:jc w:val="center"/>
            </w:pPr>
            <w:r>
              <w:rPr>
                <w:rFonts w:ascii="Arial" w:hAnsi="Arial"/>
                <w:b/>
                <w:color w:val="FFFFFF"/>
                <w:sz w:val="18"/>
              </w:rPr>
              <w:t>Pairwise ρ</w:t>
            </w:r>
          </w:p>
        </w:tc>
        <w:tc>
          <w:tcPr>
            <w:tcW w:type="dxa" w:w="2304"/>
            <w:vAlign w:val="center"/>
            <w:shd w:fill="17354A"/>
            <w:tcMar>
              <w:top w:w="90" w:type="dxa"/>
              <w:bottom w:w="90" w:type="dxa"/>
              <w:left w:w="90" w:type="dxa"/>
              <w:right w:w="90" w:type="dxa"/>
            </w:tcMar>
          </w:tcPr>
          <w:p>
            <w:pPr>
              <w:spacing w:before="40" w:after="60" w:line="252" w:lineRule="auto"/>
              <w:jc w:val="center"/>
            </w:pPr>
            <w:r>
              <w:rPr>
                <w:rFonts w:ascii="Arial" w:hAnsi="Arial"/>
                <w:b/>
                <w:color w:val="FFFFFF"/>
                <w:sz w:val="18"/>
              </w:rPr>
              <w:t>Female probability</w:t>
            </w:r>
          </w:p>
        </w:tc>
        <w:tc>
          <w:tcPr>
            <w:tcW w:type="dxa" w:w="2304"/>
            <w:vAlign w:val="center"/>
            <w:shd w:fill="17354A"/>
            <w:tcMar>
              <w:top w:w="90" w:type="dxa"/>
              <w:bottom w:w="90" w:type="dxa"/>
              <w:left w:w="90" w:type="dxa"/>
              <w:right w:w="90" w:type="dxa"/>
            </w:tcMar>
          </w:tcPr>
          <w:p>
            <w:pPr>
              <w:spacing w:before="40" w:after="60" w:line="252" w:lineRule="auto"/>
              <w:jc w:val="center"/>
            </w:pPr>
            <w:r>
              <w:rPr>
                <w:rFonts w:ascii="Arial" w:hAnsi="Arial"/>
                <w:b/>
                <w:color w:val="FFFFFF"/>
                <w:sz w:val="18"/>
              </w:rPr>
              <w:t>Male probability</w:t>
            </w:r>
          </w:p>
        </w:tc>
        <w:tc>
          <w:tcPr>
            <w:tcW w:type="dxa" w:w="2016"/>
            <w:vAlign w:val="center"/>
            <w:shd w:fill="17354A"/>
            <w:tcMar>
              <w:top w:w="90" w:type="dxa"/>
              <w:bottom w:w="90" w:type="dxa"/>
              <w:left w:w="90" w:type="dxa"/>
              <w:right w:w="90" w:type="dxa"/>
            </w:tcMar>
          </w:tcPr>
          <w:p>
            <w:pPr>
              <w:spacing w:before="40" w:after="60" w:line="252" w:lineRule="auto"/>
              <w:jc w:val="center"/>
            </w:pPr>
            <w:r>
              <w:rPr>
                <w:rFonts w:ascii="Arial" w:hAnsi="Arial"/>
                <w:b/>
                <w:color w:val="FFFFFF"/>
                <w:sz w:val="18"/>
              </w:rPr>
              <w:t>M:F ratio</w:t>
            </w:r>
          </w:p>
        </w:tc>
      </w:tr>
      <w:tr>
        <w:trPr>
          <w:cantSplit/>
        </w:trPr>
        <w:tc>
          <w:tcPr>
            <w:tcW w:type="dxa" w:w="1008"/>
            <w:vAlign w:val="center"/>
            <w:shd w:fill="F2F5F7"/>
            <w:tcMar>
              <w:top w:w="90" w:type="dxa"/>
              <w:bottom w:w="90" w:type="dxa"/>
              <w:left w:w="90" w:type="dxa"/>
              <w:right w:w="90" w:type="dxa"/>
            </w:tcMar>
          </w:tcPr>
          <w:p>
            <w:pPr>
              <w:spacing w:before="40" w:after="60" w:line="252" w:lineRule="auto"/>
              <w:jc w:val="center"/>
            </w:pPr>
            <w:r>
              <w:rPr>
                <w:rFonts w:ascii="Arial" w:hAnsi="Arial"/>
                <w:b w:val="0"/>
                <w:color w:val="000000"/>
                <w:sz w:val="18"/>
              </w:rPr>
              <w:t>1</w:t>
            </w:r>
          </w:p>
        </w:tc>
        <w:tc>
          <w:tcPr>
            <w:tcW w:type="dxa" w:w="1584"/>
            <w:vAlign w:val="center"/>
            <w:shd w:fill="F2F5F7"/>
            <w:tcMar>
              <w:top w:w="90" w:type="dxa"/>
              <w:bottom w:w="90" w:type="dxa"/>
              <w:left w:w="90" w:type="dxa"/>
              <w:right w:w="90" w:type="dxa"/>
            </w:tcMar>
          </w:tcPr>
          <w:p>
            <w:pPr>
              <w:spacing w:before="40" w:after="60" w:line="252" w:lineRule="auto"/>
              <w:jc w:val="center"/>
            </w:pPr>
            <w:r>
              <w:rPr>
                <w:rFonts w:ascii="Arial" w:hAnsi="Arial"/>
                <w:b w:val="0"/>
                <w:color w:val="000000"/>
                <w:sz w:val="18"/>
              </w:rPr>
              <w:t>0</w:t>
            </w:r>
          </w:p>
        </w:tc>
        <w:tc>
          <w:tcPr>
            <w:tcW w:type="dxa" w:w="2304"/>
            <w:vAlign w:val="center"/>
            <w:shd w:fill="F2F5F7"/>
            <w:tcMar>
              <w:top w:w="90" w:type="dxa"/>
              <w:bottom w:w="90" w:type="dxa"/>
              <w:left w:w="90" w:type="dxa"/>
              <w:right w:w="90" w:type="dxa"/>
            </w:tcMar>
          </w:tcPr>
          <w:p>
            <w:pPr>
              <w:spacing w:before="40" w:after="60" w:line="252" w:lineRule="auto"/>
              <w:jc w:val="center"/>
            </w:pPr>
            <w:r>
              <w:rPr>
                <w:rFonts w:ascii="Arial" w:hAnsi="Arial"/>
                <w:b w:val="0"/>
                <w:color w:val="000000"/>
                <w:sz w:val="18"/>
              </w:rPr>
              <w:t>9.903e-03</w:t>
            </w:r>
          </w:p>
        </w:tc>
        <w:tc>
          <w:tcPr>
            <w:tcW w:type="dxa" w:w="2304"/>
            <w:vAlign w:val="center"/>
            <w:shd w:fill="F2F5F7"/>
            <w:tcMar>
              <w:top w:w="90" w:type="dxa"/>
              <w:bottom w:w="90" w:type="dxa"/>
              <w:left w:w="90" w:type="dxa"/>
              <w:right w:w="90" w:type="dxa"/>
            </w:tcMar>
          </w:tcPr>
          <w:p>
            <w:pPr>
              <w:spacing w:before="40" w:after="60" w:line="252" w:lineRule="auto"/>
              <w:jc w:val="center"/>
            </w:pPr>
            <w:r>
              <w:rPr>
                <w:rFonts w:ascii="Arial" w:hAnsi="Arial"/>
                <w:b w:val="0"/>
                <w:color w:val="000000"/>
                <w:sz w:val="18"/>
              </w:rPr>
              <w:t>2.118e-02</w:t>
            </w:r>
          </w:p>
        </w:tc>
        <w:tc>
          <w:tcPr>
            <w:tcW w:type="dxa" w:w="2016"/>
            <w:vAlign w:val="center"/>
            <w:shd w:fill="F2F5F7"/>
            <w:tcMar>
              <w:top w:w="90" w:type="dxa"/>
              <w:bottom w:w="90" w:type="dxa"/>
              <w:left w:w="90" w:type="dxa"/>
              <w:right w:w="90" w:type="dxa"/>
            </w:tcMar>
          </w:tcPr>
          <w:p>
            <w:pPr>
              <w:spacing w:before="40" w:after="60" w:line="252" w:lineRule="auto"/>
              <w:jc w:val="center"/>
            </w:pPr>
            <w:r>
              <w:rPr>
                <w:rFonts w:ascii="Arial" w:hAnsi="Arial"/>
                <w:b w:val="0"/>
                <w:color w:val="000000"/>
                <w:sz w:val="18"/>
              </w:rPr>
              <w:t>2.14:1</w:t>
            </w:r>
          </w:p>
        </w:tc>
      </w:tr>
      <w:tr>
        <w:trPr>
          <w:cantSplit/>
        </w:trPr>
        <w:tc>
          <w:tcPr>
            <w:tcW w:type="dxa" w:w="1008"/>
            <w:vAlign w:val="center"/>
            <w:shd w:fill="FFFFFF"/>
            <w:tcMar>
              <w:top w:w="90" w:type="dxa"/>
              <w:bottom w:w="90" w:type="dxa"/>
              <w:left w:w="90" w:type="dxa"/>
              <w:right w:w="90" w:type="dxa"/>
            </w:tcMar>
          </w:tcPr>
          <w:p>
            <w:pPr>
              <w:spacing w:before="40" w:after="60" w:line="252" w:lineRule="auto"/>
              <w:jc w:val="center"/>
            </w:pPr>
            <w:r>
              <w:rPr>
                <w:rFonts w:ascii="Arial" w:hAnsi="Arial"/>
                <w:b w:val="0"/>
                <w:color w:val="000000"/>
                <w:sz w:val="18"/>
              </w:rPr>
              <w:t>3</w:t>
            </w:r>
          </w:p>
        </w:tc>
        <w:tc>
          <w:tcPr>
            <w:tcW w:type="dxa" w:w="1584"/>
            <w:vAlign w:val="center"/>
            <w:shd w:fill="FFFFFF"/>
            <w:tcMar>
              <w:top w:w="90" w:type="dxa"/>
              <w:bottom w:w="90" w:type="dxa"/>
              <w:left w:w="90" w:type="dxa"/>
              <w:right w:w="90" w:type="dxa"/>
            </w:tcMar>
          </w:tcPr>
          <w:p>
            <w:pPr>
              <w:spacing w:before="40" w:after="60" w:line="252" w:lineRule="auto"/>
              <w:jc w:val="center"/>
            </w:pPr>
            <w:r>
              <w:rPr>
                <w:rFonts w:ascii="Arial" w:hAnsi="Arial"/>
                <w:b w:val="0"/>
                <w:color w:val="000000"/>
                <w:sz w:val="18"/>
              </w:rPr>
              <w:t>0</w:t>
            </w:r>
          </w:p>
        </w:tc>
        <w:tc>
          <w:tcPr>
            <w:tcW w:type="dxa" w:w="2304"/>
            <w:vAlign w:val="center"/>
            <w:shd w:fill="FFFFFF"/>
            <w:tcMar>
              <w:top w:w="90" w:type="dxa"/>
              <w:bottom w:w="90" w:type="dxa"/>
              <w:left w:w="90" w:type="dxa"/>
              <w:right w:w="90" w:type="dxa"/>
            </w:tcMar>
          </w:tcPr>
          <w:p>
            <w:pPr>
              <w:spacing w:before="40" w:after="60" w:line="252" w:lineRule="auto"/>
              <w:jc w:val="center"/>
            </w:pPr>
            <w:r>
              <w:rPr>
                <w:rFonts w:ascii="Arial" w:hAnsi="Arial"/>
                <w:b w:val="0"/>
                <w:color w:val="000000"/>
                <w:sz w:val="18"/>
              </w:rPr>
              <w:t>9.712e-07</w:t>
            </w:r>
          </w:p>
        </w:tc>
        <w:tc>
          <w:tcPr>
            <w:tcW w:type="dxa" w:w="2304"/>
            <w:vAlign w:val="center"/>
            <w:shd w:fill="FFFFFF"/>
            <w:tcMar>
              <w:top w:w="90" w:type="dxa"/>
              <w:bottom w:w="90" w:type="dxa"/>
              <w:left w:w="90" w:type="dxa"/>
              <w:right w:w="90" w:type="dxa"/>
            </w:tcMar>
          </w:tcPr>
          <w:p>
            <w:pPr>
              <w:spacing w:before="40" w:after="60" w:line="252" w:lineRule="auto"/>
              <w:jc w:val="center"/>
            </w:pPr>
            <w:r>
              <w:rPr>
                <w:rFonts w:ascii="Arial" w:hAnsi="Arial"/>
                <w:b w:val="0"/>
                <w:color w:val="000000"/>
                <w:sz w:val="18"/>
              </w:rPr>
              <w:t>9.499e-06</w:t>
            </w:r>
          </w:p>
        </w:tc>
        <w:tc>
          <w:tcPr>
            <w:tcW w:type="dxa" w:w="2016"/>
            <w:vAlign w:val="center"/>
            <w:shd w:fill="FFFFFF"/>
            <w:tcMar>
              <w:top w:w="90" w:type="dxa"/>
              <w:bottom w:w="90" w:type="dxa"/>
              <w:left w:w="90" w:type="dxa"/>
              <w:right w:w="90" w:type="dxa"/>
            </w:tcMar>
          </w:tcPr>
          <w:p>
            <w:pPr>
              <w:spacing w:before="40" w:after="60" w:line="252" w:lineRule="auto"/>
              <w:jc w:val="center"/>
            </w:pPr>
            <w:r>
              <w:rPr>
                <w:rFonts w:ascii="Arial" w:hAnsi="Arial"/>
                <w:b w:val="0"/>
                <w:color w:val="000000"/>
                <w:sz w:val="18"/>
              </w:rPr>
              <w:t>9.78:1</w:t>
            </w:r>
          </w:p>
        </w:tc>
      </w:tr>
      <w:tr>
        <w:trPr>
          <w:cantSplit/>
        </w:trPr>
        <w:tc>
          <w:tcPr>
            <w:tcW w:type="dxa" w:w="1008"/>
            <w:vAlign w:val="center"/>
            <w:shd w:fill="F2F5F7"/>
            <w:tcMar>
              <w:top w:w="90" w:type="dxa"/>
              <w:bottom w:w="90" w:type="dxa"/>
              <w:left w:w="90" w:type="dxa"/>
              <w:right w:w="90" w:type="dxa"/>
            </w:tcMar>
          </w:tcPr>
          <w:p>
            <w:pPr>
              <w:spacing w:before="40" w:after="60" w:line="252" w:lineRule="auto"/>
              <w:jc w:val="center"/>
            </w:pPr>
            <w:r>
              <w:rPr>
                <w:rFonts w:ascii="Arial" w:hAnsi="Arial"/>
                <w:b w:val="0"/>
                <w:color w:val="000000"/>
                <w:sz w:val="18"/>
              </w:rPr>
              <w:t>5</w:t>
            </w:r>
          </w:p>
        </w:tc>
        <w:tc>
          <w:tcPr>
            <w:tcW w:type="dxa" w:w="1584"/>
            <w:vAlign w:val="center"/>
            <w:shd w:fill="F2F5F7"/>
            <w:tcMar>
              <w:top w:w="90" w:type="dxa"/>
              <w:bottom w:w="90" w:type="dxa"/>
              <w:left w:w="90" w:type="dxa"/>
              <w:right w:w="90" w:type="dxa"/>
            </w:tcMar>
          </w:tcPr>
          <w:p>
            <w:pPr>
              <w:spacing w:before="40" w:after="60" w:line="252" w:lineRule="auto"/>
              <w:jc w:val="center"/>
            </w:pPr>
            <w:r>
              <w:rPr>
                <w:rFonts w:ascii="Arial" w:hAnsi="Arial"/>
                <w:b w:val="0"/>
                <w:color w:val="000000"/>
                <w:sz w:val="18"/>
              </w:rPr>
              <w:t>0</w:t>
            </w:r>
          </w:p>
        </w:tc>
        <w:tc>
          <w:tcPr>
            <w:tcW w:type="dxa" w:w="2304"/>
            <w:vAlign w:val="center"/>
            <w:shd w:fill="F2F5F7"/>
            <w:tcMar>
              <w:top w:w="90" w:type="dxa"/>
              <w:bottom w:w="90" w:type="dxa"/>
              <w:left w:w="90" w:type="dxa"/>
              <w:right w:w="90" w:type="dxa"/>
            </w:tcMar>
          </w:tcPr>
          <w:p>
            <w:pPr>
              <w:spacing w:before="40" w:after="60" w:line="252" w:lineRule="auto"/>
              <w:jc w:val="center"/>
            </w:pPr>
            <w:r>
              <w:rPr>
                <w:rFonts w:ascii="Arial" w:hAnsi="Arial"/>
                <w:b w:val="0"/>
                <w:color w:val="000000"/>
                <w:sz w:val="18"/>
              </w:rPr>
              <w:t>9.525e-11</w:t>
            </w:r>
          </w:p>
        </w:tc>
        <w:tc>
          <w:tcPr>
            <w:tcW w:type="dxa" w:w="2304"/>
            <w:vAlign w:val="center"/>
            <w:shd w:fill="F2F5F7"/>
            <w:tcMar>
              <w:top w:w="90" w:type="dxa"/>
              <w:bottom w:w="90" w:type="dxa"/>
              <w:left w:w="90" w:type="dxa"/>
              <w:right w:w="90" w:type="dxa"/>
            </w:tcMar>
          </w:tcPr>
          <w:p>
            <w:pPr>
              <w:spacing w:before="40" w:after="60" w:line="252" w:lineRule="auto"/>
              <w:jc w:val="center"/>
            </w:pPr>
            <w:r>
              <w:rPr>
                <w:rFonts w:ascii="Arial" w:hAnsi="Arial"/>
                <w:b w:val="0"/>
                <w:color w:val="000000"/>
                <w:sz w:val="18"/>
              </w:rPr>
              <w:t>4.260e-09</w:t>
            </w:r>
          </w:p>
        </w:tc>
        <w:tc>
          <w:tcPr>
            <w:tcW w:type="dxa" w:w="2016"/>
            <w:vAlign w:val="center"/>
            <w:shd w:fill="F2F5F7"/>
            <w:tcMar>
              <w:top w:w="90" w:type="dxa"/>
              <w:bottom w:w="90" w:type="dxa"/>
              <w:left w:w="90" w:type="dxa"/>
              <w:right w:w="90" w:type="dxa"/>
            </w:tcMar>
          </w:tcPr>
          <w:p>
            <w:pPr>
              <w:spacing w:before="40" w:after="60" w:line="252" w:lineRule="auto"/>
              <w:jc w:val="center"/>
            </w:pPr>
            <w:r>
              <w:rPr>
                <w:rFonts w:ascii="Arial" w:hAnsi="Arial"/>
                <w:b w:val="0"/>
                <w:color w:val="000000"/>
                <w:sz w:val="18"/>
              </w:rPr>
              <w:t>44.73:1</w:t>
            </w:r>
          </w:p>
        </w:tc>
      </w:tr>
      <w:tr>
        <w:trPr>
          <w:cantSplit/>
        </w:trPr>
        <w:tc>
          <w:tcPr>
            <w:tcW w:type="dxa" w:w="1008"/>
            <w:vAlign w:val="center"/>
            <w:shd w:fill="FFFFFF"/>
            <w:tcMar>
              <w:top w:w="90" w:type="dxa"/>
              <w:bottom w:w="90" w:type="dxa"/>
              <w:left w:w="90" w:type="dxa"/>
              <w:right w:w="90" w:type="dxa"/>
            </w:tcMar>
          </w:tcPr>
          <w:p>
            <w:pPr>
              <w:spacing w:before="40" w:after="60" w:line="252" w:lineRule="auto"/>
              <w:jc w:val="center"/>
            </w:pPr>
            <w:r>
              <w:rPr>
                <w:rFonts w:ascii="Arial" w:hAnsi="Arial"/>
                <w:b w:val="0"/>
                <w:color w:val="000000"/>
                <w:sz w:val="18"/>
              </w:rPr>
              <w:t>5</w:t>
            </w:r>
          </w:p>
        </w:tc>
        <w:tc>
          <w:tcPr>
            <w:tcW w:type="dxa" w:w="1584"/>
            <w:vAlign w:val="center"/>
            <w:shd w:fill="FFFFFF"/>
            <w:tcMar>
              <w:top w:w="90" w:type="dxa"/>
              <w:bottom w:w="90" w:type="dxa"/>
              <w:left w:w="90" w:type="dxa"/>
              <w:right w:w="90" w:type="dxa"/>
            </w:tcMar>
          </w:tcPr>
          <w:p>
            <w:pPr>
              <w:spacing w:before="40" w:after="60" w:line="252" w:lineRule="auto"/>
              <w:jc w:val="center"/>
            </w:pPr>
            <w:r>
              <w:rPr>
                <w:rFonts w:ascii="Arial" w:hAnsi="Arial"/>
                <w:b w:val="0"/>
                <w:color w:val="000000"/>
                <w:sz w:val="18"/>
              </w:rPr>
              <w:t>0.4</w:t>
            </w:r>
          </w:p>
        </w:tc>
        <w:tc>
          <w:tcPr>
            <w:tcW w:type="dxa" w:w="2304"/>
            <w:vAlign w:val="center"/>
            <w:shd w:fill="FFFFFF"/>
            <w:tcMar>
              <w:top w:w="90" w:type="dxa"/>
              <w:bottom w:w="90" w:type="dxa"/>
              <w:left w:w="90" w:type="dxa"/>
              <w:right w:w="90" w:type="dxa"/>
            </w:tcMar>
          </w:tcPr>
          <w:p>
            <w:pPr>
              <w:spacing w:before="40" w:after="60" w:line="252" w:lineRule="auto"/>
              <w:jc w:val="center"/>
            </w:pPr>
            <w:r>
              <w:rPr>
                <w:rFonts w:ascii="Arial" w:hAnsi="Arial"/>
                <w:b w:val="0"/>
                <w:color w:val="000000"/>
                <w:sz w:val="18"/>
              </w:rPr>
              <w:t>2.041e-05</w:t>
            </w:r>
          </w:p>
        </w:tc>
        <w:tc>
          <w:tcPr>
            <w:tcW w:type="dxa" w:w="2304"/>
            <w:vAlign w:val="center"/>
            <w:shd w:fill="FFFFFF"/>
            <w:tcMar>
              <w:top w:w="90" w:type="dxa"/>
              <w:bottom w:w="90" w:type="dxa"/>
              <w:left w:w="90" w:type="dxa"/>
              <w:right w:w="90" w:type="dxa"/>
            </w:tcMar>
          </w:tcPr>
          <w:p>
            <w:pPr>
              <w:spacing w:before="40" w:after="60" w:line="252" w:lineRule="auto"/>
              <w:jc w:val="center"/>
            </w:pPr>
            <w:r>
              <w:rPr>
                <w:rFonts w:ascii="Arial" w:hAnsi="Arial"/>
                <w:b w:val="0"/>
                <w:color w:val="000000"/>
                <w:sz w:val="18"/>
              </w:rPr>
              <w:t>1.032e-04</w:t>
            </w:r>
          </w:p>
        </w:tc>
        <w:tc>
          <w:tcPr>
            <w:tcW w:type="dxa" w:w="2016"/>
            <w:vAlign w:val="center"/>
            <w:shd w:fill="FFFFFF"/>
            <w:tcMar>
              <w:top w:w="90" w:type="dxa"/>
              <w:bottom w:w="90" w:type="dxa"/>
              <w:left w:w="90" w:type="dxa"/>
              <w:right w:w="90" w:type="dxa"/>
            </w:tcMar>
          </w:tcPr>
          <w:p>
            <w:pPr>
              <w:spacing w:before="40" w:after="60" w:line="252" w:lineRule="auto"/>
              <w:jc w:val="center"/>
            </w:pPr>
            <w:r>
              <w:rPr>
                <w:rFonts w:ascii="Arial" w:hAnsi="Arial"/>
                <w:b w:val="0"/>
                <w:color w:val="000000"/>
                <w:sz w:val="18"/>
              </w:rPr>
              <w:t>5.06:1</w:t>
            </w:r>
          </w:p>
        </w:tc>
      </w:tr>
      <w:tr>
        <w:trPr>
          <w:cantSplit/>
        </w:trPr>
        <w:tc>
          <w:tcPr>
            <w:tcW w:type="dxa" w:w="1008"/>
            <w:vAlign w:val="center"/>
            <w:shd w:fill="F2F5F7"/>
            <w:tcMar>
              <w:top w:w="90" w:type="dxa"/>
              <w:bottom w:w="90" w:type="dxa"/>
              <w:left w:w="90" w:type="dxa"/>
              <w:right w:w="90" w:type="dxa"/>
            </w:tcMar>
          </w:tcPr>
          <w:p>
            <w:pPr>
              <w:spacing w:before="40" w:after="60" w:line="252" w:lineRule="auto"/>
              <w:jc w:val="center"/>
            </w:pPr>
            <w:r>
              <w:rPr>
                <w:rFonts w:ascii="Arial" w:hAnsi="Arial"/>
                <w:b w:val="0"/>
                <w:color w:val="000000"/>
                <w:sz w:val="18"/>
              </w:rPr>
              <w:t>5</w:t>
            </w:r>
          </w:p>
        </w:tc>
        <w:tc>
          <w:tcPr>
            <w:tcW w:type="dxa" w:w="1584"/>
            <w:vAlign w:val="center"/>
            <w:shd w:fill="F2F5F7"/>
            <w:tcMar>
              <w:top w:w="90" w:type="dxa"/>
              <w:bottom w:w="90" w:type="dxa"/>
              <w:left w:w="90" w:type="dxa"/>
              <w:right w:w="90" w:type="dxa"/>
            </w:tcMar>
          </w:tcPr>
          <w:p>
            <w:pPr>
              <w:spacing w:before="40" w:after="60" w:line="252" w:lineRule="auto"/>
              <w:jc w:val="center"/>
            </w:pPr>
            <w:r>
              <w:rPr>
                <w:rFonts w:ascii="Arial" w:hAnsi="Arial"/>
                <w:b w:val="0"/>
                <w:color w:val="000000"/>
                <w:sz w:val="18"/>
              </w:rPr>
              <w:t>0.7</w:t>
            </w:r>
          </w:p>
        </w:tc>
        <w:tc>
          <w:tcPr>
            <w:tcW w:type="dxa" w:w="2304"/>
            <w:vAlign w:val="center"/>
            <w:shd w:fill="F2F5F7"/>
            <w:tcMar>
              <w:top w:w="90" w:type="dxa"/>
              <w:bottom w:w="90" w:type="dxa"/>
              <w:left w:w="90" w:type="dxa"/>
              <w:right w:w="90" w:type="dxa"/>
            </w:tcMar>
          </w:tcPr>
          <w:p>
            <w:pPr>
              <w:spacing w:before="40" w:after="60" w:line="252" w:lineRule="auto"/>
              <w:jc w:val="center"/>
            </w:pPr>
            <w:r>
              <w:rPr>
                <w:rFonts w:ascii="Arial" w:hAnsi="Arial"/>
                <w:b w:val="0"/>
                <w:color w:val="000000"/>
                <w:sz w:val="18"/>
              </w:rPr>
              <w:t>5.275e-04</w:t>
            </w:r>
          </w:p>
        </w:tc>
        <w:tc>
          <w:tcPr>
            <w:tcW w:type="dxa" w:w="2304"/>
            <w:vAlign w:val="center"/>
            <w:shd w:fill="F2F5F7"/>
            <w:tcMar>
              <w:top w:w="90" w:type="dxa"/>
              <w:bottom w:w="90" w:type="dxa"/>
              <w:left w:w="90" w:type="dxa"/>
              <w:right w:w="90" w:type="dxa"/>
            </w:tcMar>
          </w:tcPr>
          <w:p>
            <w:pPr>
              <w:spacing w:before="40" w:after="60" w:line="252" w:lineRule="auto"/>
              <w:jc w:val="center"/>
            </w:pPr>
            <w:r>
              <w:rPr>
                <w:rFonts w:ascii="Arial" w:hAnsi="Arial"/>
                <w:b w:val="0"/>
                <w:color w:val="000000"/>
                <w:sz w:val="18"/>
              </w:rPr>
              <w:t>1.632e-03</w:t>
            </w:r>
          </w:p>
        </w:tc>
        <w:tc>
          <w:tcPr>
            <w:tcW w:type="dxa" w:w="2016"/>
            <w:vAlign w:val="center"/>
            <w:shd w:fill="F2F5F7"/>
            <w:tcMar>
              <w:top w:w="90" w:type="dxa"/>
              <w:bottom w:w="90" w:type="dxa"/>
              <w:left w:w="90" w:type="dxa"/>
              <w:right w:w="90" w:type="dxa"/>
            </w:tcMar>
          </w:tcPr>
          <w:p>
            <w:pPr>
              <w:spacing w:before="40" w:after="60" w:line="252" w:lineRule="auto"/>
              <w:jc w:val="center"/>
            </w:pPr>
            <w:r>
              <w:rPr>
                <w:rFonts w:ascii="Arial" w:hAnsi="Arial"/>
                <w:b w:val="0"/>
                <w:color w:val="000000"/>
                <w:sz w:val="18"/>
              </w:rPr>
              <w:t>3.09:1</w:t>
            </w:r>
          </w:p>
        </w:tc>
      </w:tr>
    </w:tbl>
    <w:p>
      <w:pPr>
        <w:spacing w:before="120"/>
      </w:pPr>
      <w:r>
        <w:t>The five independent requirements select approximately one in 10.5 billion from the female reference distribution and one in 235 million from the shifted distribution. Those tiny probabilities expose how restrictive the all-traits rule is. The 44.73:1 independent-trait result is a deliberately high-amplification illustration, not a plausible default for esports selection: positive correlation reduces the ratio here to 5.06 at ρ = 0.4 and 3.09 at ρ = 0.7, and compensatory selection reduces it further in Table V2. The calculation demonstrates possible amplification, not a fitted esports sex ratio. The shift d is a mean difference; greater variance remains a separate, unmodeled parameter. Representation also depends on entering pool sizes, training, covariance and role-specific compensation.</w:t>
      </w:r>
    </w:p>
    <w:p>
      <w:pPr/>
      <w:r>
        <w:t>A compensatory alternative selects on the equal-weight mean of the same five traits. With unit variances and common correlation ρ, its female standard deviation is √[(1 + 4ρ)/5], so the standardized male mean shift is δ = 0.3√[5/(1 + 4ρ)]. At a threshold 2.33 female-score standard deviations above the female mean, the ratio is [1 − Φ(2.33 − δ)]/[1 − Φ(2.33)]. Stronger values can now offset weaker ones.</w:t>
      </w:r>
    </w:p>
    <w:p>
      <w:pPr>
        <w:pStyle w:val="Caption"/>
      </w:pPr>
      <w:r>
        <w:t>Table V2. Compensatory selection on an equal-weight score; assumed d = 0.3 for each of five traits.</w:t>
      </w:r>
    </w:p>
    <w:tbl>
      <w:tblPr>
        <w:tblStyle w:val="TableGrid"/>
        <w:tblW w:type="auto" w:w="0"/>
        <w:tblLayout w:type="fixed"/>
        <w:tblLook w:firstColumn="1" w:firstRow="1" w:lastColumn="0" w:lastRow="0" w:noHBand="0" w:noVBand="1" w:val="04A0"/>
      </w:tblPr>
      <w:tblGrid>
        <w:gridCol w:w="2520"/>
        <w:gridCol w:w="2520"/>
        <w:gridCol w:w="2520"/>
        <w:gridCol w:w="2520"/>
      </w:tblGrid>
      <w:tr>
        <w:trPr>
          <w:cantSplit/>
          <w:tblHeader/>
        </w:trPr>
        <w:tc>
          <w:tcPr>
            <w:tcW w:type="dxa" w:w="1584"/>
            <w:shd w:fill="18324F"/>
          </w:tcPr>
          <w:p>
            <w:pPr>
              <w:spacing w:after="80" w:before="80"/>
            </w:pPr>
            <w:r>
              <w:rPr>
                <w:b/>
                <w:color w:val="FFFFFF"/>
                <w:sz w:val="18"/>
              </w:rPr>
              <w:t>Pairwise ρ</w:t>
            </w:r>
          </w:p>
        </w:tc>
        <w:tc>
          <w:tcPr>
            <w:tcW w:type="dxa" w:w="2448"/>
            <w:shd w:fill="18324F"/>
          </w:tcPr>
          <w:p>
            <w:pPr>
              <w:spacing w:after="80" w:before="80"/>
            </w:pPr>
            <w:r>
              <w:rPr>
                <w:b/>
                <w:color w:val="FFFFFF"/>
                <w:sz w:val="18"/>
              </w:rPr>
              <w:t>Female probability</w:t>
            </w:r>
          </w:p>
        </w:tc>
        <w:tc>
          <w:tcPr>
            <w:tcW w:type="dxa" w:w="2448"/>
            <w:shd w:fill="18324F"/>
          </w:tcPr>
          <w:p>
            <w:pPr>
              <w:spacing w:after="80" w:before="80"/>
            </w:pPr>
            <w:r>
              <w:rPr>
                <w:b/>
                <w:color w:val="FFFFFF"/>
                <w:sz w:val="18"/>
              </w:rPr>
              <w:t>Male probability</w:t>
            </w:r>
          </w:p>
        </w:tc>
        <w:tc>
          <w:tcPr>
            <w:tcW w:type="dxa" w:w="2160"/>
            <w:shd w:fill="18324F"/>
          </w:tcPr>
          <w:p>
            <w:pPr>
              <w:spacing w:after="80" w:before="80"/>
            </w:pPr>
            <w:r>
              <w:rPr>
                <w:b/>
                <w:color w:val="FFFFFF"/>
                <w:sz w:val="18"/>
              </w:rPr>
              <w:t>M:F ratio</w:t>
            </w:r>
          </w:p>
        </w:tc>
      </w:tr>
      <w:tr>
        <w:trPr>
          <w:cantSplit/>
        </w:trPr>
        <w:tc>
          <w:tcPr>
            <w:tcW w:type="dxa" w:w="1584"/>
          </w:tcPr>
          <w:p>
            <w:pPr>
              <w:spacing w:after="80" w:before="80"/>
            </w:pPr>
            <w:r>
              <w:rPr>
                <w:sz w:val="18"/>
              </w:rPr>
              <w:t>0</w:t>
            </w:r>
          </w:p>
        </w:tc>
        <w:tc>
          <w:tcPr>
            <w:tcW w:type="dxa" w:w="2448"/>
          </w:tcPr>
          <w:p>
            <w:pPr>
              <w:spacing w:after="80" w:before="80"/>
            </w:pPr>
            <w:r>
              <w:rPr>
                <w:sz w:val="18"/>
              </w:rPr>
              <w:t>0.009903</w:t>
            </w:r>
          </w:p>
        </w:tc>
        <w:tc>
          <w:tcPr>
            <w:tcW w:type="dxa" w:w="2448"/>
          </w:tcPr>
          <w:p>
            <w:pPr>
              <w:spacing w:after="80" w:before="80"/>
            </w:pPr>
            <w:r>
              <w:rPr>
                <w:sz w:val="18"/>
              </w:rPr>
              <w:t>0.048540</w:t>
            </w:r>
          </w:p>
        </w:tc>
        <w:tc>
          <w:tcPr>
            <w:tcW w:type="dxa" w:w="2160"/>
          </w:tcPr>
          <w:p>
            <w:pPr>
              <w:spacing w:after="80" w:before="80"/>
            </w:pPr>
            <w:r>
              <w:rPr>
                <w:sz w:val="18"/>
              </w:rPr>
              <w:t>4.90:1</w:t>
            </w:r>
          </w:p>
        </w:tc>
      </w:tr>
      <w:tr>
        <w:trPr>
          <w:cantSplit/>
        </w:trPr>
        <w:tc>
          <w:tcPr>
            <w:tcW w:type="dxa" w:w="1584"/>
          </w:tcPr>
          <w:p>
            <w:pPr>
              <w:spacing w:after="80" w:before="80"/>
            </w:pPr>
            <w:r>
              <w:rPr>
                <w:sz w:val="18"/>
              </w:rPr>
              <w:t>0.4</w:t>
            </w:r>
          </w:p>
        </w:tc>
        <w:tc>
          <w:tcPr>
            <w:tcW w:type="dxa" w:w="2448"/>
          </w:tcPr>
          <w:p>
            <w:pPr>
              <w:spacing w:after="80" w:before="80"/>
            </w:pPr>
            <w:r>
              <w:rPr>
                <w:sz w:val="18"/>
              </w:rPr>
              <w:t>0.009903</w:t>
            </w:r>
          </w:p>
        </w:tc>
        <w:tc>
          <w:tcPr>
            <w:tcW w:type="dxa" w:w="2448"/>
          </w:tcPr>
          <w:p>
            <w:pPr>
              <w:spacing w:after="80" w:before="80"/>
            </w:pPr>
            <w:r>
              <w:rPr>
                <w:sz w:val="18"/>
              </w:rPr>
              <w:t>0.027812</w:t>
            </w:r>
          </w:p>
        </w:tc>
        <w:tc>
          <w:tcPr>
            <w:tcW w:type="dxa" w:w="2160"/>
          </w:tcPr>
          <w:p>
            <w:pPr>
              <w:spacing w:after="80" w:before="80"/>
            </w:pPr>
            <w:r>
              <w:rPr>
                <w:sz w:val="18"/>
              </w:rPr>
              <w:t>2.81:1</w:t>
            </w:r>
          </w:p>
        </w:tc>
      </w:tr>
      <w:tr>
        <w:trPr>
          <w:cantSplit/>
        </w:trPr>
        <w:tc>
          <w:tcPr>
            <w:tcW w:type="dxa" w:w="1584"/>
          </w:tcPr>
          <w:p>
            <w:pPr>
              <w:spacing w:after="80" w:before="80"/>
            </w:pPr>
            <w:r>
              <w:rPr>
                <w:sz w:val="18"/>
              </w:rPr>
              <w:t>0.7</w:t>
            </w:r>
          </w:p>
        </w:tc>
        <w:tc>
          <w:tcPr>
            <w:tcW w:type="dxa" w:w="2448"/>
          </w:tcPr>
          <w:p>
            <w:pPr>
              <w:spacing w:after="80" w:before="80"/>
            </w:pPr>
            <w:r>
              <w:rPr>
                <w:sz w:val="18"/>
              </w:rPr>
              <w:t>0.009903</w:t>
            </w:r>
          </w:p>
        </w:tc>
        <w:tc>
          <w:tcPr>
            <w:tcW w:type="dxa" w:w="2448"/>
          </w:tcPr>
          <w:p>
            <w:pPr>
              <w:spacing w:after="80" w:before="80"/>
            </w:pPr>
            <w:r>
              <w:rPr>
                <w:sz w:val="18"/>
              </w:rPr>
              <w:t>0.023524</w:t>
            </w:r>
          </w:p>
        </w:tc>
        <w:tc>
          <w:tcPr>
            <w:tcW w:type="dxa" w:w="2160"/>
          </w:tcPr>
          <w:p>
            <w:pPr>
              <w:spacing w:after="80" w:before="80"/>
            </w:pPr>
            <w:r>
              <w:rPr>
                <w:sz w:val="18"/>
              </w:rPr>
              <w:t>2.38:1</w:t>
            </w:r>
          </w:p>
        </w:tc>
      </w:tr>
    </w:tbl>
    <w:p>
      <w:pPr/>
      <w:r>
        <w:t>This alternative retains amplification under the stated assumptions without requiring excellence on every trait. It also reduces the dramatic independent-trait ratio. Its roughly 1% female selection rate is far less restrictive than five simultaneous top-1% requirements, so the tables compare different selection rules and rarity levels, not matched elite cutoffs. Neither is a roster forecast or a fitted causal decomposition: entering pools, effect sizes, trait correlations, training, role weights, cultural attrition and conditional transitions must be estimated and tested on held-out data. If an illustrative parameterization predicts materially more female elite-tail performers than are observed, that is evidence that the parameterization is incomplete or misspecified; the residual cannot be assigned automatically to either biology or culture.</w:t>
      </w:r>
    </w:p>
    <w:p>
      <w:pPr/>
      <w:r>
        <w:t>The funnel also runs through practice itself. Players do not merely accumulate hours; they move into denser feedback environments - ranked ladders, FACEIT/ESEA-style platforms, scrims, aim trainers, replay review, coaching and tournament pressure. Each step raises the quality of opposition and the cost of error. The relevant filter is not only who plays, but who repeatedly enters, learns from and survives higher-quality practice.</w:t>
      </w:r>
    </w:p>
    <w:p>
      <w:pPr/>
      <w:r>
        <w:t>The long record of organized female competition makes persistent elite underrepresentation a serious explanatory problem. The biological-plus-funnel hypothesis predicts that expanded access can raise participation and high-rank representation while leaving a strongly male-skewed role-relative elite tail. To establish that it predicts the record better than a rival requires a defined benchmark and a forecast, not merely a retrospective resemblance.</w:t>
      </w:r>
    </w:p>
    <w:p>
      <w:pPr/>
      <w:r>
        <w:t>The model makes overlap and exceptional women compatible with large group disparities. It does not permit a universal zero to be inferred from incomplete roster histories. The relevant prediction is a frequency of sustained elite outcomes within a specified pool, game, role and period.</w:t>
      </w:r>
    </w:p>
    <w:p w14:paraId="59B5C7EE" w14:textId="77777777" w:rsidR="002E4C15" w:rsidRDefault="00000000">
      <w:pPr>
        <w:keepNext/>
        <w:spacing w:after="80"/>
        <w:jc w:val="center"/>
      </w:pPr>
      <w:r>
        <w:drawing>
          <wp:inline xmlns:a="http://schemas.openxmlformats.org/drawingml/2006/main" xmlns:pic="http://schemas.openxmlformats.org/drawingml/2006/picture">
            <wp:extent cx="5852160" cy="3628339"/>
            <wp:docPr id="6" name="Picture 6"/>
            <wp:cNvGraphicFramePr>
              <a:graphicFrameLocks noChangeAspect="1"/>
            </wp:cNvGraphicFramePr>
            <a:graphic>
              <a:graphicData uri="http://schemas.openxmlformats.org/drawingml/2006/picture">
                <pic:pic>
                  <pic:nvPicPr>
                    <pic:cNvPr id="0" name="competitive_funnel.png"/>
                    <pic:cNvPicPr/>
                  </pic:nvPicPr>
                  <pic:blipFill>
                    <a:blip r:embed="rId15"/>
                    <a:stretch>
                      <a:fillRect/>
                    </a:stretch>
                  </pic:blipFill>
                  <pic:spPr>
                    <a:xfrm>
                      <a:off x="0" y="0"/>
                      <a:ext cx="5852160" cy="3628339"/>
                    </a:xfrm>
                    <a:prstGeom prst="rect"/>
                  </pic:spPr>
                </pic:pic>
              </a:graphicData>
            </a:graphic>
          </wp:inline>
        </w:drawing>
      </w:r>
    </w:p>
    <w:p w14:paraId="2DC3D286" w14:textId="77777777" w:rsidR="002E4C15" w:rsidRDefault="00000000">
      <w:pPr>
        <w:pStyle w:val="Caption"/>
        <w:jc w:val="center"/>
      </w:pPr>
      <w:r>
        <w:t>Figure 2. Competitive selection funnel. Widths are schematic, not sex-specific population estimates. Each transition requires a common cohort denominator; restricted circuits are parallel pathways. The role-relative elite endpoint is defined in Section IX.</w:t>
      </w:r>
    </w:p>
    <w:p w14:paraId="3B3CE8D3" w14:textId="77777777" w:rsidR="002E4C15" w:rsidRDefault="00000000">
      <w:pPr>
        <w:keepNext/>
        <w:spacing w:after="80"/>
        <w:jc w:val="center"/>
      </w:pPr>
      <w:r>
        <w:drawing>
          <wp:inline xmlns:a="http://schemas.openxmlformats.org/drawingml/2006/main" xmlns:pic="http://schemas.openxmlformats.org/drawingml/2006/picture">
            <wp:extent cx="5852160" cy="3511296"/>
            <wp:docPr id="7" name="Picture 7"/>
            <wp:cNvGraphicFramePr>
              <a:graphicFrameLocks noChangeAspect="1"/>
            </wp:cNvGraphicFramePr>
            <a:graphic>
              <a:graphicData uri="http://schemas.openxmlformats.org/drawingml/2006/picture">
                <pic:pic>
                  <pic:nvPicPr>
                    <pic:cNvPr id="0" name="joint_tail_illustration.png"/>
                    <pic:cNvPicPr/>
                  </pic:nvPicPr>
                  <pic:blipFill>
                    <a:blip r:embed="rId16"/>
                    <a:stretch>
                      <a:fillRect/>
                    </a:stretch>
                  </pic:blipFill>
                  <pic:spPr>
                    <a:xfrm>
                      <a:off x="0" y="0"/>
                      <a:ext cx="5852160" cy="3511296"/>
                    </a:xfrm>
                    <a:prstGeom prst="rect"/>
                  </pic:spPr>
                </pic:pic>
              </a:graphicData>
            </a:graphic>
          </wp:inline>
        </w:drawing>
      </w:r>
    </w:p>
    <w:p w14:paraId="2ABCB46E" w14:textId="77777777" w:rsidR="002E4C15" w:rsidRDefault="00000000">
      <w:pPr>
        <w:pStyle w:val="Caption"/>
        <w:jc w:val="center"/>
      </w:pPr>
      <w:r>
        <w:t>Figure 3. Illustrative joint-tail amplification. Curves are calculated by one-dimensional normal integration for five equal-variance traits with the stated mean shifts and common pairwise correlations. The threshold is measured against the female reference distribution. Ratios compare probabilities from equal-sized input pools and are not predicted roster sex ratios. No esports parameters or observed funnel counts were fitted.</w:t>
      </w:r>
    </w:p>
    <w:p w14:paraId="2462A845" w14:textId="77777777" w:rsidR="002E4C15" w:rsidRDefault="00000000">
      <w:pPr>
        <w:pStyle w:val="Heading1"/>
      </w:pPr>
      <w:r>
        <w:t>VI. Gamesense Is Compressed Prediction</w:t>
      </w:r>
    </w:p>
    <w:p>
      <w:pPr/>
      <w:r>
        <w:t>Gamesense is compressed prediction under pressure. Elite players turn a large, partially observed game state into fast judgments about what is likely to happen next and which response has the highest expected value. That ability is learned through thousands of feedback-rich repetitions, but it is built on the psychomotor and attentional foundations described above.</w:t>
      </w:r>
    </w:p>
    <w:p>
      <w:pPr/>
      <w:r>
        <w:t>At the sustained elite tail, gamesense appears as highly compressed mental models that allow players to anticipate opponent intent, evaluate branching futures, and act decisively before conscious analysis catches up. Top players do not consciously calculate every relevant variable in a round, fight, set, or macro cycle. They internalize predictive models: where opponents are likely to be, which cooldowns or resources matter, what timing window is open, which response an opponent prefers, when a rotation is likely, and when a position has become unsafe.</w:t>
      </w:r>
    </w:p>
    <w:p>
      <w:pPr/>
      <w:r>
        <w:t>Gamesense is learned. A player predicts a rotation, flank, wave crash, tech switch, punish option or timing window; the game rewards or punishes the prediction; the player updates the internal model; repetition compresses the lesson into a faster heuristic. VOD review, coaching, self-analysis, opponent study and deliberate practice accelerate that loop by making errors legible.</w:t>
      </w:r>
    </w:p>
    <w:p>
      <w:pPr/>
      <w:r>
        <w:t>Practice quality matters alongside time. Scrims, VOD review, tournament sets, high-level ladders, lab work and coaching expose players to different densities and kinds of feedback. Whether those environments improve learning, and for whom, belongs in the training-conversion model; access to them and continued participation belong in the funnel.</w:t>
      </w:r>
    </w:p>
    <w:p>
      <w:pPr/>
      <w:r>
        <w:t>The capacity to acquire, compress, update, and implement these lessons efficiently is not equal across individuals. This does not reduce gamesense to biology; it places learning, training, and baseline processing traits inside the same developmental system. Spatial working memory helps maintain and update positional information. Multiple-object tracking helps preserve awareness of several agents, threats, resources, or moving units at once. Divided attention and useful field of view under load help players extract information while executing. Temporal precision helps encode timing windows and sequence reliability. Mental rotation and dynamic spatial reasoning help players predict trajectories, reorient maps, and model movement through space.</w:t>
      </w:r>
    </w:p>
    <w:p>
      <w:pPr/>
      <w:r>
        <w:t>Traits do not replace training; they can change what training yields. If players differ in the processing efficiency needed to turn repetition and feedback into accurate internal models, equal hours need not produce equal skill extraction. That is the point where baseline capacity, practice quality, gamesense and funnel selection become one developmental system.</w:t>
      </w:r>
    </w:p>
    <w:p>
      <w:pPr>
        <w:pStyle w:val="Heading2"/>
      </w:pPr>
      <w:r>
        <w:rPr>
          <w:color w:val="000000"/>
        </w:rPr>
        <w:t>A. Cross-genre manifestations</w:t>
      </w:r>
    </w:p>
    <w:p>
      <w:pPr>
        <w:pStyle w:val="ListBullet"/>
      </w:pPr>
      <w:r>
        <w:t>FPS: pre-aiming common angles, predicting peek timing, reading utility usage, holding strong crosshair placement, clearing angles in the correct order, and processing multiple threats while maintaining mechanical readiness.</w:t>
      </w:r>
    </w:p>
    <w:p>
      <w:pPr>
        <w:pStyle w:val="ListBullet"/>
      </w:pPr>
      <w:r>
        <w:t>MOBA: tracking enemy rotations and missing players, predicting ganks and objective timings, managing wave states, remembering cooldowns, coordinating teamfight positioning, and selecting targets under chaos.</w:t>
      </w:r>
    </w:p>
    <w:p>
      <w:pPr>
        <w:pStyle w:val="ListBullet"/>
      </w:pPr>
      <w:r>
        <w:t>RTS: balancing macro economy, tech progression, map control, and scouting while simultaneously microing armies, predicting opponent builds through limited information, and maintaining mental stack across dozens of units.</w:t>
      </w:r>
    </w:p>
    <w:p>
      <w:pPr>
        <w:pStyle w:val="ListBullet"/>
      </w:pPr>
      <w:r>
        <w:t>FGC: reading opponent habits, conditioning responses, applying matchup knowledge, making instant frame-data decisions, choosing optimal punishes, and executing under maximum pressure.</w:t>
      </w:r>
    </w:p>
    <w:p>
      <w:pPr/>
      <w:r>
        <w:t>This also explains why high rank, professional-league membership and sustained elite-tail performance are not the same thing. A player can reach high ladder ranks through strong tactical discipline, role specialization or narrow adaptation to ranked environments. Premier open competition adds team selection, scouting, anti-stratting, LAN pressure, role flexibility and repeated exposure to opponents who punish every small inefficiency. Crossing that league or tournament boundary establishes access to stronger opposition; the endpoint used here additionally requires repeated role-relative performance against it. At that level, gamesense is compressed predictive expertise built through optimized exposure under escalating competitive pressure.</w:t>
      </w:r>
    </w:p>
    <w:p>
      <w:pPr>
        <w:pStyle w:val="Heading1"/>
      </w:pPr>
      <w:r>
        <w:t>VII. Who Enters, Who Trains, Who Stays</w:t>
      </w:r>
    </w:p>
    <w:p>
      <w:pPr/>
      <w:r>
        <w:t>Participation, persistence and performance are different filters. Interest and opportunity shape who enters serious ranked play. Practice quality, motivation and support shape who remains long enough to develop. Competitive output determines who advances. Collapsing those stages into one participation number hides the mechanism the model is trying to explain.</w:t>
      </w:r>
    </w:p>
    <w:p>
      <w:pPr/>
      <w:r>
        <w:t>Deliberate-practice and sports-psychology research motivates measuring training structure, perseverance and performance under pressure (Ericsson et al., 1993; Duckworth et al., 2007; Crust &amp; Clough, 2011; Macnamara et al., 2016). These are developmental variables, not evidence that all elite performers share a fixed psychological profile or that sex differences in persistence have already been established for esports.</w:t>
      </w:r>
    </w:p>
    <w:p>
      <w:pPr/>
      <w:r>
        <w:t>The proposed mechanism is concrete: players must repeatedly review errors, seek stronger opposition, tolerate setbacks and sustain productive practice. A capable player who lacks access, leaves the cohort or receives poor feedback cannot be treated as a failed test of mechanical capacity. Cohort data must separate those routes from a performance-limited transition.</w:t>
      </w:r>
    </w:p>
    <w:p>
      <w:pPr>
        <w:pStyle w:val="Heading2"/>
      </w:pPr>
      <w:r>
        <w:t>A. Competitive orientation and entry</w:t>
      </w:r>
    </w:p>
    <w:p>
      <w:pPr/>
      <w:r>
        <w:t>Interests and competitive orientation can alter the pool entering intensive training. Su et al. (2009) concerns vocational interests, while Deaner et al. (2012) examines participation in physical competition; their relevance here is an upstream hypothesis, not a direct estimate of esports motivation or skill. Selection into a game can also change the composition of its participants, so population-level tendencies need not recur within a selected player sample.</w:t>
      </w:r>
    </w:p>
    <w:p>
      <w:pPr/>
      <w:r>
        <w:t>Biological and personality variables may contribute to competitive orientation and persistence. The specific endocrine pathway is unnecessary to the core model and remains an indirect hypothesis in Appendix C.</w:t>
      </w:r>
    </w:p>
    <w:p>
      <w:pPr>
        <w:pStyle w:val="Heading2"/>
      </w:pPr>
      <w:r>
        <w:t>B. Endurance and sustained practice</w:t>
      </w:r>
    </w:p>
    <w:p>
      <w:pPr/>
      <w:r>
        <w:t>Elite competition also selects for sustained output across long sessions, series and tournaments. Cognitive endurance means maintaining timing, tracking, decision quality and attention as fatigue accumulates. It should be measured through within-session performance and recovery, alongside practice dose and dropout, rather than inferred from peak scores.</w:t>
      </w:r>
    </w:p>
    <w:p>
      <w:pPr/>
      <w:r>
        <w:t>Endurance is a supporting demand, not an established sex-specific coefficient. The funnel prediction concerns how entry, training intensity, persistence and performance combine; it does not assign every loss of participants to biology. Section XII specifies the longitudinal design needed to distinguish these paths.</w:t>
      </w:r>
    </w:p>
    <w:p w14:paraId="49177F18" w14:textId="77777777" w:rsidR="002E4C15" w:rsidRDefault="00000000">
      <w:pPr>
        <w:pStyle w:val="Heading1"/>
      </w:pPr>
      <w:r>
        <w:t>VIII. Construct Validity: A Proxy Is Not the Endpoint</w:t>
      </w:r>
    </w:p>
    <w:p w14:paraId="25739A0E" w14:textId="77777777" w:rsidR="002E4C15" w:rsidRDefault="00000000">
      <w:r>
        <w:t>A proxy can inform the model without being the endpoint. Task, population and outcome determine what a study can support. The same rule applies to parity evidence and to the adjacent evidence used here; Paper 2 develops the full literature and citation audit.</w:t>
      </w:r>
    </w:p>
    <w:p w14:paraId="5EE9D8DC" w14:textId="77777777" w:rsidR="002E4C15" w:rsidRDefault="00000000">
      <w:pPr>
        <w:pStyle w:val="Heading2"/>
      </w:pPr>
      <w:r>
        <w:t>A. What a proxy can establish</w:t>
      </w:r>
    </w:p>
    <w:p w14:paraId="4C315E97" w14:textId="77777777" w:rsidR="002E4C15" w:rsidRDefault="00000000">
      <w:pPr/>
      <w:r>
        <w:t>Simple reaction time, MMO progression, self-reported motivation and short novice training measure different constructs. None alone estimates trained adversarial output or its extreme tail. A simple task can nevertheless be a valid predictor: the question is whether it predicts later competitive performance across groups, training levels and the relevant selection range.</w:t>
      </w:r>
    </w:p>
    <w:p>
      <w:pPr/>
      <w:r>
        <w:t>Short novice-training studies such as Feng et al. (2007) and Harwell et al. (2018) estimate change over the observed interval, not an eventual asymptote. Early convergence is compatible with later convergence, persistence or divergence. The model predicts remaining selection-relevant differences in the trained tail; their persistence must be tested longitudinally, not inferred from the possibility of nonlinear learning.</w:t>
      </w:r>
    </w:p>
    <w:p>
      <w:pPr/>
      <w:pPr/>
      <w:r>
        <w:t>Shen et al. (2016) studied advancement in two social MMOs. Progression telemetry and guild adjustments do not isolate individual execution, active effort or event-level assistance, and the study does not test this paper’s elite endpoint. The standalone How a Proxy Became a Finding (2026) develops the corrected construct-and-citation audit; Paper 2 places that issue inside the broader cultural-literature review. The finding is relevant to MMO progression, not a direct estimate of the joint performance tail modeled here.</w:t>
      </w:r>
    </w:p>
    <w:p w14:paraId="5DBF1A85" w14:textId="77777777" w:rsidR="002E4C15" w:rsidRDefault="00000000">
      <w:pPr>
        <w:pStyle w:val="Heading2"/>
      </w:pPr>
      <w:r>
        <w:t>B. The symmetric transport standard</w:t>
      </w:r>
    </w:p>
    <w:p w14:paraId="0769573B" w14:textId="77777777" w:rsidR="002E4C15" w:rsidRDefault="00000000">
      <w:r>
        <w:t>For either side’s evidence, identify the missing step from measured task to trained competitive output: relevant timing, concurrent demands, learning, selection and sustained performance. Rejecting novice evidence against the model while accepting novice evidence for it would apply two different standards. The supporting studies in Section IV face this same transport problem.</w:t>
      </w:r>
    </w:p>
    <w:p>
      <w:pPr>
        <w:keepNext w:val="0"/>
        <w:pageBreakBefore w:val="0"/>
      </w:pPr>
      <w:r>
        <w:t>A null group mean difference on one task does not establish equal joint distributions or learning trajectories; a positive proxy difference does not establish an elite ceiling or a biological cause. Criterion validity and the prospective tests in Section XII decide how much either result contributes.</w:t>
      </w:r>
    </w:p>
    <w:p w14:paraId="25F33BDC" w14:textId="77777777" w:rsidR="002E4C15" w:rsidRDefault="00000000">
      <w:pPr>
        <w:pStyle w:val="Heading1"/>
      </w:pPr>
      <w:r>
        <w:t>IX. Define the Elite Endpoint Before Counting It</w:t>
      </w:r>
    </w:p>
    <w:p w14:paraId="7F4C2D20" w14:textId="77777777" w:rsidR="002E4C15" w:rsidRDefault="00000000">
      <w:r>
        <w:t>The endpoint has to be fixed before cases are counted. Here, sustained elite-tail performance means repeatedly performing as a competitive peer of the strongest opposition in a declared game, role and field across at least two consecutive full seasons. This is a player-performance category, not a synonym for participation in a league or tournament conventionally labeled Tier-1 or S-tier. Evidence consists of recurring wins in individual competition or strong opponent-adjusted contribution in team games. League membership, peak rank and isolated upsets do not suffice; support and flex count under the same role-relative standard.</w:t>
      </w:r>
    </w:p>
    <w:p w14:paraId="286C2C66" w14:textId="77777777" w:rsidR="002E4C15" w:rsidRDefault="00000000">
      <w:r>
        <w:t>Define the opponent group, exposure minimum, time window and success benchmark before counting cases. Top-five-to-eight role standing, top-three North American LoL mids and top-thirty global CS riflers are illustrative benchmarks, not interchangeable percentiles. Appendix D provides the case protocol, circuit distinctions and chess comparison. Polgár’s achievements must be recorded accurately; neither peak ranking alone nor failure to become world No. 1 decides the narrower repeated-performance criterion.</w:t>
      </w:r>
    </w:p>
    <w:p>
      <w:pPr/>
      <w:r>
        <w:t>This distinction matters for apparent counterexamples. Premier-league participation is evidence of reaching a high competitive stage, but it does not automatically establish the repeated individual-performance benchmark. Conversely, a player who repeatedly defeats the strongest opposition in an open individual competition can qualify even if the title's competitive ecology differs from a team esport. Boundary cases should therefore be classified by the declared performance criterion rather than by league labels, fame or post hoc exceptions.</w:t>
      </w:r>
    </w:p>
    <w:p w14:paraId="58EFFDA0" w14:textId="77777777" w:rsidR="008B7F88" w:rsidRDefault="00000000">
      <w:r>
        <w:t>The long competitive record motivates the hypothesis but is not a controlled experiment or a completed census under this definition. Open ladders, coaching and dedicated circuits provide development routes; their existence does not establish equal lifetime exposure. The relevant comparison follows specified entrants through actual training, retention and open outcomes.</w:t>
      </w:r>
    </w:p>
    <w:p>
      <w:pPr>
        <w:keepNext w:val="0"/>
        <w:pageBreakBefore w:val="0"/>
      </w:pPr>
      <w:r>
        <w:t>The biological-plus-funnel model predicts persistent elite skew after specified improvements in opportunity. Test it against convergence accounts using the same population, intervention, timeframe and endpoint. A qualifying woman counts fully; a distributional model must register an expected frequency and update when observed outcomes exceed it. The benchmark cannot rise after a counterexample appears.</w:t>
      </w:r>
    </w:p>
    <w:p w14:paraId="21863573" w14:textId="77777777" w:rsidR="002E4C15" w:rsidRDefault="00000000">
      <w:pPr>
        <w:pStyle w:val="Heading1"/>
      </w:pPr>
      <w:r>
        <w:rPr>
          <w:color w:val="000000"/>
        </w:rPr>
        <w:t>X. Counterarguments, Counterexamples, and Model Boundaries</w:t>
      </w:r>
    </w:p>
    <w:p>
      <w:pPr/>
      <w:r>
        <w:t>The model should be read as a tendency model, not a deterministic pipeline. Baseline capacity shapes the efficiency and ceiling of skill acquisition; it does not make individual outcomes inevitable. Some players compensate through early specialization, role fit, practice efficiency, team context, unusual motivation, or exceptional coaching. Career paths are also not linear: regional ecosystems, scouting, meta shifts, burnout, roster politics, and team structure all interrupt smooth funnel progression.</w:t>
      </w:r>
    </w:p>
    <w:p>
      <w:pPr/>
      <w:r>
        <w:t>Gamesense itself is partly domain-specific compression and partly transferable strategic cognition. Some players can switch titles and reach high levels quickly because they carry over predictive habits, spatial updating, opponent modeling, or competitive decision-making. That fact does not weaken the model; it clarifies it. The claim is not that every skill is trapped inside one game. The claim is that high-level skill acquisition and adaptation still draw on the underlying cognitive-motor capacities the model describes.</w:t>
      </w:r>
    </w:p>
    <w:p>
      <w:pPr>
        <w:pStyle w:val="Heading2"/>
      </w:pPr>
      <w:r>
        <w:rPr>
          <w:color w:val="000000"/>
        </w:rPr>
        <w:t>A. "Talent pool explains it."</w:t>
      </w:r>
    </w:p>
    <w:p>
      <w:pPr/>
      <w:r>
        <w:t>Talent pool size matters at every stage. A small input pool can by itself produce few elite outliers, so the hypothesis must be tested against a pool-size baseline using the actual committed-player denominator. Adding traits and training conversion earns explanatory value only if it improves predictions of who advances and how many reach the declared tail.</w:t>
      </w:r>
    </w:p>
    <w:p>
      <w:pPr>
        <w:pStyle w:val="Heading2"/>
      </w:pPr>
      <w:r>
        <w:rPr>
          <w:color w:val="000000"/>
        </w:rPr>
        <w:t>B. "It is just participation and socialization."</w:t>
      </w:r>
    </w:p>
    <w:p>
      <w:pPr/>
      <w:r>
        <w:t>Socialization, stigma and opportunity affect entry and development. My hypothesis is that those mechanisms are insufficient by themselves to explain the persistent elite skew. That is stronger than saying biology might matter, but it is also a comparative claim: quantify the exposure-only prediction and test whether the trait-plus-funnel model improves it.</w:t>
      </w:r>
    </w:p>
    <w:p>
      <w:pPr>
        <w:pStyle w:val="Heading2"/>
      </w:pPr>
      <w:r>
        <w:rPr>
          <w:color w:val="000000"/>
        </w:rPr>
        <w:t>C. "Practice closes the gap."</w:t>
      </w:r>
    </w:p>
    <w:p>
      <w:pPr/>
      <w:r>
        <w:t>Practice narrows many differences. The biological-plus-funnel model does not claim otherwise. The relevant question is whether practice eliminates residual differences at the extreme tail after thousands of hours of deliberate, feedback-dense training. Training can compress average gaps while leaving right-tail selection intact.</w:t>
      </w:r>
    </w:p>
    <w:p>
      <w:pPr>
        <w:pStyle w:val="Heading2"/>
      </w:pPr>
      <w:r>
        <w:rPr>
          <w:color w:val="000000"/>
        </w:rPr>
        <w:t>D. "The gap is closing."</w:t>
      </w:r>
    </w:p>
    <w:p>
      <w:pPr/>
      <w:r>
        <w:t>The model predicts that participation and mid-tier gains can coexist with a persistently skewed elite tail. A support or flex player who meets the stated role benchmark counts as elite; the role cannot be used to dismiss the result. The empirical question is how quickly qualifying cases accumulate relative to predictions from the entering pool and measured development pathways.</w:t>
      </w:r>
    </w:p>
    <w:p>
      <w:pPr>
        <w:pStyle w:val="Heading2"/>
      </w:pPr>
      <w:r>
        <w:rPr>
          <w:color w:val="000000"/>
        </w:rPr>
        <w:t>E. "Individual outliers disprove it."</w:t>
      </w:r>
    </w:p>
    <w:p>
      <w:pPr/>
      <w:r>
        <w:t>A distributional model predicts overlap. A female player meeting the declared repeated-performance benchmark is nevertheless consequential evidence, especially against a very low expected frequency. The case cannot be dismissed because the game, role or route is inconvenient to the hypothesis; nor can mere membership in a premier league be promoted into evidence of extreme-tail individual performance. A strong career such as Polgár’s must be recorded accurately and evaluated under the same opponent and duration rules as male careers. Neither fame nor peak rank alone establishes the narrower criterion; failure to be world No. 1 cannot disqualify an otherwise qualifying case. Frequencies above a registered prediction weaken the model.</w:t>
      </w:r>
    </w:p>
    <w:p>
      <w:pPr>
        <w:pStyle w:val="Heading2"/>
      </w:pPr>
      <w:r>
        <w:rPr>
          <w:color w:val="000000"/>
        </w:rPr>
        <w:t>F. "The model is unfalsifiable."</w:t>
      </w:r>
    </w:p>
    <w:p>
      <w:pPr/>
      <w:r>
        <w:t>The model is falsifiable through its component predictions and its eventual population forecast. Pre-measured traits must predict later advancement; the proposed sex-by-load interaction must appear on the specified tasks; training trajectories must retain the predicted differences; and calibrated conditional transitions must forecast the elite tail. Precise failures weaken the corresponding mechanism. A matched-rank null is a narrower composition result, not a clean falsifier of the whole model.</w:t>
      </w:r>
    </w:p>
    <w:p>
      <w:pPr/>
      <w:r>
        <w:t>The hypothesis is that leaving relevant trait distributions and training conversion out of the explanation produces worse predictions of elite outcomes. Section XII states how to test that claim without treating every positive sex difference as confirmation.</w:t>
      </w:r>
    </w:p>
    <w:p>
      <w:pPr>
        <w:pStyle w:val="Heading2"/>
      </w:pPr>
      <w:r>
        <w:t>Where the Models Actually Differ</w:t>
      </w:r>
    </w:p>
    <w:tbl>
      <w:tblPr>
        <w:tblStyle w:val="TableGrid"/>
        <w:tblW w:type="auto" w:w="0"/>
        <w:tblLayout w:type="fixed"/>
        <w:tblLook w:firstColumn="1" w:firstRow="1" w:lastColumn="0" w:lastRow="0" w:noHBand="0" w:noVBand="1" w:val="04A0"/>
      </w:tblPr>
      <w:tblGrid>
        <w:gridCol w:w="3360"/>
        <w:gridCol w:w="3360"/>
        <w:gridCol w:w="3360"/>
      </w:tblGrid>
      <w:tr>
        <w:trPr>
          <w:cantSplit/>
          <w:tblHeader/>
        </w:trPr>
        <w:tc>
          <w:tcPr>
            <w:tcW w:type="dxa" w:w="1728"/>
            <w:shd w:fill="18324F"/>
          </w:tcPr>
          <w:p>
            <w:pPr>
              <w:spacing w:after="80" w:before="80"/>
            </w:pPr>
            <w:r>
              <w:rPr>
                <w:b/>
                <w:color w:val="FFFFFF"/>
                <w:sz w:val="18"/>
              </w:rPr>
              <w:t>Context</w:t>
            </w:r>
          </w:p>
        </w:tc>
        <w:tc>
          <w:tcPr>
            <w:tcW w:type="dxa" w:w="3528"/>
            <w:shd w:fill="18324F"/>
          </w:tcPr>
          <w:p>
            <w:pPr>
              <w:spacing w:after="80" w:before="80"/>
            </w:pPr>
            <w:r>
              <w:rPr>
                <w:b/>
                <w:color w:val="FFFFFF"/>
                <w:sz w:val="18"/>
              </w:rPr>
              <w:t>Biological-plus-funnel prediction</w:t>
            </w:r>
          </w:p>
        </w:tc>
        <w:tc>
          <w:tcPr>
            <w:tcW w:type="dxa" w:w="3384"/>
            <w:shd w:fill="18324F"/>
          </w:tcPr>
          <w:p>
            <w:pPr>
              <w:spacing w:after="80" w:before="80"/>
            </w:pPr>
            <w:r>
              <w:rPr>
                <w:b/>
                <w:color w:val="FFFFFF"/>
                <w:sz w:val="18"/>
              </w:rPr>
              <w:t>Discriminating evidence</w:t>
            </w:r>
          </w:p>
        </w:tc>
      </w:tr>
      <w:tr>
        <w:trPr>
          <w:cantSplit/>
        </w:trPr>
        <w:tc>
          <w:tcPr>
            <w:tcW w:type="dxa" w:w="1728"/>
          </w:tcPr>
          <w:p>
            <w:pPr>
              <w:spacing w:after="80" w:before="80"/>
            </w:pPr>
            <w:r>
              <w:rPr>
                <w:sz w:val="18"/>
              </w:rPr>
              <w:t>Repeated selection</w:t>
            </w:r>
          </w:p>
        </w:tc>
        <w:tc>
          <w:tcPr>
            <w:tcW w:type="dxa" w:w="3528"/>
          </w:tcPr>
          <w:p>
            <w:pPr>
              <w:spacing w:after="80" w:before="80"/>
            </w:pPr>
            <w:r>
              <w:rPr>
                <w:sz w:val="18"/>
              </w:rPr>
              <w:t>Prediction: divergence may increase toward the elite tail.</w:t>
            </w:r>
          </w:p>
        </w:tc>
        <w:tc>
          <w:tcPr>
            <w:tcW w:type="dxa" w:w="3384"/>
          </w:tcPr>
          <w:p>
            <w:pPr>
              <w:spacing w:after="80" w:before="80"/>
            </w:pPr>
            <w:r>
              <w:rPr>
                <w:sz w:val="18"/>
              </w:rPr>
              <w:t>Calibrated conditional transitions predict a later cohort better than the opportunity comparator.</w:t>
            </w:r>
          </w:p>
        </w:tc>
      </w:tr>
      <w:tr>
        <w:trPr>
          <w:cantSplit/>
        </w:trPr>
        <w:tc>
          <w:tcPr>
            <w:tcW w:type="dxa" w:w="1728"/>
          </w:tcPr>
          <w:p>
            <w:pPr>
              <w:spacing w:after="80" w:before="80"/>
            </w:pPr>
            <w:r>
              <w:rPr>
                <w:sz w:val="18"/>
              </w:rPr>
              <w:t>Comparable practice and access</w:t>
            </w:r>
          </w:p>
        </w:tc>
        <w:tc>
          <w:tcPr>
            <w:tcW w:type="dxa" w:w="3528"/>
          </w:tcPr>
          <w:p>
            <w:pPr>
              <w:spacing w:after="80" w:before="80"/>
            </w:pPr>
            <w:r>
              <w:rPr>
                <w:sz w:val="18"/>
              </w:rPr>
              <w:t>Prediction: equal practice need not produce equal elite-tail outcomes.</w:t>
            </w:r>
          </w:p>
        </w:tc>
        <w:tc>
          <w:tcPr>
            <w:tcW w:type="dxa" w:w="3384"/>
          </w:tcPr>
          <w:p>
            <w:pPr>
              <w:spacing w:after="80" w:before="80"/>
            </w:pPr>
            <w:r>
              <w:rPr>
                <w:sz w:val="18"/>
              </w:rPr>
              <w:t>Prospective cohorts measure dose, quality, opportunity, dropout and trained-tail outcomes.</w:t>
            </w:r>
          </w:p>
        </w:tc>
      </w:tr>
      <w:tr>
        <w:trPr>
          <w:cantSplit/>
        </w:trPr>
        <w:tc>
          <w:tcPr>
            <w:tcW w:type="dxa" w:w="1728"/>
          </w:tcPr>
          <w:p>
            <w:pPr>
              <w:spacing w:after="80" w:before="80"/>
            </w:pPr>
            <w:r>
              <w:rPr>
                <w:sz w:val="18"/>
              </w:rPr>
              <w:t>Training conversion</w:t>
            </w:r>
          </w:p>
        </w:tc>
        <w:tc>
          <w:tcPr>
            <w:tcW w:type="dxa" w:w="3528"/>
          </w:tcPr>
          <w:p>
            <w:pPr>
              <w:spacing w:after="80" w:before="80"/>
            </w:pPr>
            <w:r>
              <w:rPr>
                <w:sz w:val="18"/>
              </w:rPr>
              <w:t>Prediction: specified traits help explain who extracts more performance from training.</w:t>
            </w:r>
          </w:p>
        </w:tc>
        <w:tc>
          <w:tcPr>
            <w:tcW w:type="dxa" w:w="3384"/>
          </w:tcPr>
          <w:p>
            <w:pPr>
              <w:spacing w:after="80" w:before="80"/>
            </w:pPr>
            <w:r>
              <w:rPr>
                <w:sz w:val="18"/>
              </w:rPr>
              <w:t>Pre-measured traits add held-out predictive value beyond exposure and opportunity.</w:t>
            </w:r>
          </w:p>
        </w:tc>
      </w:tr>
      <w:tr>
        <w:trPr>
          <w:cantSplit/>
        </w:trPr>
        <w:tc>
          <w:tcPr>
            <w:tcW w:type="dxa" w:w="1728"/>
          </w:tcPr>
          <w:p>
            <w:pPr>
              <w:spacing w:after="80" w:before="80"/>
            </w:pPr>
            <w:r>
              <w:rPr>
                <w:sz w:val="18"/>
              </w:rPr>
              <w:t>System or meta changes</w:t>
            </w:r>
          </w:p>
        </w:tc>
        <w:tc>
          <w:tcPr>
            <w:tcW w:type="dxa" w:w="3528"/>
          </w:tcPr>
          <w:p>
            <w:pPr>
              <w:spacing w:after="80" w:before="80"/>
            </w:pPr>
            <w:r>
              <w:rPr>
                <w:sz w:val="18"/>
              </w:rPr>
              <w:t>Prediction: changes may interact with different skill profiles; the direction is not assumed.</w:t>
            </w:r>
          </w:p>
        </w:tc>
        <w:tc>
          <w:tcPr>
            <w:tcW w:type="dxa" w:w="3384"/>
          </w:tcPr>
          <w:p>
            <w:pPr>
              <w:spacing w:after="80" w:before="80"/>
            </w:pPr>
            <w:r>
              <w:rPr>
                <w:sz w:val="18"/>
              </w:rPr>
              <w:t>Repeated within-player measurements test registered trait-by-change effects.</w:t>
            </w:r>
          </w:p>
        </w:tc>
      </w:tr>
    </w:tbl>
    <w:p w14:paraId="13738E41" w14:textId="77777777" w:rsidR="002E4C15" w:rsidRDefault="00000000">
      <w:pPr>
        <w:pStyle w:val="Caption"/>
        <w:jc w:val="center"/>
      </w:pPr>
      <w:r>
        <w:t>Figure 4. Hypothesized model comparison. These are predictions, not established divergence effects. The comparator is a specified exposure-and-opportunity account predicting convergence after defined changes, not every cultural explanation. Both models can allow substantial effects of practice and access.</w:t>
      </w:r>
    </w:p>
    <w:p w14:paraId="53251D6B" w14:textId="77777777" w:rsidR="002E4C15" w:rsidRDefault="00000000">
      <w:pPr>
        <w:pStyle w:val="Heading1"/>
      </w:pPr>
      <w:r>
        <w:rPr>
          <w:color w:val="000000"/>
        </w:rPr>
        <w:t>XI. What This Argument Does and Does Not Claim</w:t>
      </w:r>
    </w:p>
    <w:tbl>
      <w:tblPr>
        <w:tblStyle w:val="TableGrid"/>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4608"/>
      </w:tblGrid>
      <w:tr>
        <w:trPr>
          <w:cantSplit/>
          <w:tblHeader/>
        </w:trPr>
        <w:tc>
          <w:tcPr>
            <w:tcW w:type="dxa" w:w="4608"/>
            <w:vAlign w:val="center"/>
            <w:shd w:fill="17354A"/>
            <w:tcMar>
              <w:top w:w="90" w:type="dxa"/>
              <w:bottom w:w="90" w:type="dxa"/>
              <w:left w:w="90" w:type="dxa"/>
              <w:right w:w="90" w:type="dxa"/>
            </w:tcMar>
          </w:tcPr>
          <w:p>
            <w:pPr>
              <w:keepNext/>
              <w:spacing w:before="40" w:after="60" w:line="247" w:lineRule="auto"/>
            </w:pPr>
            <w:r>
              <w:rPr>
                <w:rFonts w:ascii="Arial" w:hAnsi="Arial"/>
                <w:b/>
                <w:color w:val="FFFFFF"/>
                <w:sz w:val="18"/>
              </w:rPr>
              <w:t>Claims</w:t>
            </w:r>
          </w:p>
        </w:tc>
        <w:tc>
          <w:tcPr>
            <w:tcW w:type="dxa" w:w="4608"/>
            <w:vAlign w:val="center"/>
            <w:shd w:fill="17354A"/>
            <w:tcMar>
              <w:top w:w="90" w:type="dxa"/>
              <w:bottom w:w="90" w:type="dxa"/>
              <w:left w:w="90" w:type="dxa"/>
              <w:right w:w="90" w:type="dxa"/>
            </w:tcMar>
          </w:tcPr>
          <w:p>
            <w:pPr>
              <w:keepNext/>
              <w:spacing w:before="40" w:after="60" w:line="247" w:lineRule="auto"/>
            </w:pPr>
            <w:r>
              <w:rPr>
                <w:rFonts w:ascii="Arial" w:hAnsi="Arial"/>
                <w:b/>
                <w:color w:val="FFFFFF"/>
                <w:sz w:val="18"/>
              </w:rPr>
              <w:t>Does Not Claim</w:t>
            </w:r>
          </w:p>
        </w:tc>
      </w:tr>
      <w:tr>
        <w:trPr>
          <w:cantSplit/>
        </w:trPr>
        <w:tc>
          <w:tcPr>
            <w:tcW w:type="dxa" w:w="4608"/>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8"/>
              </w:rPr>
              <w:t>Elite esports has a biological psychomotor substrate.</w:t>
            </w:r>
          </w:p>
        </w:tc>
        <w:tc>
          <w:tcPr>
            <w:tcW w:type="dxa" w:w="4608"/>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8"/>
              </w:rPr>
              <w:t>Women cannot be excellent players.</w:t>
            </w:r>
          </w:p>
        </w:tc>
      </w:tr>
      <w:tr>
        <w:trPr>
          <w:cantSplit/>
        </w:trPr>
        <w:tc>
          <w:tcPr>
            <w:tcW w:type="dxa" w:w="4608"/>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8"/>
              </w:rPr>
              <w:t>Multi-trait selection can amplify modest mean differences at the extreme tail.</w:t>
            </w:r>
          </w:p>
        </w:tc>
        <w:tc>
          <w:tcPr>
            <w:tcW w:type="dxa" w:w="4608"/>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8"/>
              </w:rPr>
              <w:t>Every male player outperforms every female player.</w:t>
            </w:r>
          </w:p>
        </w:tc>
      </w:tr>
      <w:tr>
        <w:trPr>
          <w:cantSplit/>
        </w:trPr>
        <w:tc>
          <w:tcPr>
            <w:tcW w:type="dxa" w:w="4608"/>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8"/>
              </w:rPr>
              <w:t>The hypothesis is that cultural factors alone are insufficient to explain the persistent elite skew.</w:t>
            </w:r>
          </w:p>
        </w:tc>
        <w:tc>
          <w:tcPr>
            <w:tcW w:type="dxa" w:w="4608"/>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8"/>
              </w:rPr>
              <w:t>Cultural barriers are irrelevant at lower levels.</w:t>
            </w:r>
          </w:p>
        </w:tc>
      </w:tr>
      <w:tr>
        <w:trPr>
          <w:cantSplit/>
        </w:trPr>
        <w:tc>
          <w:tcPr>
            <w:tcW w:type="dxa" w:w="4608"/>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8"/>
              </w:rPr>
              <w:t>Existing studies often use proxies that do not measure elite performance constructs.</w:t>
            </w:r>
          </w:p>
        </w:tc>
        <w:tc>
          <w:tcPr>
            <w:tcW w:type="dxa" w:w="4608"/>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8"/>
              </w:rPr>
              <w:t>All existing esports gender research is useless.</w:t>
            </w:r>
          </w:p>
        </w:tc>
      </w:tr>
      <w:tr>
        <w:trPr>
          <w:cantSplit/>
        </w:trPr>
        <w:tc>
          <w:tcPr>
            <w:tcW w:type="dxa" w:w="4608"/>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8"/>
              </w:rPr>
              <w:t>Better telemetry can test the model more directly.</w:t>
            </w:r>
          </w:p>
        </w:tc>
        <w:tc>
          <w:tcPr>
            <w:tcW w:type="dxa" w:w="4608"/>
            <w:vAlign w:val="center"/>
            <w:shd w:fill="F2F5F7"/>
            <w:tcMar>
              <w:top w:w="90" w:type="dxa"/>
              <w:bottom w:w="90" w:type="dxa"/>
              <w:left w:w="90" w:type="dxa"/>
              <w:right w:w="90" w:type="dxa"/>
            </w:tcMar>
          </w:tcPr>
          <w:p>
            <w:pPr>
              <w:keepNext w:val="0"/>
              <w:spacing w:before="40" w:after="60" w:line="247" w:lineRule="auto"/>
            </w:pPr>
            <w:r>
              <w:rPr>
                <w:rFonts w:ascii="Arial" w:hAnsi="Arial"/>
                <w:b w:val="0"/>
                <w:color w:val="000000"/>
                <w:sz w:val="18"/>
              </w:rPr>
              <w:t>The question is closed forever.</w:t>
            </w:r>
          </w:p>
        </w:tc>
      </w:tr>
    </w:tbl>
    <w:p>
      <w:pPr>
        <w:pStyle w:val="Heading2"/>
      </w:pPr>
      <w:r>
        <w:t>From Hypothesis to Dataset: Minimum Evidence Required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pPr>
              <w:spacing w:after="0"/>
            </w:pPr>
            <w:r>
              <w:rPr>
                <w:rFonts w:ascii="Arial" w:hAnsi="Arial" w:eastAsia="Arial"/>
                <w:b/>
                <w:sz w:val="18"/>
              </w:rPr>
              <w:t>Stage</w:t>
            </w:r>
          </w:p>
        </w:tc>
        <w:tc>
          <w:tcPr>
            <w:tcW w:type="dxa" w:w="5040"/>
            <w:shd w:fill="D9EAF7"/>
          </w:tcPr>
          <w:p>
            <w:pPr>
              <w:spacing w:after="0"/>
            </w:pPr>
            <w:r>
              <w:rPr>
                <w:rFonts w:ascii="Arial" w:hAnsi="Arial" w:eastAsia="Arial"/>
                <w:b/>
                <w:sz w:val="18"/>
              </w:rPr>
              <w:t>Minimum evidence</w:t>
            </w:r>
          </w:p>
        </w:tc>
      </w:tr>
      <w:tr>
        <w:tc>
          <w:tcPr>
            <w:tcW w:type="dxa" w:w="5040"/>
            <w:vAlign w:val="top"/>
          </w:tcPr>
          <w:p>
            <w:pPr>
              <w:spacing w:after="0"/>
            </w:pPr>
            <w:r>
              <w:rPr>
                <w:rFonts w:ascii="Arial" w:hAnsi="Arial" w:eastAsia="Arial"/>
                <w:b w:val="0"/>
                <w:sz w:val="18"/>
              </w:rPr>
              <w:t>Entry</w:t>
            </w:r>
          </w:p>
        </w:tc>
        <w:tc>
          <w:tcPr>
            <w:tcW w:type="dxa" w:w="5040"/>
            <w:vAlign w:val="top"/>
          </w:tcPr>
          <w:p>
            <w:pPr>
              <w:spacing w:after="0"/>
            </w:pPr>
            <w:r>
              <w:rPr>
                <w:rFonts w:ascii="Arial" w:hAnsi="Arial" w:eastAsia="Arial"/>
                <w:b w:val="0"/>
                <w:sz w:val="18"/>
              </w:rPr>
              <w:t>Aligned game, region and eligibility window; committed-player denominator; competitive intent and prior exposure.</w:t>
            </w:r>
          </w:p>
        </w:tc>
      </w:tr>
      <w:tr>
        <w:tc>
          <w:tcPr>
            <w:tcW w:type="dxa" w:w="5040"/>
            <w:vAlign w:val="top"/>
          </w:tcPr>
          <w:p>
            <w:pPr>
              <w:spacing w:after="0"/>
            </w:pPr>
            <w:r>
              <w:rPr>
                <w:rFonts w:ascii="Arial" w:hAnsi="Arial" w:eastAsia="Arial"/>
                <w:b w:val="0"/>
                <w:sz w:val="18"/>
              </w:rPr>
              <w:t>Development</w:t>
            </w:r>
          </w:p>
        </w:tc>
        <w:tc>
          <w:tcPr>
            <w:tcW w:type="dxa" w:w="5040"/>
            <w:vAlign w:val="top"/>
          </w:tcPr>
          <w:p>
            <w:pPr>
              <w:spacing w:after="0"/>
            </w:pPr>
            <w:r>
              <w:rPr>
                <w:rFonts w:ascii="Arial" w:hAnsi="Arial" w:eastAsia="Arial"/>
                <w:b w:val="0"/>
                <w:sz w:val="18"/>
              </w:rPr>
              <w:t>Prior experience, practice dose and quality, coaching, opportunity, role changes, retention and dropout.</w:t>
            </w:r>
          </w:p>
        </w:tc>
      </w:tr>
      <w:tr>
        <w:tc>
          <w:tcPr>
            <w:tcW w:type="dxa" w:w="5040"/>
            <w:vAlign w:val="top"/>
          </w:tcPr>
          <w:p>
            <w:pPr>
              <w:spacing w:after="0"/>
            </w:pPr>
            <w:r>
              <w:rPr>
                <w:rFonts w:ascii="Arial" w:hAnsi="Arial" w:eastAsia="Arial"/>
                <w:b w:val="0"/>
                <w:sz w:val="18"/>
              </w:rPr>
              <w:t>Performance</w:t>
            </w:r>
          </w:p>
        </w:tc>
        <w:tc>
          <w:tcPr>
            <w:tcW w:type="dxa" w:w="5040"/>
            <w:vAlign w:val="top"/>
          </w:tcPr>
          <w:p>
            <w:pPr>
              <w:spacing w:after="0"/>
            </w:pPr>
            <w:r>
              <w:rPr>
                <w:rFonts w:ascii="Arial" w:hAnsi="Arial" w:eastAsia="Arial"/>
                <w:b w:val="0"/>
                <w:sz w:val="18"/>
              </w:rPr>
              <w:t>Role-specific telemetry against calibrated opposition; relevant hardware, latency and task-exposure controls.</w:t>
            </w:r>
          </w:p>
        </w:tc>
      </w:tr>
      <w:tr>
        <w:tc>
          <w:tcPr>
            <w:tcW w:type="dxa" w:w="5040"/>
            <w:vAlign w:val="top"/>
          </w:tcPr>
          <w:p>
            <w:pPr>
              <w:spacing w:after="0"/>
            </w:pPr>
            <w:r>
              <w:rPr>
                <w:rFonts w:ascii="Arial" w:hAnsi="Arial" w:eastAsia="Arial"/>
                <w:b w:val="0"/>
                <w:sz w:val="18"/>
              </w:rPr>
              <w:t>Elite selection</w:t>
            </w:r>
          </w:p>
        </w:tc>
        <w:tc>
          <w:tcPr>
            <w:tcW w:type="dxa" w:w="5040"/>
            <w:vAlign w:val="top"/>
          </w:tcPr>
          <w:p>
            <w:pPr>
              <w:spacing w:after="0"/>
            </w:pPr>
            <w:r>
              <w:rPr>
                <w:rFonts w:ascii="Arial" w:hAnsi="Arial" w:eastAsia="Arial"/>
                <w:b w:val="0"/>
                <w:sz w:val="18"/>
              </w:rPr>
              <w:t>Predeclared endpoint, minimum exposure and duration, opponent-adjusted output, conditional transition rates and later-cohort frequency.</w:t>
            </w:r>
          </w:p>
        </w:tc>
      </w:tr>
    </w:tbl>
    <w:p>
      <w:pPr/>
      <w:r>
        <w:t>Appendix D expands the record-specific protocol; Section XII turns this data spine into component tests with registered predictions and explicit evidence against them.</w:t>
      </w:r>
    </w:p>
    <w:p w14:paraId="018860FC" w14:textId="77777777" w:rsidR="002E4C15" w:rsidRDefault="00000000">
      <w:pPr>
        <w:pStyle w:val="Heading1"/>
      </w:pPr>
      <w:r>
        <w:t>XII. What Would Actually Test the Model</w:t>
      </w:r>
    </w:p>
    <w:p w14:paraId="67FD4D22" w14:textId="77777777" w:rsidR="002E4C15" w:rsidRDefault="00000000">
      <w:r>
        <w:t>The first test is prospective. Measure relevant traits before the advancement period, recruit across the entering competitive cohort rather than only at a fixed achieved rank, and follow later role-specific output and stage transitions. Compare held-out prediction from practice and opportunity measures with prediction after adding the specified traits. Failure to improve prediction with adequate precision weakens the proposed trait-to-performance link.</w:t>
      </w:r>
    </w:p>
    <w:p w14:paraId="7B84FAEB" w14:textId="77777777" w:rsidR="002E4C15" w:rsidRDefault="00000000">
      <w:r>
        <w:t>The second test isolates load. Randomize the order or level of concurrent demands in standardized, game-relevant tasks and register the sex-by-load interaction, performance measure and smallest meaningful effect in advance. Control input hardware, latency and task exposure. An adequately precise null interaction challenges the widening-under-load mechanism; a positive interaction supports that behavioral prediction without identifying its biological origin.</w:t>
      </w:r>
    </w:p>
    <w:p w14:paraId="379AF3D8" w14:textId="77777777" w:rsidR="002E4C15" w:rsidRDefault="00000000">
      <w:r>
        <w:t>The third test follows development. Track entry cohorts, prior experience, coaching, training method, dose, role changes, opportunity and dropout. Estimate learning trajectories and practical equivalence margins over a defined period, including sensitivity to selective retention. The model predicts that comparable development opportunities will not fully erase the relevant trained-tail differences. Equivalent trajectories and tail outcomes with enough precision would weaken that prediction; a short novice window cannot settle it.</w:t>
      </w:r>
    </w:p>
    <w:p w14:paraId="4E8983A7" w14:textId="77777777" w:rsidR="002E4C15" w:rsidRDefault="00000000">
      <w:r>
        <w:t>The fourth test is the population forecast. Fit the joint trait distribution and conditional stage-transition probabilities in one cohort, retain covariance and role substitution, and predict a later cohort’s sustained elite outcomes with uncertainty intervals. Compare an exposure-and-opportunity model with the trait-plus-funnel model on the same held-out cases. Systematic overprediction of male skew, or no predictive gain from the proposed mechanisms, counts against the model. The numeric elite frequency must be fixed by this calibration before the outcome is inspected.</w:t>
      </w:r>
    </w:p>
    <w:p w14:paraId="0C8C83E0" w14:textId="77777777" w:rsidR="002E4C15" w:rsidRDefault="00000000">
      <w:pPr>
        <w:pStyle w:val="Caption"/>
      </w:pPr>
      <w:r>
        <w:t>Table XII1. Component tests and the evidence that would count against each prediction.</w:t>
      </w:r>
    </w:p>
    <w:tbl>
      <w:tblPr>
        <w:tblStyle w:val="TableGrid"/>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744"/>
        <w:gridCol w:w="3456"/>
      </w:tblGrid>
      <w:tr>
        <w:trPr>
          <w:cantSplit/>
          <w:tblHeader/>
        </w:trPr>
        <w:tc>
          <w:tcPr>
            <w:tcW w:type="dxa" w:w="2016"/>
            <w:vAlign w:val="center"/>
            <w:shd w:fill="17354A"/>
            <w:tcMar>
              <w:top w:w="90" w:type="dxa"/>
              <w:bottom w:w="90" w:type="dxa"/>
              <w:left w:w="90" w:type="dxa"/>
              <w:right w:w="90" w:type="dxa"/>
            </w:tcMar>
          </w:tcPr>
          <w:p>
            <w:pPr>
              <w:spacing w:before="40" w:after="60" w:line="247" w:lineRule="auto"/>
            </w:pPr>
            <w:r>
              <w:rPr>
                <w:rFonts w:ascii="Arial" w:hAnsi="Arial"/>
                <w:b/>
                <w:color w:val="FFFFFF"/>
                <w:sz w:val="18"/>
              </w:rPr>
              <w:t>Component test</w:t>
            </w:r>
          </w:p>
        </w:tc>
        <w:tc>
          <w:tcPr>
            <w:tcW w:type="dxa" w:w="3744"/>
            <w:vAlign w:val="center"/>
            <w:shd w:fill="17354A"/>
            <w:tcMar>
              <w:top w:w="90" w:type="dxa"/>
              <w:bottom w:w="90" w:type="dxa"/>
              <w:left w:w="90" w:type="dxa"/>
              <w:right w:w="90" w:type="dxa"/>
            </w:tcMar>
          </w:tcPr>
          <w:p>
            <w:pPr>
              <w:spacing w:before="40" w:after="60" w:line="247" w:lineRule="auto"/>
            </w:pPr>
            <w:r>
              <w:rPr>
                <w:rFonts w:ascii="Arial" w:hAnsi="Arial"/>
                <w:b/>
                <w:color w:val="FFFFFF"/>
                <w:sz w:val="18"/>
              </w:rPr>
              <w:t>Registered prediction</w:t>
            </w:r>
          </w:p>
        </w:tc>
        <w:tc>
          <w:tcPr>
            <w:tcW w:type="dxa" w:w="3456"/>
            <w:vAlign w:val="center"/>
            <w:shd w:fill="17354A"/>
            <w:tcMar>
              <w:top w:w="90" w:type="dxa"/>
              <w:bottom w:w="90" w:type="dxa"/>
              <w:left w:w="90" w:type="dxa"/>
              <w:right w:w="90" w:type="dxa"/>
            </w:tcMar>
          </w:tcPr>
          <w:p>
            <w:pPr>
              <w:spacing w:before="40" w:after="60" w:line="247" w:lineRule="auto"/>
            </w:pPr>
            <w:r>
              <w:rPr>
                <w:rFonts w:ascii="Arial" w:hAnsi="Arial"/>
                <w:b/>
                <w:color w:val="FFFFFF"/>
                <w:sz w:val="18"/>
              </w:rPr>
              <w:t>Evidence against it</w:t>
            </w:r>
          </w:p>
        </w:tc>
      </w:tr>
      <w:tr>
        <w:trPr>
          <w:cantSplit/>
        </w:trPr>
        <w:tc>
          <w:tcPr>
            <w:tcW w:type="dxa" w:w="2016"/>
            <w:vAlign w:val="center"/>
            <w:shd w:fill="F2F5F7"/>
            <w:tcMar>
              <w:top w:w="90" w:type="dxa"/>
              <w:bottom w:w="90" w:type="dxa"/>
              <w:left w:w="90" w:type="dxa"/>
              <w:right w:w="90" w:type="dxa"/>
            </w:tcMar>
          </w:tcPr>
          <w:p>
            <w:pPr>
              <w:spacing w:before="40" w:after="60" w:line="247" w:lineRule="auto"/>
            </w:pPr>
            <w:r>
              <w:rPr>
                <w:rFonts w:ascii="Arial" w:hAnsi="Arial"/>
                <w:b w:val="0"/>
                <w:color w:val="000000"/>
                <w:sz w:val="18"/>
              </w:rPr>
              <w:t>Prospective trait prediction</w:t>
            </w:r>
          </w:p>
        </w:tc>
        <w:tc>
          <w:tcPr>
            <w:tcW w:type="dxa" w:w="3744"/>
            <w:vAlign w:val="center"/>
            <w:shd w:fill="F2F5F7"/>
            <w:tcMar>
              <w:top w:w="90" w:type="dxa"/>
              <w:bottom w:w="90" w:type="dxa"/>
              <w:left w:w="90" w:type="dxa"/>
              <w:right w:w="90" w:type="dxa"/>
            </w:tcMar>
          </w:tcPr>
          <w:p>
            <w:pPr>
              <w:spacing w:before="40" w:after="60" w:line="247" w:lineRule="auto"/>
            </w:pPr>
            <w:r>
              <w:rPr>
                <w:rFonts w:ascii="Arial" w:hAnsi="Arial"/>
                <w:b w:val="0"/>
                <w:color w:val="000000"/>
                <w:sz w:val="18"/>
              </w:rPr>
              <w:t>Specified traits improve prediction of later advancement beyond practice and opportunity.</w:t>
            </w:r>
          </w:p>
        </w:tc>
        <w:tc>
          <w:tcPr>
            <w:tcW w:type="dxa" w:w="3456"/>
            <w:vAlign w:val="center"/>
            <w:shd w:fill="F2F5F7"/>
            <w:tcMar>
              <w:top w:w="90" w:type="dxa"/>
              <w:bottom w:w="90" w:type="dxa"/>
              <w:left w:w="90" w:type="dxa"/>
              <w:right w:w="90" w:type="dxa"/>
            </w:tcMar>
          </w:tcPr>
          <w:p>
            <w:pPr>
              <w:spacing w:before="40" w:after="60" w:line="247" w:lineRule="auto"/>
            </w:pPr>
            <w:r>
              <w:rPr>
                <w:rFonts w:ascii="Arial" w:hAnsi="Arial"/>
                <w:b w:val="0"/>
                <w:color w:val="000000"/>
                <w:sz w:val="18"/>
              </w:rPr>
              <w:t>No meaningful held-out predictive gain with adequate precision.</w:t>
            </w:r>
          </w:p>
        </w:tc>
      </w:tr>
      <w:tr>
        <w:trPr>
          <w:cantSplit/>
        </w:trPr>
        <w:tc>
          <w:tcPr>
            <w:tcW w:type="dxa" w:w="2016"/>
            <w:vAlign w:val="center"/>
            <w:shd w:fill="FFFFFF"/>
            <w:tcMar>
              <w:top w:w="90" w:type="dxa"/>
              <w:bottom w:w="90" w:type="dxa"/>
              <w:left w:w="90" w:type="dxa"/>
              <w:right w:w="90" w:type="dxa"/>
            </w:tcMar>
          </w:tcPr>
          <w:p>
            <w:pPr>
              <w:spacing w:before="40" w:after="60" w:line="247" w:lineRule="auto"/>
            </w:pPr>
            <w:r>
              <w:rPr>
                <w:rFonts w:ascii="Arial" w:hAnsi="Arial"/>
                <w:b w:val="0"/>
                <w:color w:val="000000"/>
                <w:sz w:val="18"/>
              </w:rPr>
              <w:t>Randomized concurrent load</w:t>
            </w:r>
          </w:p>
        </w:tc>
        <w:tc>
          <w:tcPr>
            <w:tcW w:type="dxa" w:w="3744"/>
            <w:vAlign w:val="center"/>
            <w:shd w:fill="FFFFFF"/>
            <w:tcMar>
              <w:top w:w="90" w:type="dxa"/>
              <w:bottom w:w="90" w:type="dxa"/>
              <w:left w:w="90" w:type="dxa"/>
              <w:right w:w="90" w:type="dxa"/>
            </w:tcMar>
          </w:tcPr>
          <w:p>
            <w:pPr>
              <w:spacing w:before="40" w:after="60" w:line="247" w:lineRule="auto"/>
            </w:pPr>
            <w:r>
              <w:rPr>
                <w:rFonts w:ascii="Arial" w:hAnsi="Arial"/>
                <w:b w:val="0"/>
                <w:color w:val="000000"/>
                <w:sz w:val="18"/>
              </w:rPr>
              <w:t>A specified sex-by-load interaction on relevant timing or accuracy measures.</w:t>
            </w:r>
          </w:p>
        </w:tc>
        <w:tc>
          <w:tcPr>
            <w:tcW w:type="dxa" w:w="3456"/>
            <w:vAlign w:val="center"/>
            <w:shd w:fill="FFFFFF"/>
            <w:tcMar>
              <w:top w:w="90" w:type="dxa"/>
              <w:bottom w:w="90" w:type="dxa"/>
              <w:left w:w="90" w:type="dxa"/>
              <w:right w:w="90" w:type="dxa"/>
            </w:tcMar>
          </w:tcPr>
          <w:p>
            <w:pPr>
              <w:spacing w:before="40" w:after="60" w:line="247" w:lineRule="auto"/>
            </w:pPr>
            <w:r>
              <w:rPr>
                <w:rFonts w:ascii="Arial" w:hAnsi="Arial"/>
                <w:b w:val="0"/>
                <w:color w:val="000000"/>
                <w:sz w:val="18"/>
              </w:rPr>
              <w:t>An interval excluding the predicted meaningful interaction.</w:t>
            </w:r>
          </w:p>
        </w:tc>
      </w:tr>
      <w:tr>
        <w:trPr>
          <w:cantSplit/>
        </w:trPr>
        <w:tc>
          <w:tcPr>
            <w:tcW w:type="dxa" w:w="2016"/>
            <w:vAlign w:val="center"/>
            <w:shd w:fill="F2F5F7"/>
            <w:tcMar>
              <w:top w:w="90" w:type="dxa"/>
              <w:bottom w:w="90" w:type="dxa"/>
              <w:left w:w="90" w:type="dxa"/>
              <w:right w:w="90" w:type="dxa"/>
            </w:tcMar>
          </w:tcPr>
          <w:p>
            <w:pPr>
              <w:spacing w:before="40" w:after="60" w:line="247" w:lineRule="auto"/>
            </w:pPr>
            <w:r>
              <w:rPr>
                <w:rFonts w:ascii="Arial" w:hAnsi="Arial"/>
                <w:b w:val="0"/>
                <w:color w:val="000000"/>
                <w:sz w:val="18"/>
              </w:rPr>
              <w:t>Development cohorts</w:t>
            </w:r>
          </w:p>
        </w:tc>
        <w:tc>
          <w:tcPr>
            <w:tcW w:type="dxa" w:w="3744"/>
            <w:vAlign w:val="center"/>
            <w:shd w:fill="F2F5F7"/>
            <w:tcMar>
              <w:top w:w="90" w:type="dxa"/>
              <w:bottom w:w="90" w:type="dxa"/>
              <w:left w:w="90" w:type="dxa"/>
              <w:right w:w="90" w:type="dxa"/>
            </w:tcMar>
          </w:tcPr>
          <w:p>
            <w:pPr>
              <w:spacing w:before="40" w:after="60" w:line="247" w:lineRule="auto"/>
            </w:pPr>
            <w:r>
              <w:rPr>
                <w:rFonts w:ascii="Arial" w:hAnsi="Arial"/>
                <w:b w:val="0"/>
                <w:color w:val="000000"/>
                <w:sz w:val="18"/>
              </w:rPr>
              <w:t>Comparable training does not fully erase the predicted trained-tail differences.</w:t>
            </w:r>
          </w:p>
        </w:tc>
        <w:tc>
          <w:tcPr>
            <w:tcW w:type="dxa" w:w="3456"/>
            <w:vAlign w:val="center"/>
            <w:shd w:fill="F2F5F7"/>
            <w:tcMar>
              <w:top w:w="90" w:type="dxa"/>
              <w:bottom w:w="90" w:type="dxa"/>
              <w:left w:w="90" w:type="dxa"/>
              <w:right w:w="90" w:type="dxa"/>
            </w:tcMar>
          </w:tcPr>
          <w:p>
            <w:pPr>
              <w:spacing w:before="40" w:after="60" w:line="247" w:lineRule="auto"/>
            </w:pPr>
            <w:r>
              <w:rPr>
                <w:rFonts w:ascii="Arial" w:hAnsi="Arial"/>
                <w:b w:val="0"/>
                <w:color w:val="000000"/>
                <w:sz w:val="18"/>
              </w:rPr>
              <w:t>Equivalent trajectories and tail outcomes within registered margins.</w:t>
            </w:r>
          </w:p>
        </w:tc>
      </w:tr>
      <w:tr>
        <w:trPr>
          <w:cantSplit/>
        </w:trPr>
        <w:tc>
          <w:tcPr>
            <w:tcW w:type="dxa" w:w="2016"/>
            <w:vAlign w:val="center"/>
            <w:shd w:fill="FFFFFF"/>
            <w:tcMar>
              <w:top w:w="90" w:type="dxa"/>
              <w:bottom w:w="90" w:type="dxa"/>
              <w:left w:w="90" w:type="dxa"/>
              <w:right w:w="90" w:type="dxa"/>
            </w:tcMar>
          </w:tcPr>
          <w:p>
            <w:pPr>
              <w:spacing w:before="40" w:after="60" w:line="247" w:lineRule="auto"/>
            </w:pPr>
            <w:r>
              <w:rPr>
                <w:rFonts w:ascii="Arial" w:hAnsi="Arial"/>
                <w:b w:val="0"/>
                <w:color w:val="000000"/>
                <w:sz w:val="18"/>
              </w:rPr>
              <w:t>Conditional transition forecast</w:t>
            </w:r>
          </w:p>
        </w:tc>
        <w:tc>
          <w:tcPr>
            <w:tcW w:type="dxa" w:w="3744"/>
            <w:vAlign w:val="center"/>
            <w:shd w:fill="FFFFFF"/>
            <w:tcMar>
              <w:top w:w="90" w:type="dxa"/>
              <w:bottom w:w="90" w:type="dxa"/>
              <w:left w:w="90" w:type="dxa"/>
              <w:right w:w="90" w:type="dxa"/>
            </w:tcMar>
          </w:tcPr>
          <w:p>
            <w:pPr>
              <w:spacing w:before="40" w:after="60" w:line="247" w:lineRule="auto"/>
            </w:pPr>
            <w:r>
              <w:rPr>
                <w:rFonts w:ascii="Arial" w:hAnsi="Arial"/>
                <w:b w:val="0"/>
                <w:color w:val="000000"/>
                <w:sz w:val="18"/>
              </w:rPr>
              <w:t>The calibrated model predicts elite frequencies better than the exposure-only comparator.</w:t>
            </w:r>
          </w:p>
        </w:tc>
        <w:tc>
          <w:tcPr>
            <w:tcW w:type="dxa" w:w="3456"/>
            <w:vAlign w:val="center"/>
            <w:shd w:fill="FFFFFF"/>
            <w:tcMar>
              <w:top w:w="90" w:type="dxa"/>
              <w:bottom w:w="90" w:type="dxa"/>
              <w:left w:w="90" w:type="dxa"/>
              <w:right w:w="90" w:type="dxa"/>
            </w:tcMar>
          </w:tcPr>
          <w:p>
            <w:pPr>
              <w:spacing w:before="40" w:after="60" w:line="247" w:lineRule="auto"/>
            </w:pPr>
            <w:r>
              <w:rPr>
                <w:rFonts w:ascii="Arial" w:hAnsi="Arial"/>
                <w:b w:val="0"/>
                <w:color w:val="000000"/>
                <w:sz w:val="18"/>
              </w:rPr>
              <w:t>Systematic miscalibration or no held-out predictive gain.</w:t>
            </w:r>
          </w:p>
        </w:tc>
      </w:tr>
      <w:tr>
        <w:trPr>
          <w:cantSplit/>
        </w:trPr>
        <w:tc>
          <w:tcPr>
            <w:tcW w:type="dxa" w:w="2016"/>
            <w:vAlign w:val="center"/>
            <w:shd w:fill="F2F5F7"/>
            <w:tcMar>
              <w:top w:w="90" w:type="dxa"/>
              <w:bottom w:w="90" w:type="dxa"/>
              <w:left w:w="90" w:type="dxa"/>
              <w:right w:w="90" w:type="dxa"/>
            </w:tcMar>
          </w:tcPr>
          <w:p>
            <w:pPr>
              <w:spacing w:before="40" w:after="60" w:line="247" w:lineRule="auto"/>
            </w:pPr>
            <w:r>
              <w:rPr>
                <w:rFonts w:ascii="Arial" w:hAnsi="Arial"/>
                <w:b w:val="0"/>
                <w:color w:val="000000"/>
                <w:sz w:val="18"/>
              </w:rPr>
              <w:t>Matched-rank component analysis</w:t>
            </w:r>
          </w:p>
        </w:tc>
        <w:tc>
          <w:tcPr>
            <w:tcW w:type="dxa" w:w="3744"/>
            <w:vAlign w:val="center"/>
            <w:shd w:fill="F2F5F7"/>
            <w:tcMar>
              <w:top w:w="90" w:type="dxa"/>
              <w:bottom w:w="90" w:type="dxa"/>
              <w:left w:w="90" w:type="dxa"/>
              <w:right w:w="90" w:type="dxa"/>
            </w:tcMar>
          </w:tcPr>
          <w:p>
            <w:pPr>
              <w:spacing w:before="40" w:after="60" w:line="247" w:lineRule="auto"/>
            </w:pPr>
            <w:r>
              <w:rPr>
                <w:rFonts w:ascii="Arial" w:hAnsi="Arial"/>
                <w:b w:val="0"/>
                <w:color w:val="000000"/>
                <w:sz w:val="18"/>
              </w:rPr>
              <w:t>A secondary account of how equal rank is assembled from component skills.</w:t>
            </w:r>
          </w:p>
        </w:tc>
        <w:tc>
          <w:tcPr>
            <w:tcW w:type="dxa" w:w="3456"/>
            <w:vAlign w:val="center"/>
            <w:shd w:fill="F2F5F7"/>
            <w:tcMar>
              <w:top w:w="90" w:type="dxa"/>
              <w:bottom w:w="90" w:type="dxa"/>
              <w:left w:w="90" w:type="dxa"/>
              <w:right w:w="90" w:type="dxa"/>
            </w:tcMar>
          </w:tcPr>
          <w:p>
            <w:pPr>
              <w:spacing w:before="40" w:after="60" w:line="247" w:lineRule="auto"/>
            </w:pPr>
            <w:r>
              <w:rPr>
                <w:rFonts w:ascii="Arial" w:hAnsi="Arial"/>
                <w:b w:val="0"/>
                <w:color w:val="000000"/>
                <w:sz w:val="18"/>
              </w:rPr>
              <w:t>Tests that conditional prediction only; not a whole-model kill test.</w:t>
            </w:r>
          </w:p>
        </w:tc>
      </w:tr>
    </w:tbl>
    <w:p w14:paraId="397F677C" w14:textId="77777777" w:rsidR="002E4C15" w:rsidRDefault="00000000">
      <w:pPr>
        <w:pStyle w:val="ListBullet"/>
      </w:pPr>
      <w:r>
        <w:t>FPS: time-to-first-shot, headshot rate on moving targets, recoil-control consistency, counter-strafe timing, tracking accuracy, opening-duel success by context.</w:t>
      </w:r>
    </w:p>
    <w:p w14:paraId="67B1D623" w14:textId="77777777" w:rsidR="002E4C15" w:rsidRDefault="00000000">
      <w:pPr>
        <w:pStyle w:val="ListBullet"/>
      </w:pPr>
      <w:r>
        <w:t>FGC: punish timing, dropped-input rate, execution consistency under pressure, adaptation speed across sets, reaction-option selection.</w:t>
      </w:r>
    </w:p>
    <w:p w14:paraId="2C70F19B" w14:textId="77777777" w:rsidR="002E4C15" w:rsidRDefault="00000000">
      <w:pPr>
        <w:pStyle w:val="ListBullet"/>
      </w:pPr>
      <w:r>
        <w:t>MOBAs: cooldown tracking, objective decision latency, teamfight target selection, skillshot accuracy under threat, map-state prediction errors.</w:t>
      </w:r>
    </w:p>
    <w:p w14:paraId="03F18893" w14:textId="77777777" w:rsidR="002E4C15" w:rsidRDefault="00000000">
      <w:pPr>
        <w:pStyle w:val="ListBullet"/>
      </w:pPr>
      <w:r>
        <w:t>RTS: APM precision, multitask switching cost, scouting interpretation, macro-micro conflict resolution, unit-control error rates.</w:t>
      </w:r>
    </w:p>
    <w:p w14:paraId="64112AE5" w14:textId="77777777" w:rsidR="002E4C15" w:rsidRDefault="00000000">
      <w:pPr>
        <w:pStyle w:val="ListBullet"/>
      </w:pPr>
      <w:r>
        <w:t>Across genres: session-to-session variance, fatigue effects, high-pressure performance stability, and learning curves over comparable practice windows.</w:t>
      </w:r>
    </w:p>
    <w:p w14:paraId="01A77594" w14:textId="77777777" w:rsidR="002E4C15" w:rsidRDefault="00000000">
      <w:r>
        <w:t>Matched-rank analysis remains useful for asking how equally ranked players assemble different skill profiles. Rank is already an outcome of mechanics, gamesense, exposure and retention; conditioning on it can conceal a population difference or create an apparent component tradeoff. A null there does not refute a population selection model, and a residual does not identify biology. Across all tests, a nonsignificant p-value alone is not evidence of practical equivalence.</w:t>
      </w:r>
    </w:p>
    <w:p w14:paraId="10564ED7" w14:textId="77777777" w:rsidR="002E4C15" w:rsidRDefault="00000000">
      <w:pPr>
        <w:pStyle w:val="Heading1"/>
      </w:pPr>
      <w:r>
        <w:rPr>
          <w:color w:val="000000"/>
        </w:rPr>
        <w:t>XIII. Conclusion</w:t>
      </w:r>
    </w:p>
    <w:p>
      <w:pPr/>
      <w:r>
        <w:t>Elite performance is not a single trait and it is not a raw-hours contest. It is what remains after capacity is trained, compressed into gamesense and filtered through repeated competition. Modest group differences can become larger at a highly selective joint tail, but the magnitude depends on covariance, training response, role requirements and conditional transitions that have to be measured.</w:t>
      </w:r>
    </w:p>
    <w:p>
      <w:pPr/>
      <w:r>
        <w:t>The comparative hypothesis is that adding measured performance traits and training conversion will predict sustained individual elite-tail performance better than specified exposure-and-opportunity accounts that predict substantial convergence after opportunity improves. That is a forecast to earn, not a demonstrated model win. Harassment and hostility are documented barriers to participation and retention; what remains unresolved is how much they contribute to the sustained elite tail once development pathways, exposure and performance are modeled directly.</w:t>
      </w:r>
    </w:p>
    <w:p>
      <w:pPr/>
      <w:r>
        <w:t>The evidence currently supports pieces of the chain: task-specific behavioral differences, a demanding multi-trait performance environment, training effects, and repeated selection. What remains unearned is the full bridge from those pieces to biological origin, trained-tail persistence and a calibrated roster forecast. The paper should be judged on whether those missing links survive direct tests.</w:t>
      </w:r>
    </w:p>
    <w:p>
      <w:pPr/>
      <w:r>
        <w:t>The way forward is straightforward: measure traits before advancement, manipulate concurrent load, follow comparable training cohorts and forecast later stage transitions out of sample. Define the elite endpoint before counting counterexamples, and count successful women under the same role-relative standard. Participation is not performance; a proxy is not the endpoint; a hypothesis earns its force by surviving predictions it could have failed.</w:t>
      </w:r>
    </w:p>
    <w:p w14:paraId="3547A1D1" w14:textId="77777777" w:rsidR="002E4C15" w:rsidRDefault="00000000">
      <w:pPr>
        <w:pStyle w:val="Heading1"/>
        <w:pageBreakBefore/>
      </w:pPr>
      <w:r>
        <w:rPr>
          <w:color w:val="000000"/>
        </w:rPr>
        <w:lastRenderedPageBreak/>
        <w:t>Appendix A. Core Skills, Biology, and Genre Overlap</w:t>
      </w:r>
    </w:p>
    <w:p w14:paraId="18179357" w14:textId="77777777" w:rsidR="002E4C15" w:rsidRDefault="00000000">
      <w:pPr>
        <w:pageBreakBefore w:val="0"/>
      </w:pPr>
      <w:r>
        <w:t>This crosswalk maps shared gameplay demands to the model’s core, developmental and supporting mechanisms. Task relevance does not itself establish a sex difference; Appendix B records the evidence and missing inference.</w:t>
      </w:r>
    </w:p>
    <w:p w14:paraId="5B7C1DDC" w14:textId="77777777" w:rsidR="002E4C15" w:rsidRDefault="00000000">
      <w:pPr>
        <w:pStyle w:val="Caption"/>
        <w:keepNext/>
        <w:pageBreakBefore w:val="0"/>
        <w:spacing w:before="80" w:after="80"/>
        <w:jc w:val="center"/>
      </w:pPr>
      <w:r>
        <w:t>Table A1. Core skills, revised biological sections, and genre overlap.</w:t>
      </w:r>
    </w:p>
    <w:tbl>
      <w:tblPr>
        <w:tblStyle w:val="TableGrid"/>
        <w:tblW w:w="10872"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456"/>
        <w:gridCol w:w="3384"/>
      </w:tblGrid>
      <w:tr>
        <w:trPr>
          <w:cantSplit/>
          <w:tblHeader/>
        </w:trPr>
        <w:tc>
          <w:tcPr>
            <w:tcW w:type="dxa" w:w="2376"/>
            <w:vAlign w:val="center"/>
            <w:shd w:fill="17354A"/>
            <w:tcMar>
              <w:top w:w="90" w:type="dxa"/>
              <w:bottom w:w="90" w:type="dxa"/>
              <w:left w:w="90" w:type="dxa"/>
              <w:right w:w="90" w:type="dxa"/>
            </w:tcMar>
          </w:tcPr>
          <w:p>
            <w:pPr>
              <w:spacing w:before="40" w:after="60" w:line="247" w:lineRule="auto"/>
            </w:pPr>
            <w:r>
              <w:rPr>
                <w:rFonts w:ascii="Arial" w:hAnsi="Arial"/>
                <w:b/>
                <w:color w:val="FFFFFF"/>
                <w:sz w:val="17"/>
              </w:rPr>
              <w:t>Core Skill (shared across genres)</w:t>
            </w:r>
          </w:p>
        </w:tc>
        <w:tc>
          <w:tcPr>
            <w:tcW w:type="dxa" w:w="3456"/>
            <w:vAlign w:val="center"/>
            <w:shd w:fill="17354A"/>
            <w:tcMar>
              <w:top w:w="90" w:type="dxa"/>
              <w:bottom w:w="90" w:type="dxa"/>
              <w:left w:w="90" w:type="dxa"/>
              <w:right w:w="90" w:type="dxa"/>
            </w:tcMar>
          </w:tcPr>
          <w:p>
            <w:pPr>
              <w:spacing w:before="40" w:after="60" w:line="247" w:lineRule="auto"/>
            </w:pPr>
            <w:r>
              <w:rPr>
                <w:rFonts w:ascii="Arial" w:hAnsi="Arial"/>
                <w:b/>
                <w:color w:val="FFFFFF"/>
                <w:sz w:val="17"/>
              </w:rPr>
              <w:t>Primary Revised Sections / Mechanisms</w:t>
            </w:r>
          </w:p>
        </w:tc>
        <w:tc>
          <w:tcPr>
            <w:tcW w:type="dxa" w:w="3384"/>
            <w:vAlign w:val="center"/>
            <w:shd w:fill="17354A"/>
            <w:tcMar>
              <w:top w:w="90" w:type="dxa"/>
              <w:bottom w:w="90" w:type="dxa"/>
              <w:left w:w="90" w:type="dxa"/>
              <w:right w:w="90" w:type="dxa"/>
            </w:tcMar>
          </w:tcPr>
          <w:p>
            <w:pPr>
              <w:spacing w:before="40" w:after="60" w:line="247" w:lineRule="auto"/>
            </w:pPr>
            <w:r>
              <w:rPr>
                <w:rFonts w:ascii="Arial" w:hAnsi="Arial"/>
                <w:b/>
                <w:color w:val="FFFFFF"/>
                <w:sz w:val="17"/>
              </w:rPr>
              <w:t>Genre Overlap</w:t>
            </w:r>
          </w:p>
        </w:tc>
      </w:tr>
      <w:tr>
        <w:trPr>
          <w:cantSplit/>
        </w:trPr>
        <w:tc>
          <w:tcPr>
            <w:tcW w:type="dxa" w:w="2376"/>
            <w:vAlign w:val="center"/>
            <w:shd w:fill="F2F5F7"/>
            <w:tcMar>
              <w:top w:w="90" w:type="dxa"/>
              <w:bottom w:w="90" w:type="dxa"/>
              <w:left w:w="90" w:type="dxa"/>
              <w:right w:w="90" w:type="dxa"/>
            </w:tcMar>
          </w:tcPr>
          <w:p>
            <w:pPr>
              <w:spacing w:before="40" w:after="60" w:line="247" w:lineRule="auto"/>
            </w:pPr>
            <w:r>
              <w:rPr>
                <w:rFonts w:ascii="Arial" w:hAnsi="Arial"/>
                <w:b w:val="0"/>
                <w:color w:val="000000"/>
                <w:sz w:val="17"/>
              </w:rPr>
              <w:t>Rapid visuomotor precision &amp; sequential execution</w:t>
            </w:r>
          </w:p>
        </w:tc>
        <w:tc>
          <w:tcPr>
            <w:tcW w:type="dxa" w:w="3456"/>
            <w:vAlign w:val="center"/>
            <w:shd w:fill="F2F5F7"/>
            <w:tcMar>
              <w:top w:w="90" w:type="dxa"/>
              <w:bottom w:w="90" w:type="dxa"/>
              <w:left w:w="90" w:type="dxa"/>
              <w:right w:w="90" w:type="dxa"/>
            </w:tcMar>
          </w:tcPr>
          <w:p>
            <w:pPr>
              <w:spacing w:before="40" w:after="60" w:line="247" w:lineRule="auto"/>
            </w:pPr>
            <w:r>
              <w:rPr>
                <w:rFonts w:ascii="Arial" w:hAnsi="Arial"/>
                <w:b w:val="0"/>
                <w:color w:val="000000"/>
                <w:sz w:val="17"/>
              </w:rPr>
              <w:t>IV-C dynamic visuomotor tracking; IV-F temporal precision; IV-G proprioception (supporting); VI gamesense conversion</w:t>
            </w:r>
          </w:p>
        </w:tc>
        <w:tc>
          <w:tcPr>
            <w:tcW w:type="dxa" w:w="3384"/>
            <w:vAlign w:val="center"/>
            <w:shd w:fill="F2F5F7"/>
            <w:tcMar>
              <w:top w:w="90" w:type="dxa"/>
              <w:bottom w:w="90" w:type="dxa"/>
              <w:left w:w="90" w:type="dxa"/>
              <w:right w:w="90" w:type="dxa"/>
            </w:tcMar>
          </w:tcPr>
          <w:p>
            <w:pPr>
              <w:spacing w:before="40" w:after="60" w:line="247" w:lineRule="auto"/>
            </w:pPr>
            <w:r>
              <w:rPr>
                <w:rFonts w:ascii="Arial" w:hAnsi="Arial"/>
                <w:b w:val="0"/>
                <w:color w:val="000000"/>
                <w:sz w:val="17"/>
              </w:rPr>
              <w:t>FPS aiming/flicks/recoil; FGC combos; MOBA kiting/chaining; RTS army micro; controller input precision</w:t>
            </w:r>
          </w:p>
        </w:tc>
      </w:tr>
      <w:tr>
        <w:trPr>
          <w:cantSplit/>
        </w:trPr>
        <w:tc>
          <w:tcPr>
            <w:tcW w:type="dxa" w:w="2376"/>
            <w:vAlign w:val="center"/>
            <w:shd w:fill="FFFFFF"/>
            <w:tcMar>
              <w:top w:w="90" w:type="dxa"/>
              <w:bottom w:w="90" w:type="dxa"/>
              <w:left w:w="90" w:type="dxa"/>
              <w:right w:w="90" w:type="dxa"/>
            </w:tcMar>
          </w:tcPr>
          <w:p>
            <w:pPr>
              <w:spacing w:before="40" w:after="60" w:line="247" w:lineRule="auto"/>
            </w:pPr>
            <w:r>
              <w:rPr>
                <w:rFonts w:ascii="Arial" w:hAnsi="Arial"/>
                <w:b w:val="0"/>
                <w:color w:val="000000"/>
                <w:sz w:val="17"/>
              </w:rPr>
              <w:t>3D spatial reasoning &amp; mental rotation</w:t>
            </w:r>
          </w:p>
        </w:tc>
        <w:tc>
          <w:tcPr>
            <w:tcW w:type="dxa" w:w="3456"/>
            <w:vAlign w:val="center"/>
            <w:shd w:fill="FFFFFF"/>
            <w:tcMar>
              <w:top w:w="90" w:type="dxa"/>
              <w:bottom w:w="90" w:type="dxa"/>
              <w:left w:w="90" w:type="dxa"/>
              <w:right w:w="90" w:type="dxa"/>
            </w:tcMar>
          </w:tcPr>
          <w:p>
            <w:r>
              <w:t>IV-B visuospatial processing and mental rotation; VI training conversion; Appendix C indirect hypotheses</w:t>
            </w:r>
          </w:p>
        </w:tc>
        <w:tc>
          <w:tcPr>
            <w:tcW w:type="dxa" w:w="3384"/>
            <w:vAlign w:val="center"/>
            <w:shd w:fill="FFFFFF"/>
            <w:tcMar>
              <w:top w:w="90" w:type="dxa"/>
              <w:bottom w:w="90" w:type="dxa"/>
              <w:left w:w="90" w:type="dxa"/>
              <w:right w:w="90" w:type="dxa"/>
            </w:tcMar>
          </w:tcPr>
          <w:p>
            <w:pPr>
              <w:spacing w:before="40" w:after="60" w:line="247" w:lineRule="auto"/>
            </w:pPr>
            <w:r>
              <w:rPr>
                <w:rFonts w:ascii="Arial" w:hAnsi="Arial"/>
                <w:b w:val="0"/>
                <w:color w:val="000000"/>
                <w:sz w:val="17"/>
              </w:rPr>
              <w:t>Positioning, trajectory prediction, map awareness, army control</w:t>
            </w:r>
          </w:p>
        </w:tc>
      </w:tr>
      <w:tr>
        <w:trPr>
          <w:cantSplit/>
        </w:trPr>
        <w:tc>
          <w:tcPr>
            <w:tcW w:type="dxa" w:w="2376"/>
            <w:vAlign w:val="center"/>
            <w:shd w:fill="F2F5F7"/>
            <w:tcMar>
              <w:top w:w="90" w:type="dxa"/>
              <w:bottom w:w="90" w:type="dxa"/>
              <w:left w:w="90" w:type="dxa"/>
              <w:right w:w="90" w:type="dxa"/>
            </w:tcMar>
          </w:tcPr>
          <w:p>
            <w:pPr>
              <w:spacing w:before="40" w:after="60" w:line="247" w:lineRule="auto"/>
            </w:pPr>
            <w:r>
              <w:rPr>
                <w:rFonts w:ascii="Arial" w:hAnsi="Arial"/>
                <w:b w:val="0"/>
                <w:color w:val="000000"/>
                <w:sz w:val="17"/>
              </w:rPr>
              <w:t>Working memory &amp; multiple-object tracking</w:t>
            </w:r>
          </w:p>
        </w:tc>
        <w:tc>
          <w:tcPr>
            <w:tcW w:type="dxa" w:w="3456"/>
            <w:vAlign w:val="center"/>
            <w:shd w:fill="F2F5F7"/>
            <w:tcMar>
              <w:top w:w="90" w:type="dxa"/>
              <w:bottom w:w="90" w:type="dxa"/>
              <w:left w:w="90" w:type="dxa"/>
              <w:right w:w="90" w:type="dxa"/>
            </w:tcMar>
          </w:tcPr>
          <w:p>
            <w:pPr>
              <w:spacing w:before="40" w:after="60" w:line="247" w:lineRule="auto"/>
            </w:pPr>
            <w:r>
              <w:rPr>
                <w:rFonts w:ascii="Arial" w:hAnsi="Arial"/>
                <w:b w:val="0"/>
                <w:color w:val="000000"/>
                <w:sz w:val="17"/>
              </w:rPr>
              <w:t>IV-D spatial working memory and multiple-object tracking; VI gamesense as perceptual compression</w:t>
            </w:r>
          </w:p>
        </w:tc>
        <w:tc>
          <w:tcPr>
            <w:tcW w:type="dxa" w:w="3384"/>
            <w:vAlign w:val="center"/>
            <w:shd w:fill="F2F5F7"/>
            <w:tcMar>
              <w:top w:w="90" w:type="dxa"/>
              <w:bottom w:w="90" w:type="dxa"/>
              <w:left w:w="90" w:type="dxa"/>
              <w:right w:w="90" w:type="dxa"/>
            </w:tcMar>
          </w:tcPr>
          <w:p>
            <w:pPr>
              <w:spacing w:before="40" w:after="60" w:line="247" w:lineRule="auto"/>
            </w:pPr>
            <w:r>
              <w:rPr>
                <w:rFonts w:ascii="Arial" w:hAnsi="Arial"/>
                <w:b w:val="0"/>
                <w:color w:val="000000"/>
                <w:sz w:val="17"/>
              </w:rPr>
              <w:t>Enemy tracking (FPS), army/economy awareness (RTS), teamfights (MOBA), opponent habits (FGC)</w:t>
            </w:r>
          </w:p>
        </w:tc>
      </w:tr>
      <w:tr>
        <w:trPr>
          <w:cantSplit/>
        </w:trPr>
        <w:tc>
          <w:tcPr>
            <w:tcW w:type="dxa" w:w="2376"/>
            <w:vAlign w:val="center"/>
            <w:shd w:fill="FFFFFF"/>
            <w:tcMar>
              <w:top w:w="90" w:type="dxa"/>
              <w:bottom w:w="90" w:type="dxa"/>
              <w:left w:w="90" w:type="dxa"/>
              <w:right w:w="90" w:type="dxa"/>
            </w:tcMar>
          </w:tcPr>
          <w:p>
            <w:pPr>
              <w:spacing w:before="40" w:after="60" w:line="247" w:lineRule="auto"/>
            </w:pPr>
            <w:r>
              <w:rPr>
                <w:rFonts w:ascii="Arial" w:hAnsi="Arial"/>
                <w:b w:val="0"/>
                <w:color w:val="000000"/>
                <w:sz w:val="17"/>
              </w:rPr>
              <w:t>Concurrent multitasking under cognitive load</w:t>
            </w:r>
          </w:p>
        </w:tc>
        <w:tc>
          <w:tcPr>
            <w:tcW w:type="dxa" w:w="3456"/>
            <w:vAlign w:val="center"/>
            <w:shd w:fill="FFFFFF"/>
            <w:tcMar>
              <w:top w:w="90" w:type="dxa"/>
              <w:bottom w:w="90" w:type="dxa"/>
              <w:left w:w="90" w:type="dxa"/>
              <w:right w:w="90" w:type="dxa"/>
            </w:tcMar>
          </w:tcPr>
          <w:p>
            <w:pPr>
              <w:spacing w:before="40" w:after="60" w:line="247" w:lineRule="auto"/>
            </w:pPr>
            <w:r>
              <w:rPr>
                <w:rFonts w:ascii="Arial" w:hAnsi="Arial"/>
                <w:b w:val="0"/>
                <w:color w:val="000000"/>
                <w:sz w:val="17"/>
              </w:rPr>
              <w:t>IV-D tracking; IV-E divided attention and useful field of view; IV-H supporting auditory spatial localization</w:t>
            </w:r>
          </w:p>
        </w:tc>
        <w:tc>
          <w:tcPr>
            <w:tcW w:type="dxa" w:w="3384"/>
            <w:vAlign w:val="center"/>
            <w:shd w:fill="FFFFFF"/>
            <w:tcMar>
              <w:top w:w="90" w:type="dxa"/>
              <w:bottom w:w="90" w:type="dxa"/>
              <w:left w:w="90" w:type="dxa"/>
              <w:right w:w="90" w:type="dxa"/>
            </w:tcMar>
          </w:tcPr>
          <w:p>
            <w:pPr>
              <w:spacing w:before="40" w:after="60" w:line="247" w:lineRule="auto"/>
            </w:pPr>
            <w:r>
              <w:rPr>
                <w:rFonts w:ascii="Arial" w:hAnsi="Arial"/>
                <w:b w:val="0"/>
                <w:color w:val="000000"/>
                <w:sz w:val="17"/>
              </w:rPr>
              <w:t>Aim + comms (FPS), micro + macro (RTS/MOBA), execution + reading (FGC)</w:t>
            </w:r>
          </w:p>
        </w:tc>
      </w:tr>
      <w:tr>
        <w:trPr>
          <w:cantSplit/>
        </w:trPr>
        <w:tc>
          <w:tcPr>
            <w:tcW w:type="dxa" w:w="2376"/>
            <w:vAlign w:val="center"/>
            <w:shd w:fill="F2F5F7"/>
            <w:tcMar>
              <w:top w:w="90" w:type="dxa"/>
              <w:bottom w:w="90" w:type="dxa"/>
              <w:left w:w="90" w:type="dxa"/>
              <w:right w:w="90" w:type="dxa"/>
            </w:tcMar>
          </w:tcPr>
          <w:p>
            <w:pPr>
              <w:spacing w:before="40" w:after="60" w:line="247" w:lineRule="auto"/>
            </w:pPr>
            <w:r>
              <w:rPr>
                <w:rFonts w:ascii="Arial" w:hAnsi="Arial"/>
                <w:b w:val="0"/>
                <w:color w:val="000000"/>
                <w:sz w:val="17"/>
              </w:rPr>
              <w:t>Sustained vigilance &amp; cognitive endurance</w:t>
            </w:r>
          </w:p>
        </w:tc>
        <w:tc>
          <w:tcPr>
            <w:tcW w:type="dxa" w:w="3456"/>
            <w:vAlign w:val="center"/>
            <w:shd w:fill="F2F5F7"/>
            <w:tcMar>
              <w:top w:w="90" w:type="dxa"/>
              <w:bottom w:w="90" w:type="dxa"/>
              <w:left w:w="90" w:type="dxa"/>
              <w:right w:w="90" w:type="dxa"/>
            </w:tcMar>
          </w:tcPr>
          <w:p>
            <w:r>
              <w:t>VII practice, persistence and cognitive endurance; Appendix C CFF stability and hormonal/performance variance</w:t>
            </w:r>
          </w:p>
        </w:tc>
        <w:tc>
          <w:tcPr>
            <w:tcW w:type="dxa" w:w="3384"/>
            <w:vAlign w:val="center"/>
            <w:shd w:fill="F2F5F7"/>
            <w:tcMar>
              <w:top w:w="90" w:type="dxa"/>
              <w:bottom w:w="90" w:type="dxa"/>
              <w:left w:w="90" w:type="dxa"/>
              <w:right w:w="90" w:type="dxa"/>
            </w:tcMar>
          </w:tcPr>
          <w:p>
            <w:pPr>
              <w:spacing w:before="40" w:after="60" w:line="247" w:lineRule="auto"/>
            </w:pPr>
            <w:r>
              <w:rPr>
                <w:rFonts w:ascii="Arial" w:hAnsi="Arial"/>
                <w:b w:val="0"/>
                <w:color w:val="000000"/>
                <w:sz w:val="17"/>
              </w:rPr>
              <w:t>Long matches, tournament days, BO3/BO5 fatigue, late-series consistency, pressure recovery</w:t>
            </w:r>
          </w:p>
        </w:tc>
      </w:tr>
      <w:tr>
        <w:trPr>
          <w:cantSplit/>
        </w:trPr>
        <w:tc>
          <w:tcPr>
            <w:tcW w:type="dxa" w:w="2376"/>
            <w:vAlign w:val="center"/>
            <w:shd w:fill="FFFFFF"/>
            <w:tcMar>
              <w:top w:w="90" w:type="dxa"/>
              <w:bottom w:w="90" w:type="dxa"/>
              <w:left w:w="90" w:type="dxa"/>
              <w:right w:w="90" w:type="dxa"/>
            </w:tcMar>
          </w:tcPr>
          <w:p>
            <w:pPr>
              <w:spacing w:before="40" w:after="60" w:line="247" w:lineRule="auto"/>
            </w:pPr>
            <w:r>
              <w:rPr>
                <w:rFonts w:ascii="Arial" w:hAnsi="Arial"/>
                <w:b w:val="0"/>
                <w:color w:val="000000"/>
                <w:sz w:val="17"/>
              </w:rPr>
              <w:t>Probabilistic decision-making &amp; pattern recognition</w:t>
            </w:r>
          </w:p>
        </w:tc>
        <w:tc>
          <w:tcPr>
            <w:tcW w:type="dxa" w:w="3456"/>
            <w:vAlign w:val="center"/>
            <w:shd w:fill="FFFFFF"/>
            <w:tcMar>
              <w:top w:w="90" w:type="dxa"/>
              <w:bottom w:w="90" w:type="dxa"/>
              <w:left w:w="90" w:type="dxa"/>
              <w:right w:w="90" w:type="dxa"/>
            </w:tcMar>
          </w:tcPr>
          <w:p>
            <w:r>
              <w:t>VI gamesense; VII entry, practice and persistence</w:t>
            </w:r>
          </w:p>
        </w:tc>
        <w:tc>
          <w:tcPr>
            <w:tcW w:type="dxa" w:w="3384"/>
            <w:vAlign w:val="center"/>
            <w:shd w:fill="FFFFFF"/>
            <w:tcMar>
              <w:top w:w="90" w:type="dxa"/>
              <w:bottom w:w="90" w:type="dxa"/>
              <w:left w:w="90" w:type="dxa"/>
              <w:right w:w="90" w:type="dxa"/>
            </w:tcMar>
          </w:tcPr>
          <w:p>
            <w:pPr>
              <w:spacing w:before="40" w:after="60" w:line="247" w:lineRule="auto"/>
            </w:pPr>
            <w:r>
              <w:rPr>
                <w:rFonts w:ascii="Arial" w:hAnsi="Arial"/>
                <w:b w:val="0"/>
                <w:color w:val="000000"/>
                <w:sz w:val="17"/>
              </w:rPr>
              <w:t>Peeking and mix-ups (FPS/FGC), objective contests (MOBA), build-order adaptation (RTS)</w:t>
            </w:r>
          </w:p>
        </w:tc>
      </w:tr>
    </w:tbl>
    <w:p w14:paraId="597683CA" w14:textId="77777777" w:rsidR="002E4C15" w:rsidRDefault="00000000">
      <w:pPr>
        <w:pStyle w:val="Heading1"/>
        <w:pageBreakBefore/>
      </w:pPr>
      <w:r>
        <w:t>Appendix B. Evidence Summary and Source Status</w:t>
      </w:r>
    </w:p>
    <w:p w14:paraId="32AACF06" w14:textId="77777777" w:rsidR="002E4C15" w:rsidRDefault="00000000">
      <w:pPr>
        <w:pageBreakBefore w:val="0"/>
      </w:pPr>
      <w:r>
        <w:t>Tables B1–B2 distinguish observed adjacent results, proposed mechanisms and missing esports inferences. Effect sizes belong to their measured tasks and samples; they are not an esports parameter vector. Training ceilings, trait variances and biological causes remain unestimated where the evidence does not identify them. Appendix A supplies the genre crosswalk.</w:t>
      </w:r>
    </w:p>
    <w:p w14:paraId="5DD4EF92" w14:textId="77777777" w:rsidR="002E4C15" w:rsidRDefault="00000000">
      <w:pPr>
        <w:pStyle w:val="Caption"/>
        <w:keepNext/>
        <w:pageBreakBefore w:val="0"/>
        <w:spacing w:before="80" w:after="80"/>
        <w:jc w:val="center"/>
      </w:pPr>
      <w:r>
        <w:t>Table B1. Core task evidence and the inference still required for elite esports.</w:t>
      </w:r>
    </w:p>
    <w:tbl>
      <w:tblPr>
        <w:tblStyle w:val="TableGrid"/>
        <w:tblW w:w="10872"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872"/>
        <w:gridCol w:w="1368"/>
        <w:gridCol w:w="1944"/>
        <w:gridCol w:w="1224"/>
        <w:gridCol w:w="1296"/>
      </w:tblGrid>
      <w:tr>
        <w:trPr>
          <w:cantSplit/>
          <w:tblHeader/>
        </w:trPr>
        <w:tc>
          <w:tcPr>
            <w:tcW w:type="dxa" w:w="1512"/>
            <w:vAlign w:val="center"/>
            <w:shd w:fill="17354A"/>
            <w:tcMar>
              <w:top w:w="90" w:type="dxa"/>
              <w:bottom w:w="90" w:type="dxa"/>
              <w:left w:w="90" w:type="dxa"/>
              <w:right w:w="90" w:type="dxa"/>
            </w:tcMar>
          </w:tcPr>
          <w:p>
            <w:pPr>
              <w:spacing w:before="40" w:after="60" w:line="247" w:lineRule="auto"/>
            </w:pPr>
            <w:r>
              <w:rPr>
                <w:rFonts w:ascii="Arial" w:hAnsi="Arial"/>
                <w:b/>
                <w:color w:val="FFFFFF"/>
                <w:sz w:val="16"/>
              </w:rPr>
              <w:t>Task / trait</w:t>
            </w:r>
          </w:p>
        </w:tc>
        <w:tc>
          <w:tcPr>
            <w:tcW w:type="dxa" w:w="1872"/>
            <w:vAlign w:val="center"/>
            <w:shd w:fill="17354A"/>
            <w:tcMar>
              <w:top w:w="90" w:type="dxa"/>
              <w:bottom w:w="90" w:type="dxa"/>
              <w:left w:w="90" w:type="dxa"/>
              <w:right w:w="90" w:type="dxa"/>
            </w:tcMar>
          </w:tcPr>
          <w:p>
            <w:pPr>
              <w:spacing w:before="40" w:after="60" w:line="247" w:lineRule="auto"/>
            </w:pPr>
            <w:r>
              <w:rPr>
                <w:rFonts w:ascii="Arial" w:hAnsi="Arial"/>
                <w:b/>
                <w:color w:val="FFFFFF"/>
                <w:sz w:val="16"/>
              </w:rPr>
              <w:t>Observed result</w:t>
            </w:r>
          </w:p>
        </w:tc>
        <w:tc>
          <w:tcPr>
            <w:tcW w:type="dxa" w:w="1368"/>
            <w:vAlign w:val="center"/>
            <w:shd w:fill="17354A"/>
            <w:tcMar>
              <w:top w:w="90" w:type="dxa"/>
              <w:bottom w:w="90" w:type="dxa"/>
              <w:left w:w="90" w:type="dxa"/>
              <w:right w:w="90" w:type="dxa"/>
            </w:tcMar>
          </w:tcPr>
          <w:p>
            <w:pPr>
              <w:spacing w:before="40" w:after="60" w:line="247" w:lineRule="auto"/>
            </w:pPr>
            <w:r>
              <w:rPr>
                <w:rFonts w:ascii="Arial" w:hAnsi="Arial"/>
                <w:b/>
                <w:color w:val="FFFFFF"/>
                <w:sz w:val="16"/>
              </w:rPr>
              <w:t>Source</w:t>
            </w:r>
          </w:p>
        </w:tc>
        <w:tc>
          <w:tcPr>
            <w:tcW w:type="dxa" w:w="1944"/>
            <w:vAlign w:val="center"/>
            <w:shd w:fill="17354A"/>
            <w:tcMar>
              <w:top w:w="90" w:type="dxa"/>
              <w:bottom w:w="90" w:type="dxa"/>
              <w:left w:w="90" w:type="dxa"/>
              <w:right w:w="90" w:type="dxa"/>
            </w:tcMar>
          </w:tcPr>
          <w:p>
            <w:pPr>
              <w:spacing w:before="40" w:after="60" w:line="247" w:lineRule="auto"/>
            </w:pPr>
            <w:r>
              <w:rPr>
                <w:rFonts w:ascii="Arial" w:hAnsi="Arial"/>
                <w:b/>
                <w:color w:val="FFFFFF"/>
                <w:sz w:val="16"/>
              </w:rPr>
              <w:t>Training inference</w:t>
            </w:r>
          </w:p>
        </w:tc>
        <w:tc>
          <w:tcPr>
            <w:tcW w:type="dxa" w:w="1224"/>
            <w:vAlign w:val="center"/>
            <w:shd w:fill="17354A"/>
            <w:tcMar>
              <w:top w:w="90" w:type="dxa"/>
              <w:bottom w:w="90" w:type="dxa"/>
              <w:left w:w="90" w:type="dxa"/>
              <w:right w:w="90" w:type="dxa"/>
            </w:tcMar>
          </w:tcPr>
          <w:p>
            <w:pPr>
              <w:spacing w:before="40" w:after="60" w:line="247" w:lineRule="auto"/>
            </w:pPr>
            <w:r>
              <w:rPr>
                <w:rFonts w:ascii="Arial" w:hAnsi="Arial"/>
                <w:b/>
                <w:color w:val="FFFFFF"/>
                <w:sz w:val="16"/>
              </w:rPr>
              <w:t>Esports link</w:t>
            </w:r>
          </w:p>
        </w:tc>
        <w:tc>
          <w:tcPr>
            <w:tcW w:type="dxa" w:w="1296"/>
            <w:vAlign w:val="center"/>
            <w:shd w:fill="17354A"/>
            <w:tcMar>
              <w:top w:w="90" w:type="dxa"/>
              <w:bottom w:w="90" w:type="dxa"/>
              <w:left w:w="90" w:type="dxa"/>
              <w:right w:w="90" w:type="dxa"/>
            </w:tcMar>
          </w:tcPr>
          <w:p>
            <w:pPr>
              <w:spacing w:before="40" w:after="60" w:line="247" w:lineRule="auto"/>
            </w:pPr>
            <w:r>
              <w:rPr>
                <w:rFonts w:ascii="Arial" w:hAnsi="Arial"/>
                <w:b/>
                <w:color w:val="FFFFFF"/>
                <w:sz w:val="16"/>
              </w:rPr>
              <w:t>Status</w:t>
            </w:r>
          </w:p>
        </w:tc>
      </w:tr>
      <w:tr>
        <w:trPr>
          <w:cantSplit/>
        </w:trPr>
        <w:tc>
          <w:tcPr>
            <w:tcW w:type="dxa" w:w="1512"/>
            <w:vAlign w:val="center"/>
            <w:shd w:fill="F2F5F7"/>
            <w:tcMar>
              <w:top w:w="90" w:type="dxa"/>
              <w:bottom w:w="90" w:type="dxa"/>
              <w:left w:w="90" w:type="dxa"/>
              <w:right w:w="90" w:type="dxa"/>
            </w:tcMar>
          </w:tcPr>
          <w:p>
            <w:pPr>
              <w:spacing w:before="40" w:after="60" w:line="247" w:lineRule="auto"/>
            </w:pPr>
            <w:r>
              <w:rPr>
                <w:rFonts w:ascii="Arial" w:hAnsi="Arial"/>
                <w:b w:val="0"/>
                <w:color w:val="000000"/>
                <w:sz w:val="16"/>
              </w:rPr>
              <w:t>Mental rotation</w:t>
            </w:r>
          </w:p>
        </w:tc>
        <w:tc>
          <w:tcPr>
            <w:tcW w:type="dxa" w:w="1872"/>
            <w:vAlign w:val="center"/>
            <w:shd w:fill="F2F5F7"/>
            <w:tcMar>
              <w:top w:w="90" w:type="dxa"/>
              <w:bottom w:w="90" w:type="dxa"/>
              <w:left w:w="90" w:type="dxa"/>
              <w:right w:w="90" w:type="dxa"/>
            </w:tcMar>
          </w:tcPr>
          <w:p>
            <w:pPr>
              <w:spacing w:before="40" w:after="60" w:line="247" w:lineRule="auto"/>
            </w:pPr>
            <w:r>
              <w:rPr>
                <w:rFonts w:ascii="Arial" w:hAnsi="Arial"/>
                <w:b w:val="0"/>
                <w:color w:val="000000"/>
                <w:sz w:val="16"/>
              </w:rPr>
              <w:t>Male accuracy advantage; Jacobs reports h = .764, not d.</w:t>
            </w:r>
          </w:p>
        </w:tc>
        <w:tc>
          <w:tcPr>
            <w:tcW w:type="dxa" w:w="1368"/>
            <w:vAlign w:val="center"/>
            <w:shd w:fill="F2F5F7"/>
            <w:tcMar>
              <w:top w:w="90" w:type="dxa"/>
              <w:bottom w:w="90" w:type="dxa"/>
              <w:left w:w="90" w:type="dxa"/>
              <w:right w:w="90" w:type="dxa"/>
            </w:tcMar>
          </w:tcPr>
          <w:p>
            <w:pPr>
              <w:spacing w:before="40" w:after="60" w:line="247" w:lineRule="auto"/>
            </w:pPr>
            <w:r>
              <w:rPr>
                <w:rFonts w:ascii="Arial" w:hAnsi="Arial"/>
                <w:b w:val="0"/>
                <w:color w:val="000000"/>
                <w:sz w:val="16"/>
              </w:rPr>
              <w:t>Voyer 1995; Jacobs 2024</w:t>
            </w:r>
          </w:p>
        </w:tc>
        <w:tc>
          <w:tcPr>
            <w:tcW w:type="dxa" w:w="1944"/>
            <w:vAlign w:val="center"/>
            <w:shd w:fill="F2F5F7"/>
            <w:tcMar>
              <w:top w:w="90" w:type="dxa"/>
              <w:bottom w:w="90" w:type="dxa"/>
              <w:left w:w="90" w:type="dxa"/>
              <w:right w:w="90" w:type="dxa"/>
            </w:tcMar>
          </w:tcPr>
          <w:p>
            <w:pPr>
              <w:spacing w:before="40" w:after="60" w:line="247" w:lineRule="auto"/>
            </w:pPr>
            <w:r>
              <w:rPr>
                <w:rFonts w:ascii="Arial" w:hAnsi="Arial"/>
                <w:b w:val="0"/>
                <w:color w:val="000000"/>
                <w:sz w:val="16"/>
              </w:rPr>
              <w:t>Untimed VR does not estimate a trained ceiling.</w:t>
            </w:r>
          </w:p>
        </w:tc>
        <w:tc>
          <w:tcPr>
            <w:tcW w:type="dxa" w:w="1224"/>
            <w:vAlign w:val="center"/>
            <w:shd w:fill="F2F5F7"/>
            <w:tcMar>
              <w:top w:w="90" w:type="dxa"/>
              <w:bottom w:w="90" w:type="dxa"/>
              <w:left w:w="90" w:type="dxa"/>
              <w:right w:w="90" w:type="dxa"/>
            </w:tcMar>
          </w:tcPr>
          <w:p>
            <w:pPr>
              <w:spacing w:before="40" w:after="60" w:line="247" w:lineRule="auto"/>
            </w:pPr>
            <w:r>
              <w:rPr>
                <w:rFonts w:ascii="Arial" w:hAnsi="Arial"/>
                <w:b w:val="0"/>
                <w:color w:val="000000"/>
                <w:sz w:val="16"/>
              </w:rPr>
              <w:t>Online spatial updating</w:t>
            </w:r>
          </w:p>
        </w:tc>
        <w:tc>
          <w:tcPr>
            <w:tcW w:type="dxa" w:w="1296"/>
            <w:vAlign w:val="center"/>
            <w:shd w:fill="F2F5F7"/>
            <w:tcMar>
              <w:top w:w="90" w:type="dxa"/>
              <w:bottom w:w="90" w:type="dxa"/>
              <w:left w:w="90" w:type="dxa"/>
              <w:right w:w="90" w:type="dxa"/>
            </w:tcMar>
          </w:tcPr>
          <w:p>
            <w:pPr>
              <w:spacing w:before="40" w:after="60" w:line="247" w:lineRule="auto"/>
            </w:pPr>
            <w:r>
              <w:rPr>
                <w:rFonts w:ascii="Arial" w:hAnsi="Arial"/>
                <w:b w:val="0"/>
                <w:color w:val="000000"/>
                <w:sz w:val="16"/>
              </w:rPr>
              <w:t>Adjacent evidence</w:t>
            </w:r>
          </w:p>
        </w:tc>
      </w:tr>
      <w:tr>
        <w:trPr>
          <w:cantSplit/>
        </w:trPr>
        <w:tc>
          <w:tcPr>
            <w:tcW w:type="dxa" w:w="1512"/>
            <w:vAlign w:val="center"/>
            <w:shd w:fill="FFFFFF"/>
            <w:tcMar>
              <w:top w:w="90" w:type="dxa"/>
              <w:bottom w:w="90" w:type="dxa"/>
              <w:left w:w="90" w:type="dxa"/>
              <w:right w:w="90" w:type="dxa"/>
            </w:tcMar>
          </w:tcPr>
          <w:p>
            <w:pPr>
              <w:spacing w:before="40" w:after="60" w:line="247" w:lineRule="auto"/>
            </w:pPr>
            <w:r>
              <w:rPr>
                <w:rFonts w:ascii="Arial" w:hAnsi="Arial"/>
                <w:b w:val="0"/>
                <w:color w:val="000000"/>
                <w:sz w:val="16"/>
              </w:rPr>
              <w:t>Joystick tracking</w:t>
            </w:r>
          </w:p>
        </w:tc>
        <w:tc>
          <w:tcPr>
            <w:tcW w:type="dxa" w:w="1872"/>
            <w:vAlign w:val="center"/>
            <w:shd w:fill="FFFFFF"/>
            <w:tcMar>
              <w:top w:w="90" w:type="dxa"/>
              <w:bottom w:w="90" w:type="dxa"/>
              <w:left w:w="90" w:type="dxa"/>
              <w:right w:w="90" w:type="dxa"/>
            </w:tcMar>
          </w:tcPr>
          <w:p>
            <w:pPr>
              <w:spacing w:before="40" w:after="60" w:line="247" w:lineRule="auto"/>
            </w:pPr>
            <w:r>
              <w:rPr>
                <w:rFonts w:ascii="Arial" w:hAnsi="Arial"/>
                <w:b w:val="0"/>
                <w:color w:val="000000"/>
                <w:sz w:val="16"/>
              </w:rPr>
              <w:t>Error d = .69/.77; lag d = .98/.95.</w:t>
            </w:r>
          </w:p>
        </w:tc>
        <w:tc>
          <w:tcPr>
            <w:tcW w:type="dxa" w:w="1368"/>
            <w:vAlign w:val="center"/>
            <w:shd w:fill="FFFFFF"/>
            <w:tcMar>
              <w:top w:w="90" w:type="dxa"/>
              <w:bottom w:w="90" w:type="dxa"/>
              <w:left w:w="90" w:type="dxa"/>
              <w:right w:w="90" w:type="dxa"/>
            </w:tcMar>
          </w:tcPr>
          <w:p>
            <w:pPr>
              <w:spacing w:before="40" w:after="60" w:line="247" w:lineRule="auto"/>
            </w:pPr>
            <w:r>
              <w:rPr>
                <w:rFonts w:ascii="Arial" w:hAnsi="Arial"/>
                <w:b w:val="0"/>
                <w:color w:val="000000"/>
                <w:sz w:val="16"/>
              </w:rPr>
              <w:t>Mathew 2020</w:t>
            </w:r>
          </w:p>
        </w:tc>
        <w:tc>
          <w:tcPr>
            <w:tcW w:type="dxa" w:w="1944"/>
            <w:vAlign w:val="center"/>
            <w:shd w:fill="FFFFFF"/>
            <w:tcMar>
              <w:top w:w="90" w:type="dxa"/>
              <w:bottom w:w="90" w:type="dxa"/>
              <w:left w:w="90" w:type="dxa"/>
              <w:right w:w="90" w:type="dxa"/>
            </w:tcMar>
          </w:tcPr>
          <w:p>
            <w:pPr>
              <w:spacing w:before="40" w:after="60" w:line="247" w:lineRule="auto"/>
            </w:pPr>
            <w:r>
              <w:rPr>
                <w:rFonts w:ascii="Arial" w:hAnsi="Arial"/>
                <w:b w:val="0"/>
                <w:color w:val="000000"/>
                <w:sz w:val="16"/>
              </w:rPr>
              <w:t>Ten baseline trials; gaming history unmeasured.</w:t>
            </w:r>
          </w:p>
        </w:tc>
        <w:tc>
          <w:tcPr>
            <w:tcW w:type="dxa" w:w="1224"/>
            <w:vAlign w:val="center"/>
            <w:shd w:fill="FFFFFF"/>
            <w:tcMar>
              <w:top w:w="90" w:type="dxa"/>
              <w:bottom w:w="90" w:type="dxa"/>
              <w:left w:w="90" w:type="dxa"/>
              <w:right w:w="90" w:type="dxa"/>
            </w:tcMar>
          </w:tcPr>
          <w:p>
            <w:pPr>
              <w:spacing w:before="40" w:after="60" w:line="247" w:lineRule="auto"/>
            </w:pPr>
            <w:r>
              <w:rPr>
                <w:rFonts w:ascii="Arial" w:hAnsi="Arial"/>
                <w:b w:val="0"/>
                <w:color w:val="000000"/>
                <w:sz w:val="16"/>
              </w:rPr>
              <w:t>Perception–action coupling</w:t>
            </w:r>
          </w:p>
        </w:tc>
        <w:tc>
          <w:tcPr>
            <w:tcW w:type="dxa" w:w="1296"/>
            <w:vAlign w:val="center"/>
            <w:shd w:fill="FFFFFF"/>
            <w:tcMar>
              <w:top w:w="90" w:type="dxa"/>
              <w:bottom w:w="90" w:type="dxa"/>
              <w:left w:w="90" w:type="dxa"/>
              <w:right w:w="90" w:type="dxa"/>
            </w:tcMar>
          </w:tcPr>
          <w:p>
            <w:pPr>
              <w:spacing w:before="40" w:after="60" w:line="247" w:lineRule="auto"/>
            </w:pPr>
            <w:r>
              <w:rPr>
                <w:rFonts w:ascii="Arial" w:hAnsi="Arial"/>
                <w:b w:val="0"/>
                <w:color w:val="000000"/>
                <w:sz w:val="16"/>
              </w:rPr>
              <w:t>Adjacent evidence</w:t>
            </w:r>
          </w:p>
        </w:tc>
      </w:tr>
      <w:tr>
        <w:trPr>
          <w:cantSplit/>
        </w:trPr>
        <w:tc>
          <w:tcPr>
            <w:tcW w:type="dxa" w:w="1512"/>
            <w:vAlign w:val="center"/>
            <w:shd w:fill="F2F5F7"/>
            <w:tcMar>
              <w:top w:w="90" w:type="dxa"/>
              <w:bottom w:w="90" w:type="dxa"/>
              <w:left w:w="90" w:type="dxa"/>
              <w:right w:w="90" w:type="dxa"/>
            </w:tcMar>
          </w:tcPr>
          <w:p>
            <w:pPr>
              <w:spacing w:before="40" w:after="60" w:line="247" w:lineRule="auto"/>
            </w:pPr>
            <w:r>
              <w:rPr>
                <w:rFonts w:ascii="Arial" w:hAnsi="Arial"/>
                <w:b w:val="0"/>
                <w:color w:val="000000"/>
                <w:sz w:val="16"/>
              </w:rPr>
              <w:t>Simple / choice RT</w:t>
            </w:r>
          </w:p>
        </w:tc>
        <w:tc>
          <w:tcPr>
            <w:tcW w:type="dxa" w:w="1872"/>
            <w:vAlign w:val="center"/>
            <w:shd w:fill="F2F5F7"/>
            <w:tcMar>
              <w:top w:w="90" w:type="dxa"/>
              <w:bottom w:w="90" w:type="dxa"/>
              <w:left w:w="90" w:type="dxa"/>
              <w:right w:w="90" w:type="dxa"/>
            </w:tcMar>
          </w:tcPr>
          <w:p>
            <w:pPr>
              <w:spacing w:before="40" w:after="60" w:line="247" w:lineRule="auto"/>
            </w:pPr>
            <w:r>
              <w:rPr>
                <w:rFonts w:ascii="Arial" w:hAnsi="Arial"/>
                <w:b w:val="0"/>
                <w:color w:val="000000"/>
                <w:sz w:val="16"/>
              </w:rPr>
              <w:t>Sex-associated differences on simple and four-choice tasks.</w:t>
            </w:r>
          </w:p>
        </w:tc>
        <w:tc>
          <w:tcPr>
            <w:tcW w:type="dxa" w:w="1368"/>
            <w:vAlign w:val="center"/>
            <w:shd w:fill="F2F5F7"/>
            <w:tcMar>
              <w:top w:w="90" w:type="dxa"/>
              <w:bottom w:w="90" w:type="dxa"/>
              <w:left w:w="90" w:type="dxa"/>
              <w:right w:w="90" w:type="dxa"/>
            </w:tcMar>
          </w:tcPr>
          <w:p>
            <w:pPr>
              <w:spacing w:before="40" w:after="60" w:line="247" w:lineRule="auto"/>
            </w:pPr>
            <w:r>
              <w:rPr>
                <w:rFonts w:ascii="Arial" w:hAnsi="Arial"/>
                <w:b w:val="0"/>
                <w:color w:val="000000"/>
                <w:sz w:val="16"/>
              </w:rPr>
              <w:t>Der &amp; Deary 2006; Silverman 2006</w:t>
            </w:r>
          </w:p>
        </w:tc>
        <w:tc>
          <w:tcPr>
            <w:tcW w:type="dxa" w:w="1944"/>
            <w:vAlign w:val="center"/>
            <w:shd w:fill="F2F5F7"/>
            <w:tcMar>
              <w:top w:w="90" w:type="dxa"/>
              <w:bottom w:w="90" w:type="dxa"/>
              <w:left w:w="90" w:type="dxa"/>
              <w:right w:w="90" w:type="dxa"/>
            </w:tcMar>
          </w:tcPr>
          <w:p>
            <w:pPr>
              <w:spacing w:before="40" w:after="60" w:line="247" w:lineRule="auto"/>
            </w:pPr>
            <w:r>
              <w:rPr>
                <w:rFonts w:ascii="Arial" w:hAnsi="Arial"/>
                <w:b w:val="0"/>
                <w:color w:val="000000"/>
                <w:sz w:val="16"/>
              </w:rPr>
              <w:t>No esports training or concurrent-load ceiling measured.</w:t>
            </w:r>
          </w:p>
        </w:tc>
        <w:tc>
          <w:tcPr>
            <w:tcW w:type="dxa" w:w="1224"/>
            <w:vAlign w:val="center"/>
            <w:shd w:fill="F2F5F7"/>
            <w:tcMar>
              <w:top w:w="90" w:type="dxa"/>
              <w:bottom w:w="90" w:type="dxa"/>
              <w:left w:w="90" w:type="dxa"/>
              <w:right w:w="90" w:type="dxa"/>
            </w:tcMar>
          </w:tcPr>
          <w:p>
            <w:pPr>
              <w:spacing w:before="40" w:after="60" w:line="247" w:lineRule="auto"/>
            </w:pPr>
            <w:r>
              <w:rPr>
                <w:rFonts w:ascii="Arial" w:hAnsi="Arial"/>
                <w:b w:val="0"/>
                <w:color w:val="000000"/>
                <w:sz w:val="16"/>
              </w:rPr>
              <w:t>Timing under load</w:t>
            </w:r>
          </w:p>
        </w:tc>
        <w:tc>
          <w:tcPr>
            <w:tcW w:type="dxa" w:w="1296"/>
            <w:vAlign w:val="center"/>
            <w:shd w:fill="F2F5F7"/>
            <w:tcMar>
              <w:top w:w="90" w:type="dxa"/>
              <w:bottom w:w="90" w:type="dxa"/>
              <w:left w:w="90" w:type="dxa"/>
              <w:right w:w="90" w:type="dxa"/>
            </w:tcMar>
          </w:tcPr>
          <w:p>
            <w:pPr>
              <w:spacing w:before="40" w:after="60" w:line="247" w:lineRule="auto"/>
            </w:pPr>
            <w:r>
              <w:rPr>
                <w:rFonts w:ascii="Arial" w:hAnsi="Arial"/>
                <w:b w:val="0"/>
                <w:color w:val="000000"/>
                <w:sz w:val="16"/>
              </w:rPr>
              <w:t>Load interaction predicted</w:t>
            </w:r>
          </w:p>
        </w:tc>
      </w:tr>
      <w:tr>
        <w:trPr>
          <w:cantSplit/>
        </w:trPr>
        <w:tc>
          <w:tcPr>
            <w:tcW w:type="dxa" w:w="1512"/>
            <w:vAlign w:val="center"/>
            <w:shd w:fill="FFFFFF"/>
            <w:tcMar>
              <w:top w:w="90" w:type="dxa"/>
              <w:bottom w:w="90" w:type="dxa"/>
              <w:left w:w="90" w:type="dxa"/>
              <w:right w:w="90" w:type="dxa"/>
            </w:tcMar>
          </w:tcPr>
          <w:p>
            <w:pPr>
              <w:spacing w:before="40" w:after="60" w:line="247" w:lineRule="auto"/>
            </w:pPr>
            <w:r>
              <w:rPr>
                <w:rFonts w:ascii="Arial" w:hAnsi="Arial"/>
                <w:b w:val="0"/>
                <w:color w:val="000000"/>
                <w:sz w:val="16"/>
              </w:rPr>
              <w:t>Multiple-object tracking</w:t>
            </w:r>
          </w:p>
        </w:tc>
        <w:tc>
          <w:tcPr>
            <w:tcW w:type="dxa" w:w="1872"/>
            <w:vAlign w:val="center"/>
            <w:shd w:fill="FFFFFF"/>
            <w:tcMar>
              <w:top w:w="90" w:type="dxa"/>
              <w:bottom w:w="90" w:type="dxa"/>
              <w:left w:w="90" w:type="dxa"/>
              <w:right w:w="90" w:type="dxa"/>
            </w:tcMar>
          </w:tcPr>
          <w:p>
            <w:pPr>
              <w:spacing w:before="40" w:after="60" w:line="247" w:lineRule="auto"/>
            </w:pPr>
            <w:r>
              <w:rPr>
                <w:rFonts w:ascii="Arial" w:hAnsi="Arial"/>
                <w:b w:val="0"/>
                <w:color w:val="000000"/>
                <w:sz w:val="16"/>
              </w:rPr>
              <w:t>Sex × sport interaction; basketball null, swimmer and non-athlete differences.</w:t>
            </w:r>
          </w:p>
        </w:tc>
        <w:tc>
          <w:tcPr>
            <w:tcW w:type="dxa" w:w="1368"/>
            <w:vAlign w:val="center"/>
            <w:shd w:fill="FFFFFF"/>
            <w:tcMar>
              <w:top w:w="90" w:type="dxa"/>
              <w:bottom w:w="90" w:type="dxa"/>
              <w:left w:w="90" w:type="dxa"/>
              <w:right w:w="90" w:type="dxa"/>
            </w:tcMar>
          </w:tcPr>
          <w:p>
            <w:pPr>
              <w:spacing w:before="40" w:after="60" w:line="247" w:lineRule="auto"/>
            </w:pPr>
            <w:r>
              <w:rPr>
                <w:rFonts w:ascii="Arial" w:hAnsi="Arial"/>
                <w:b w:val="0"/>
                <w:color w:val="000000"/>
                <w:sz w:val="16"/>
              </w:rPr>
              <w:t>Jin et al. 2023</w:t>
            </w:r>
          </w:p>
        </w:tc>
        <w:tc>
          <w:tcPr>
            <w:tcW w:type="dxa" w:w="1944"/>
            <w:vAlign w:val="center"/>
            <w:shd w:fill="FFFFFF"/>
            <w:tcMar>
              <w:top w:w="90" w:type="dxa"/>
              <w:bottom w:w="90" w:type="dxa"/>
              <w:left w:w="90" w:type="dxa"/>
              <w:right w:w="90" w:type="dxa"/>
            </w:tcMar>
          </w:tcPr>
          <w:p>
            <w:pPr>
              <w:spacing w:before="40" w:after="60" w:line="247" w:lineRule="auto"/>
            </w:pPr>
            <w:r>
              <w:rPr>
                <w:rFonts w:ascii="Arial" w:hAnsi="Arial"/>
                <w:b w:val="0"/>
                <w:color w:val="000000"/>
                <w:sz w:val="16"/>
              </w:rPr>
              <w:t>Cross-sectional sport groups do not isolate training.</w:t>
            </w:r>
          </w:p>
        </w:tc>
        <w:tc>
          <w:tcPr>
            <w:tcW w:type="dxa" w:w="1224"/>
            <w:vAlign w:val="center"/>
            <w:shd w:fill="FFFFFF"/>
            <w:tcMar>
              <w:top w:w="90" w:type="dxa"/>
              <w:bottom w:w="90" w:type="dxa"/>
              <w:left w:w="90" w:type="dxa"/>
              <w:right w:w="90" w:type="dxa"/>
            </w:tcMar>
          </w:tcPr>
          <w:p>
            <w:pPr>
              <w:spacing w:before="40" w:after="60" w:line="247" w:lineRule="auto"/>
            </w:pPr>
            <w:r>
              <w:rPr>
                <w:rFonts w:ascii="Arial" w:hAnsi="Arial"/>
                <w:b w:val="0"/>
                <w:color w:val="000000"/>
                <w:sz w:val="16"/>
              </w:rPr>
              <w:t>Multi-agent attention</w:t>
            </w:r>
          </w:p>
        </w:tc>
        <w:tc>
          <w:tcPr>
            <w:tcW w:type="dxa" w:w="1296"/>
            <w:vAlign w:val="center"/>
            <w:shd w:fill="FFFFFF"/>
            <w:tcMar>
              <w:top w:w="90" w:type="dxa"/>
              <w:bottom w:w="90" w:type="dxa"/>
              <w:left w:w="90" w:type="dxa"/>
              <w:right w:w="90" w:type="dxa"/>
            </w:tcMar>
          </w:tcPr>
          <w:p>
            <w:pPr>
              <w:spacing w:before="40" w:after="60" w:line="247" w:lineRule="auto"/>
            </w:pPr>
            <w:r>
              <w:rPr>
                <w:rFonts w:ascii="Arial" w:hAnsi="Arial"/>
                <w:b w:val="0"/>
                <w:color w:val="000000"/>
                <w:sz w:val="16"/>
              </w:rPr>
              <w:t>Context-dependent</w:t>
            </w:r>
          </w:p>
        </w:tc>
      </w:tr>
      <w:tr>
        <w:trPr>
          <w:cantSplit/>
        </w:trPr>
        <w:tc>
          <w:tcPr>
            <w:tcW w:type="dxa" w:w="1512"/>
            <w:vAlign w:val="center"/>
            <w:shd w:fill="F2F5F7"/>
            <w:tcMar>
              <w:top w:w="90" w:type="dxa"/>
              <w:bottom w:w="90" w:type="dxa"/>
              <w:left w:w="90" w:type="dxa"/>
              <w:right w:w="90" w:type="dxa"/>
            </w:tcMar>
          </w:tcPr>
          <w:p>
            <w:pPr>
              <w:spacing w:before="40" w:after="60" w:line="247" w:lineRule="auto"/>
            </w:pPr>
            <w:r>
              <w:rPr>
                <w:rFonts w:ascii="Arial" w:hAnsi="Arial"/>
                <w:b w:val="0"/>
                <w:color w:val="000000"/>
                <w:sz w:val="16"/>
              </w:rPr>
              <w:t>Spatial working memory</w:t>
            </w:r>
          </w:p>
        </w:tc>
        <w:tc>
          <w:tcPr>
            <w:tcW w:type="dxa" w:w="1872"/>
            <w:vAlign w:val="center"/>
            <w:shd w:fill="F2F5F7"/>
            <w:tcMar>
              <w:top w:w="90" w:type="dxa"/>
              <w:bottom w:w="90" w:type="dxa"/>
              <w:left w:w="90" w:type="dxa"/>
              <w:right w:w="90" w:type="dxa"/>
            </w:tcMar>
          </w:tcPr>
          <w:p>
            <w:pPr>
              <w:spacing w:before="40" w:after="60" w:line="247" w:lineRule="auto"/>
            </w:pPr>
            <w:r>
              <w:rPr>
                <w:rFonts w:ascii="Arial" w:hAnsi="Arial"/>
                <w:b w:val="0"/>
                <w:color w:val="000000"/>
                <w:sz w:val="16"/>
              </w:rPr>
              <w:t>No study-specific effect estimated here.</w:t>
            </w:r>
          </w:p>
        </w:tc>
        <w:tc>
          <w:tcPr>
            <w:tcW w:type="dxa" w:w="1368"/>
            <w:vAlign w:val="center"/>
            <w:shd w:fill="F2F5F7"/>
            <w:tcMar>
              <w:top w:w="90" w:type="dxa"/>
              <w:bottom w:w="90" w:type="dxa"/>
              <w:left w:w="90" w:type="dxa"/>
              <w:right w:w="90" w:type="dxa"/>
            </w:tcMar>
          </w:tcPr>
          <w:p>
            <w:pPr>
              <w:spacing w:before="40" w:after="60" w:line="247" w:lineRule="auto"/>
            </w:pPr>
            <w:r>
              <w:rPr>
                <w:rFonts w:ascii="Arial" w:hAnsi="Arial"/>
                <w:b w:val="0"/>
                <w:color w:val="000000"/>
                <w:sz w:val="16"/>
              </w:rPr>
              <w:t>Task-demand synthesis</w:t>
            </w:r>
          </w:p>
        </w:tc>
        <w:tc>
          <w:tcPr>
            <w:tcW w:type="dxa" w:w="1944"/>
            <w:vAlign w:val="center"/>
            <w:shd w:fill="F2F5F7"/>
            <w:tcMar>
              <w:top w:w="90" w:type="dxa"/>
              <w:bottom w:w="90" w:type="dxa"/>
              <w:left w:w="90" w:type="dxa"/>
              <w:right w:w="90" w:type="dxa"/>
            </w:tcMar>
          </w:tcPr>
          <w:p>
            <w:pPr>
              <w:spacing w:before="40" w:after="60" w:line="247" w:lineRule="auto"/>
            </w:pPr>
            <w:r>
              <w:rPr>
                <w:rFonts w:ascii="Arial" w:hAnsi="Arial"/>
                <w:b w:val="0"/>
                <w:color w:val="000000"/>
                <w:sz w:val="16"/>
              </w:rPr>
              <w:t>Trainability ceiling not established here.</w:t>
            </w:r>
          </w:p>
        </w:tc>
        <w:tc>
          <w:tcPr>
            <w:tcW w:type="dxa" w:w="1224"/>
            <w:vAlign w:val="center"/>
            <w:shd w:fill="F2F5F7"/>
            <w:tcMar>
              <w:top w:w="90" w:type="dxa"/>
              <w:bottom w:w="90" w:type="dxa"/>
              <w:left w:w="90" w:type="dxa"/>
              <w:right w:w="90" w:type="dxa"/>
            </w:tcMar>
          </w:tcPr>
          <w:p>
            <w:pPr>
              <w:spacing w:before="40" w:after="60" w:line="247" w:lineRule="auto"/>
            </w:pPr>
            <w:r>
              <w:rPr>
                <w:rFonts w:ascii="Arial" w:hAnsi="Arial"/>
                <w:b w:val="0"/>
                <w:color w:val="000000"/>
                <w:sz w:val="16"/>
              </w:rPr>
              <w:t>Hidden-state updating</w:t>
            </w:r>
          </w:p>
        </w:tc>
        <w:tc>
          <w:tcPr>
            <w:tcW w:type="dxa" w:w="1296"/>
            <w:vAlign w:val="center"/>
            <w:shd w:fill="F2F5F7"/>
            <w:tcMar>
              <w:top w:w="90" w:type="dxa"/>
              <w:bottom w:w="90" w:type="dxa"/>
              <w:left w:w="90" w:type="dxa"/>
              <w:right w:w="90" w:type="dxa"/>
            </w:tcMar>
          </w:tcPr>
          <w:p>
            <w:pPr>
              <w:spacing w:before="40" w:after="60" w:line="247" w:lineRule="auto"/>
            </w:pPr>
            <w:r>
              <w:rPr>
                <w:rFonts w:ascii="Arial" w:hAnsi="Arial"/>
                <w:b w:val="0"/>
                <w:color w:val="000000"/>
                <w:sz w:val="16"/>
              </w:rPr>
              <w:t>Mechanism to test</w:t>
            </w:r>
          </w:p>
        </w:tc>
      </w:tr>
      <w:tr>
        <w:trPr>
          <w:cantSplit/>
        </w:trPr>
        <w:tc>
          <w:tcPr>
            <w:tcW w:type="dxa" w:w="1512"/>
            <w:vAlign w:val="center"/>
            <w:shd w:fill="FFFFFF"/>
            <w:tcMar>
              <w:top w:w="90" w:type="dxa"/>
              <w:bottom w:w="90" w:type="dxa"/>
              <w:left w:w="90" w:type="dxa"/>
              <w:right w:w="90" w:type="dxa"/>
            </w:tcMar>
          </w:tcPr>
          <w:p>
            <w:pPr>
              <w:spacing w:before="40" w:after="60" w:line="247" w:lineRule="auto"/>
            </w:pPr>
            <w:r>
              <w:rPr>
                <w:rFonts w:ascii="Arial" w:hAnsi="Arial"/>
                <w:b w:val="0"/>
                <w:color w:val="000000"/>
                <w:sz w:val="16"/>
              </w:rPr>
              <w:t>Motion detection / acuity</w:t>
            </w:r>
          </w:p>
        </w:tc>
        <w:tc>
          <w:tcPr>
            <w:tcW w:type="dxa" w:w="1872"/>
            <w:vAlign w:val="center"/>
            <w:shd w:fill="FFFFFF"/>
            <w:tcMar>
              <w:top w:w="90" w:type="dxa"/>
              <w:bottom w:w="90" w:type="dxa"/>
              <w:left w:w="90" w:type="dxa"/>
              <w:right w:w="90" w:type="dxa"/>
            </w:tcMar>
          </w:tcPr>
          <w:p>
            <w:pPr>
              <w:spacing w:before="40" w:after="60" w:line="247" w:lineRule="auto"/>
            </w:pPr>
            <w:r>
              <w:rPr>
                <w:rFonts w:ascii="Arial" w:hAnsi="Arial"/>
                <w:b w:val="0"/>
                <w:color w:val="000000"/>
                <w:sz w:val="16"/>
              </w:rPr>
              <w:t>No study-specific effect estimated here.</w:t>
            </w:r>
          </w:p>
        </w:tc>
        <w:tc>
          <w:tcPr>
            <w:tcW w:type="dxa" w:w="1368"/>
            <w:vAlign w:val="center"/>
            <w:shd w:fill="FFFFFF"/>
            <w:tcMar>
              <w:top w:w="90" w:type="dxa"/>
              <w:bottom w:w="90" w:type="dxa"/>
              <w:left w:w="90" w:type="dxa"/>
              <w:right w:w="90" w:type="dxa"/>
            </w:tcMar>
          </w:tcPr>
          <w:p>
            <w:pPr>
              <w:spacing w:before="40" w:after="60" w:line="247" w:lineRule="auto"/>
            </w:pPr>
            <w:r>
              <w:rPr>
                <w:rFonts w:ascii="Arial" w:hAnsi="Arial"/>
                <w:b w:val="0"/>
                <w:color w:val="000000"/>
                <w:sz w:val="16"/>
              </w:rPr>
              <w:t>Task-demand synthesis</w:t>
            </w:r>
          </w:p>
        </w:tc>
        <w:tc>
          <w:tcPr>
            <w:tcW w:type="dxa" w:w="1944"/>
            <w:vAlign w:val="center"/>
            <w:shd w:fill="FFFFFF"/>
            <w:tcMar>
              <w:top w:w="90" w:type="dxa"/>
              <w:bottom w:w="90" w:type="dxa"/>
              <w:left w:w="90" w:type="dxa"/>
              <w:right w:w="90" w:type="dxa"/>
            </w:tcMar>
          </w:tcPr>
          <w:p>
            <w:pPr>
              <w:spacing w:before="40" w:after="60" w:line="247" w:lineRule="auto"/>
            </w:pPr>
            <w:r>
              <w:rPr>
                <w:rFonts w:ascii="Arial" w:hAnsi="Arial"/>
                <w:b w:val="0"/>
                <w:color w:val="000000"/>
                <w:sz w:val="16"/>
              </w:rPr>
              <w:t>No fixed sex gap assumed.</w:t>
            </w:r>
          </w:p>
        </w:tc>
        <w:tc>
          <w:tcPr>
            <w:tcW w:type="dxa" w:w="1224"/>
            <w:vAlign w:val="center"/>
            <w:shd w:fill="FFFFFF"/>
            <w:tcMar>
              <w:top w:w="90" w:type="dxa"/>
              <w:bottom w:w="90" w:type="dxa"/>
              <w:left w:w="90" w:type="dxa"/>
              <w:right w:w="90" w:type="dxa"/>
            </w:tcMar>
          </w:tcPr>
          <w:p>
            <w:pPr>
              <w:spacing w:before="40" w:after="60" w:line="247" w:lineRule="auto"/>
            </w:pPr>
            <w:r>
              <w:rPr>
                <w:rFonts w:ascii="Arial" w:hAnsi="Arial"/>
                <w:b w:val="0"/>
                <w:color w:val="000000"/>
                <w:sz w:val="16"/>
              </w:rPr>
              <w:t>Threat detection</w:t>
            </w:r>
          </w:p>
        </w:tc>
        <w:tc>
          <w:tcPr>
            <w:tcW w:type="dxa" w:w="1296"/>
            <w:vAlign w:val="center"/>
            <w:shd w:fill="FFFFFF"/>
            <w:tcMar>
              <w:top w:w="90" w:type="dxa"/>
              <w:bottom w:w="90" w:type="dxa"/>
              <w:left w:w="90" w:type="dxa"/>
              <w:right w:w="90" w:type="dxa"/>
            </w:tcMar>
          </w:tcPr>
          <w:p>
            <w:pPr>
              <w:spacing w:before="40" w:after="60" w:line="247" w:lineRule="auto"/>
            </w:pPr>
            <w:r>
              <w:rPr>
                <w:rFonts w:ascii="Arial" w:hAnsi="Arial"/>
                <w:b w:val="0"/>
                <w:color w:val="000000"/>
                <w:sz w:val="16"/>
              </w:rPr>
              <w:t>Mechanism to test</w:t>
            </w:r>
          </w:p>
        </w:tc>
      </w:tr>
      <w:tr>
        <w:trPr>
          <w:cantSplit/>
        </w:trPr>
        <w:tc>
          <w:tcPr>
            <w:tcW w:type="dxa" w:w="1512"/>
            <w:vAlign w:val="center"/>
            <w:shd w:fill="F2F5F7"/>
            <w:tcMar>
              <w:top w:w="90" w:type="dxa"/>
              <w:bottom w:w="90" w:type="dxa"/>
              <w:left w:w="90" w:type="dxa"/>
              <w:right w:w="90" w:type="dxa"/>
            </w:tcMar>
          </w:tcPr>
          <w:p>
            <w:pPr>
              <w:spacing w:before="40" w:after="60" w:line="247" w:lineRule="auto"/>
            </w:pPr>
            <w:r>
              <w:rPr>
                <w:rFonts w:ascii="Arial" w:hAnsi="Arial"/>
                <w:b w:val="0"/>
                <w:color w:val="000000"/>
                <w:sz w:val="16"/>
              </w:rPr>
              <w:t>Temporal / sequential precision</w:t>
            </w:r>
          </w:p>
        </w:tc>
        <w:tc>
          <w:tcPr>
            <w:tcW w:type="dxa" w:w="1872"/>
            <w:vAlign w:val="center"/>
            <w:shd w:fill="F2F5F7"/>
            <w:tcMar>
              <w:top w:w="90" w:type="dxa"/>
              <w:bottom w:w="90" w:type="dxa"/>
              <w:left w:w="90" w:type="dxa"/>
              <w:right w:w="90" w:type="dxa"/>
            </w:tcMar>
          </w:tcPr>
          <w:p>
            <w:pPr>
              <w:spacing w:before="40" w:after="60" w:line="247" w:lineRule="auto"/>
            </w:pPr>
            <w:r>
              <w:rPr>
                <w:rFonts w:ascii="Arial" w:hAnsi="Arial"/>
                <w:b w:val="0"/>
                <w:color w:val="000000"/>
                <w:sz w:val="16"/>
              </w:rPr>
              <w:t>No elite sex-by-load effect estimated here.</w:t>
            </w:r>
          </w:p>
        </w:tc>
        <w:tc>
          <w:tcPr>
            <w:tcW w:type="dxa" w:w="1368"/>
            <w:vAlign w:val="center"/>
            <w:shd w:fill="F2F5F7"/>
            <w:tcMar>
              <w:top w:w="90" w:type="dxa"/>
              <w:bottom w:w="90" w:type="dxa"/>
              <w:left w:w="90" w:type="dxa"/>
              <w:right w:w="90" w:type="dxa"/>
            </w:tcMar>
          </w:tcPr>
          <w:p>
            <w:pPr>
              <w:spacing w:before="40" w:after="60" w:line="247" w:lineRule="auto"/>
            </w:pPr>
            <w:r>
              <w:rPr>
                <w:rFonts w:ascii="Arial" w:hAnsi="Arial"/>
                <w:b w:val="0"/>
                <w:color w:val="000000"/>
                <w:sz w:val="16"/>
              </w:rPr>
              <w:t>Task-demand synthesis</w:t>
            </w:r>
          </w:p>
        </w:tc>
        <w:tc>
          <w:tcPr>
            <w:tcW w:type="dxa" w:w="1944"/>
            <w:vAlign w:val="center"/>
            <w:shd w:fill="F2F5F7"/>
            <w:tcMar>
              <w:top w:w="90" w:type="dxa"/>
              <w:bottom w:w="90" w:type="dxa"/>
              <w:left w:w="90" w:type="dxa"/>
              <w:right w:w="90" w:type="dxa"/>
            </w:tcMar>
          </w:tcPr>
          <w:p>
            <w:pPr>
              <w:spacing w:before="40" w:after="60" w:line="247" w:lineRule="auto"/>
            </w:pPr>
            <w:r>
              <w:rPr>
                <w:rFonts w:ascii="Arial" w:hAnsi="Arial"/>
                <w:b w:val="0"/>
                <w:color w:val="000000"/>
                <w:sz w:val="16"/>
              </w:rPr>
              <w:t>Execution is trainable; persistence of a gap is predicted.</w:t>
            </w:r>
          </w:p>
        </w:tc>
        <w:tc>
          <w:tcPr>
            <w:tcW w:type="dxa" w:w="1224"/>
            <w:vAlign w:val="center"/>
            <w:shd w:fill="F2F5F7"/>
            <w:tcMar>
              <w:top w:w="90" w:type="dxa"/>
              <w:bottom w:w="90" w:type="dxa"/>
              <w:left w:w="90" w:type="dxa"/>
              <w:right w:w="90" w:type="dxa"/>
            </w:tcMar>
          </w:tcPr>
          <w:p>
            <w:pPr>
              <w:spacing w:before="40" w:after="60" w:line="247" w:lineRule="auto"/>
            </w:pPr>
            <w:r>
              <w:rPr>
                <w:rFonts w:ascii="Arial" w:hAnsi="Arial"/>
                <w:b w:val="0"/>
                <w:color w:val="000000"/>
                <w:sz w:val="16"/>
              </w:rPr>
              <w:t>Timing, inputs and micro</w:t>
            </w:r>
          </w:p>
        </w:tc>
        <w:tc>
          <w:tcPr>
            <w:tcW w:type="dxa" w:w="1296"/>
            <w:vAlign w:val="center"/>
            <w:shd w:fill="F2F5F7"/>
            <w:tcMar>
              <w:top w:w="90" w:type="dxa"/>
              <w:bottom w:w="90" w:type="dxa"/>
              <w:left w:w="90" w:type="dxa"/>
              <w:right w:w="90" w:type="dxa"/>
            </w:tcMar>
          </w:tcPr>
          <w:p>
            <w:pPr>
              <w:spacing w:before="40" w:after="60" w:line="247" w:lineRule="auto"/>
            </w:pPr>
            <w:r>
              <w:rPr>
                <w:rFonts w:ascii="Arial" w:hAnsi="Arial"/>
                <w:b w:val="0"/>
                <w:color w:val="000000"/>
                <w:sz w:val="16"/>
              </w:rPr>
              <w:t>Mechanism to test</w:t>
            </w:r>
          </w:p>
        </w:tc>
      </w:tr>
      <w:tr>
        <w:trPr>
          <w:cantSplit/>
        </w:trPr>
        <w:tc>
          <w:tcPr>
            <w:tcW w:type="dxa" w:w="1512"/>
            <w:vAlign w:val="center"/>
            <w:shd w:fill="FFFFFF"/>
            <w:tcMar>
              <w:top w:w="90" w:type="dxa"/>
              <w:bottom w:w="90" w:type="dxa"/>
              <w:left w:w="90" w:type="dxa"/>
              <w:right w:w="90" w:type="dxa"/>
            </w:tcMar>
          </w:tcPr>
          <w:p>
            <w:pPr>
              <w:spacing w:before="40" w:after="60" w:line="247" w:lineRule="auto"/>
            </w:pPr>
            <w:r>
              <w:rPr>
                <w:rFonts w:ascii="Arial" w:hAnsi="Arial"/>
                <w:b w:val="0"/>
                <w:color w:val="000000"/>
                <w:sz w:val="16"/>
              </w:rPr>
              <w:t>Divided attention / UFOV</w:t>
            </w:r>
          </w:p>
        </w:tc>
        <w:tc>
          <w:tcPr>
            <w:tcW w:type="dxa" w:w="1872"/>
            <w:vAlign w:val="center"/>
            <w:shd w:fill="FFFFFF"/>
            <w:tcMar>
              <w:top w:w="90" w:type="dxa"/>
              <w:bottom w:w="90" w:type="dxa"/>
              <w:left w:w="90" w:type="dxa"/>
              <w:right w:w="90" w:type="dxa"/>
            </w:tcMar>
          </w:tcPr>
          <w:p>
            <w:pPr>
              <w:spacing w:before="40" w:after="60" w:line="247" w:lineRule="auto"/>
            </w:pPr>
            <w:r>
              <w:rPr>
                <w:rFonts w:ascii="Arial" w:hAnsi="Arial"/>
                <w:b w:val="0"/>
                <w:color w:val="000000"/>
                <w:sz w:val="16"/>
              </w:rPr>
              <w:t>Spatial multitasking advantage in one paradigm; null sex differences in standard switching and dual-task costs.</w:t>
            </w:r>
          </w:p>
        </w:tc>
        <w:tc>
          <w:tcPr>
            <w:tcW w:type="dxa" w:w="1368"/>
            <w:vAlign w:val="center"/>
            <w:shd w:fill="FFFFFF"/>
            <w:tcMar>
              <w:top w:w="90" w:type="dxa"/>
              <w:bottom w:w="90" w:type="dxa"/>
              <w:left w:w="90" w:type="dxa"/>
              <w:right w:w="90" w:type="dxa"/>
            </w:tcMar>
          </w:tcPr>
          <w:p>
            <w:pPr>
              <w:spacing w:before="40" w:after="60" w:line="247" w:lineRule="auto"/>
            </w:pPr>
            <w:r>
              <w:rPr>
                <w:rFonts w:ascii="Arial" w:hAnsi="Arial"/>
                <w:b w:val="0"/>
                <w:color w:val="000000"/>
                <w:sz w:val="16"/>
              </w:rPr>
              <w:t>Mäntylä 2013; Hirsch et al. 2019</w:t>
            </w:r>
          </w:p>
        </w:tc>
        <w:tc>
          <w:tcPr>
            <w:tcW w:type="dxa" w:w="1944"/>
            <w:vAlign w:val="center"/>
            <w:shd w:fill="FFFFFF"/>
            <w:tcMar>
              <w:top w:w="90" w:type="dxa"/>
              <w:bottom w:w="90" w:type="dxa"/>
              <w:left w:w="90" w:type="dxa"/>
              <w:right w:w="90" w:type="dxa"/>
            </w:tcMar>
          </w:tcPr>
          <w:p>
            <w:pPr>
              <w:spacing w:before="40" w:after="60" w:line="247" w:lineRule="auto"/>
            </w:pPr>
            <w:r>
              <w:rPr>
                <w:rFonts w:ascii="Arial" w:hAnsi="Arial"/>
                <w:b w:val="0"/>
                <w:color w:val="000000"/>
                <w:sz w:val="16"/>
              </w:rPr>
              <w:t>Neither establishes a trained esports or UFOV load ceiling.</w:t>
            </w:r>
          </w:p>
        </w:tc>
        <w:tc>
          <w:tcPr>
            <w:tcW w:type="dxa" w:w="1224"/>
            <w:vAlign w:val="center"/>
            <w:shd w:fill="FFFFFF"/>
            <w:tcMar>
              <w:top w:w="90" w:type="dxa"/>
              <w:bottom w:w="90" w:type="dxa"/>
              <w:left w:w="90" w:type="dxa"/>
              <w:right w:w="90" w:type="dxa"/>
            </w:tcMar>
          </w:tcPr>
          <w:p>
            <w:pPr>
              <w:spacing w:before="40" w:after="60" w:line="247" w:lineRule="auto"/>
            </w:pPr>
            <w:r>
              <w:rPr>
                <w:rFonts w:ascii="Arial" w:hAnsi="Arial"/>
                <w:b w:val="0"/>
                <w:color w:val="000000"/>
                <w:sz w:val="16"/>
              </w:rPr>
              <w:t>Aim with other demands</w:t>
            </w:r>
          </w:p>
        </w:tc>
        <w:tc>
          <w:tcPr>
            <w:tcW w:type="dxa" w:w="1296"/>
            <w:vAlign w:val="center"/>
            <w:shd w:fill="FFFFFF"/>
            <w:tcMar>
              <w:top w:w="90" w:type="dxa"/>
              <w:bottom w:w="90" w:type="dxa"/>
              <w:left w:w="90" w:type="dxa"/>
              <w:right w:w="90" w:type="dxa"/>
            </w:tcMar>
          </w:tcPr>
          <w:p>
            <w:pPr>
              <w:spacing w:before="40" w:after="60" w:line="247" w:lineRule="auto"/>
            </w:pPr>
            <w:r>
              <w:rPr>
                <w:rFonts w:ascii="Arial" w:hAnsi="Arial"/>
                <w:b w:val="0"/>
                <w:color w:val="000000"/>
                <w:sz w:val="16"/>
              </w:rPr>
              <w:t>Task-specific; load prediction open</w:t>
            </w:r>
          </w:p>
        </w:tc>
      </w:tr>
    </w:tbl>
    <w:p w14:paraId="40DD68F7" w14:textId="77777777" w:rsidR="002E4C15" w:rsidRDefault="00000000">
      <w:pPr>
        <w:pStyle w:val="Caption"/>
        <w:keepNext/>
        <w:pageBreakBefore w:val="0"/>
        <w:spacing w:before="80" w:after="80"/>
        <w:jc w:val="center"/>
      </w:pPr>
      <w:r>
        <w:t>Table B2. Supporting and upstream mechanisms with their present evidentiary status.</w:t>
      </w:r>
    </w:p>
    <w:tbl>
      <w:tblPr>
        <w:tblStyle w:val="TableGrid"/>
        <w:tblW w:w="10872"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296"/>
        <w:gridCol w:w="1440"/>
        <w:gridCol w:w="2160"/>
        <w:gridCol w:w="1440"/>
        <w:gridCol w:w="1296"/>
      </w:tblGrid>
      <w:tr>
        <w:trPr>
          <w:cantSplit/>
          <w:tblHeader/>
        </w:trPr>
        <w:tc>
          <w:tcPr>
            <w:tcW w:type="dxa" w:w="1584"/>
            <w:vAlign w:val="center"/>
            <w:shd w:fill="17354A"/>
            <w:tcMar>
              <w:top w:w="90" w:type="dxa"/>
              <w:bottom w:w="90" w:type="dxa"/>
              <w:left w:w="90" w:type="dxa"/>
              <w:right w:w="90" w:type="dxa"/>
            </w:tcMar>
          </w:tcPr>
          <w:p>
            <w:pPr>
              <w:keepNext/>
              <w:spacing w:before="40" w:after="60" w:line="247" w:lineRule="auto"/>
            </w:pPr>
            <w:r>
              <w:rPr>
                <w:rFonts w:ascii="Arial" w:hAnsi="Arial"/>
                <w:b/>
                <w:color w:val="FFFFFF"/>
                <w:sz w:val="16"/>
              </w:rPr>
              <w:t>Mechanism</w:t>
            </w:r>
          </w:p>
        </w:tc>
        <w:tc>
          <w:tcPr>
            <w:tcW w:type="dxa" w:w="1296"/>
            <w:vAlign w:val="center"/>
            <w:shd w:fill="17354A"/>
            <w:tcMar>
              <w:top w:w="90" w:type="dxa"/>
              <w:bottom w:w="90" w:type="dxa"/>
              <w:left w:w="90" w:type="dxa"/>
              <w:right w:w="90" w:type="dxa"/>
            </w:tcMar>
          </w:tcPr>
          <w:p>
            <w:pPr>
              <w:keepNext/>
              <w:spacing w:before="40" w:after="60" w:line="247" w:lineRule="auto"/>
            </w:pPr>
            <w:r>
              <w:rPr>
                <w:rFonts w:ascii="Arial" w:hAnsi="Arial"/>
                <w:b/>
                <w:color w:val="FFFFFF"/>
                <w:sz w:val="16"/>
              </w:rPr>
              <w:t>Effect estimate</w:t>
            </w:r>
          </w:p>
        </w:tc>
        <w:tc>
          <w:tcPr>
            <w:tcW w:type="dxa" w:w="1440"/>
            <w:vAlign w:val="center"/>
            <w:shd w:fill="17354A"/>
            <w:tcMar>
              <w:top w:w="90" w:type="dxa"/>
              <w:bottom w:w="90" w:type="dxa"/>
              <w:left w:w="90" w:type="dxa"/>
              <w:right w:w="90" w:type="dxa"/>
            </w:tcMar>
          </w:tcPr>
          <w:p>
            <w:pPr>
              <w:keepNext/>
              <w:spacing w:before="40" w:after="60" w:line="247" w:lineRule="auto"/>
            </w:pPr>
            <w:r>
              <w:rPr>
                <w:rFonts w:ascii="Arial" w:hAnsi="Arial"/>
                <w:b/>
                <w:color w:val="FFFFFF"/>
                <w:sz w:val="16"/>
              </w:rPr>
              <w:t>Direction</w:t>
            </w:r>
          </w:p>
        </w:tc>
        <w:tc>
          <w:tcPr>
            <w:tcW w:type="dxa" w:w="2160"/>
            <w:vAlign w:val="center"/>
            <w:shd w:fill="17354A"/>
            <w:tcMar>
              <w:top w:w="90" w:type="dxa"/>
              <w:bottom w:w="90" w:type="dxa"/>
              <w:left w:w="90" w:type="dxa"/>
              <w:right w:w="90" w:type="dxa"/>
            </w:tcMar>
          </w:tcPr>
          <w:p>
            <w:pPr>
              <w:keepNext/>
              <w:spacing w:before="40" w:after="60" w:line="247" w:lineRule="auto"/>
            </w:pPr>
            <w:r>
              <w:rPr>
                <w:rFonts w:ascii="Arial" w:hAnsi="Arial"/>
                <w:b/>
                <w:color w:val="FFFFFF"/>
                <w:sz w:val="16"/>
              </w:rPr>
              <w:t>Training claim</w:t>
            </w:r>
          </w:p>
        </w:tc>
        <w:tc>
          <w:tcPr>
            <w:tcW w:type="dxa" w:w="1440"/>
            <w:vAlign w:val="center"/>
            <w:shd w:fill="17354A"/>
            <w:tcMar>
              <w:top w:w="90" w:type="dxa"/>
              <w:bottom w:w="90" w:type="dxa"/>
              <w:left w:w="90" w:type="dxa"/>
              <w:right w:w="90" w:type="dxa"/>
            </w:tcMar>
          </w:tcPr>
          <w:p>
            <w:pPr>
              <w:keepNext/>
              <w:spacing w:before="40" w:after="60" w:line="247" w:lineRule="auto"/>
            </w:pPr>
            <w:r>
              <w:rPr>
                <w:rFonts w:ascii="Arial" w:hAnsi="Arial"/>
                <w:b/>
                <w:color w:val="FFFFFF"/>
                <w:sz w:val="16"/>
              </w:rPr>
              <w:t>Role in model</w:t>
            </w:r>
          </w:p>
        </w:tc>
        <w:tc>
          <w:tcPr>
            <w:tcW w:type="dxa" w:w="1296"/>
            <w:vAlign w:val="center"/>
            <w:shd w:fill="17354A"/>
            <w:tcMar>
              <w:top w:w="90" w:type="dxa"/>
              <w:bottom w:w="90" w:type="dxa"/>
              <w:left w:w="90" w:type="dxa"/>
              <w:right w:w="90" w:type="dxa"/>
            </w:tcMar>
          </w:tcPr>
          <w:p>
            <w:pPr>
              <w:keepNext/>
              <w:spacing w:before="40" w:after="60" w:line="247" w:lineRule="auto"/>
            </w:pPr>
            <w:r>
              <w:rPr>
                <w:rFonts w:ascii="Arial" w:hAnsi="Arial"/>
                <w:b/>
                <w:color w:val="FFFFFF"/>
                <w:sz w:val="16"/>
              </w:rPr>
              <w:t>Evidence status</w:t>
            </w:r>
          </w:p>
        </w:tc>
      </w:tr>
      <w:tr>
        <w:trPr>
          <w:cantSplit/>
        </w:trPr>
        <w:tc>
          <w:tcPr>
            <w:tcW w:type="dxa" w:w="1584"/>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Auditory localization</w:t>
            </w:r>
          </w:p>
        </w:tc>
        <w:tc>
          <w:tcPr>
            <w:tcW w:type="dxa" w:w="1296"/>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Not estimated</w:t>
            </w:r>
          </w:p>
        </w:tc>
        <w:tc>
          <w:tcPr>
            <w:tcW w:type="dxa" w:w="1440"/>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Unspecified here</w:t>
            </w:r>
          </w:p>
        </w:tc>
        <w:tc>
          <w:tcPr>
            <w:tcW w:type="dxa" w:w="2160"/>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Training and task dependence require measurement.</w:t>
            </w:r>
          </w:p>
        </w:tc>
        <w:tc>
          <w:tcPr>
            <w:tcW w:type="dxa" w:w="1440"/>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Sound-map updating</w:t>
            </w:r>
          </w:p>
        </w:tc>
        <w:tc>
          <w:tcPr>
            <w:tcW w:type="dxa" w:w="1296"/>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Supporting demand</w:t>
            </w:r>
          </w:p>
        </w:tc>
      </w:tr>
      <w:tr>
        <w:trPr>
          <w:cantSplit/>
        </w:trPr>
        <w:tc>
          <w:tcPr>
            <w:tcW w:type="dxa" w:w="1584"/>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Competitive approach</w:t>
            </w:r>
          </w:p>
        </w:tc>
        <w:tc>
          <w:tcPr>
            <w:tcW w:type="dxa" w:w="1296"/>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No esports coefficient</w:t>
            </w:r>
          </w:p>
        </w:tc>
        <w:tc>
          <w:tcPr>
            <w:tcW w:type="dxa" w:w="1440"/>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Hypothesized group differences</w:t>
            </w:r>
          </w:p>
        </w:tc>
        <w:tc>
          <w:tcPr>
            <w:tcW w:type="dxa" w:w="2160"/>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Do not infer hormone causality from participation.</w:t>
            </w:r>
          </w:p>
        </w:tc>
        <w:tc>
          <w:tcPr>
            <w:tcW w:type="dxa" w:w="1440"/>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Practice and retention</w:t>
            </w:r>
          </w:p>
        </w:tc>
        <w:tc>
          <w:tcPr>
            <w:tcW w:type="dxa" w:w="1296"/>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Upstream hypothesis</w:t>
            </w:r>
          </w:p>
        </w:tc>
      </w:tr>
      <w:tr>
        <w:trPr>
          <w:cantSplit/>
        </w:trPr>
        <w:tc>
          <w:tcPr>
            <w:tcW w:type="dxa" w:w="1584"/>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Hormonal cyclicity</w:t>
            </w:r>
          </w:p>
        </w:tc>
        <w:tc>
          <w:tcPr>
            <w:tcW w:type="dxa" w:w="1296"/>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No supported esports estimate</w:t>
            </w:r>
          </w:p>
        </w:tc>
        <w:tc>
          <w:tcPr>
            <w:tcW w:type="dxa" w:w="1440"/>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Not established here</w:t>
            </w:r>
          </w:p>
        </w:tc>
        <w:tc>
          <w:tcPr>
            <w:tcW w:type="dxa" w:w="2160"/>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No fixed female disadvantage assumed.</w:t>
            </w:r>
          </w:p>
        </w:tc>
        <w:tc>
          <w:tcPr>
            <w:tcW w:type="dxa" w:w="1440"/>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Consistency question</w:t>
            </w:r>
          </w:p>
        </w:tc>
        <w:tc>
          <w:tcPr>
            <w:tcW w:type="dxa" w:w="1296"/>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Future work</w:t>
            </w:r>
          </w:p>
        </w:tc>
      </w:tr>
      <w:tr>
        <w:trPr>
          <w:cantSplit/>
        </w:trPr>
        <w:tc>
          <w:tcPr>
            <w:tcW w:type="dxa" w:w="1584"/>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CFF stability</w:t>
            </w:r>
          </w:p>
        </w:tc>
        <w:tc>
          <w:tcPr>
            <w:tcW w:type="dxa" w:w="1296"/>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Not estimated</w:t>
            </w:r>
          </w:p>
        </w:tc>
        <w:tc>
          <w:tcPr>
            <w:tcW w:type="dxa" w:w="1440"/>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Not established here</w:t>
            </w:r>
          </w:p>
        </w:tc>
        <w:tc>
          <w:tcPr>
            <w:tcW w:type="dxa" w:w="2160"/>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No untrainable ceiling established.</w:t>
            </w:r>
          </w:p>
        </w:tc>
        <w:tc>
          <w:tcPr>
            <w:tcW w:type="dxa" w:w="1440"/>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Visual consistency</w:t>
            </w:r>
          </w:p>
        </w:tc>
        <w:tc>
          <w:tcPr>
            <w:tcW w:type="dxa" w:w="1296"/>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Future work</w:t>
            </w:r>
          </w:p>
        </w:tc>
      </w:tr>
      <w:tr>
        <w:trPr>
          <w:cantSplit/>
        </w:trPr>
        <w:tc>
          <w:tcPr>
            <w:tcW w:type="dxa" w:w="1584"/>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Trait variance</w:t>
            </w:r>
          </w:p>
        </w:tc>
        <w:tc>
          <w:tcPr>
            <w:tcW w:type="dxa" w:w="1296"/>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No domain-wide variance ratio</w:t>
            </w:r>
          </w:p>
        </w:tc>
        <w:tc>
          <w:tcPr>
            <w:tcW w:type="dxa" w:w="1440"/>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Greater male variance proposed</w:t>
            </w:r>
          </w:p>
        </w:tc>
        <w:tc>
          <w:tcPr>
            <w:tcW w:type="dxa" w:w="2160"/>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Estimate relevant traits and covariance.</w:t>
            </w:r>
          </w:p>
        </w:tc>
        <w:tc>
          <w:tcPr>
            <w:tcW w:type="dxa" w:w="1440"/>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Tail amplification</w:t>
            </w:r>
          </w:p>
        </w:tc>
        <w:tc>
          <w:tcPr>
            <w:tcW w:type="dxa" w:w="1296"/>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Sensitivity to test</w:t>
            </w:r>
          </w:p>
        </w:tc>
      </w:tr>
      <w:tr>
        <w:trPr>
          <w:cantSplit/>
        </w:trPr>
        <w:tc>
          <w:tcPr>
            <w:tcW w:type="dxa" w:w="1584"/>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Motor planning</w:t>
            </w:r>
          </w:p>
        </w:tc>
        <w:tc>
          <w:tcPr>
            <w:tcW w:type="dxa" w:w="1296"/>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Not estimated</w:t>
            </w:r>
          </w:p>
        </w:tc>
        <w:tc>
          <w:tcPr>
            <w:tcW w:type="dxa" w:w="1440"/>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Not established here</w:t>
            </w:r>
          </w:p>
        </w:tc>
        <w:tc>
          <w:tcPr>
            <w:tcW w:type="dxa" w:w="2160"/>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Post-training sex gap requires data.</w:t>
            </w:r>
          </w:p>
        </w:tc>
        <w:tc>
          <w:tcPr>
            <w:tcW w:type="dxa" w:w="1440"/>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Sequential execution</w:t>
            </w:r>
          </w:p>
        </w:tc>
        <w:tc>
          <w:tcPr>
            <w:tcW w:type="dxa" w:w="1296"/>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Supporting demand</w:t>
            </w:r>
          </w:p>
        </w:tc>
      </w:tr>
      <w:tr>
        <w:trPr>
          <w:cantSplit/>
        </w:trPr>
        <w:tc>
          <w:tcPr>
            <w:tcW w:type="dxa" w:w="1584"/>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Decision-making</w:t>
            </w:r>
          </w:p>
        </w:tc>
        <w:tc>
          <w:tcPr>
            <w:tcW w:type="dxa" w:w="1296"/>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Not estimated</w:t>
            </w:r>
          </w:p>
        </w:tc>
        <w:tc>
          <w:tcPr>
            <w:tcW w:type="dxa" w:w="1440"/>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Not established here</w:t>
            </w:r>
          </w:p>
        </w:tc>
        <w:tc>
          <w:tcPr>
            <w:tcW w:type="dxa" w:w="2160"/>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Measure learning and risk calibration.</w:t>
            </w:r>
          </w:p>
        </w:tc>
        <w:tc>
          <w:tcPr>
            <w:tcW w:type="dxa" w:w="1440"/>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Uncertain game states</w:t>
            </w:r>
          </w:p>
        </w:tc>
        <w:tc>
          <w:tcPr>
            <w:tcW w:type="dxa" w:w="1296"/>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Supporting demand</w:t>
            </w:r>
          </w:p>
        </w:tc>
      </w:tr>
      <w:tr>
        <w:trPr>
          <w:cantSplit/>
        </w:trPr>
        <w:tc>
          <w:tcPr>
            <w:tcW w:type="dxa" w:w="1584"/>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Pattern recognition</w:t>
            </w:r>
          </w:p>
        </w:tc>
        <w:tc>
          <w:tcPr>
            <w:tcW w:type="dxa" w:w="1296"/>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Not estimated</w:t>
            </w:r>
          </w:p>
        </w:tc>
        <w:tc>
          <w:tcPr>
            <w:tcW w:type="dxa" w:w="1440"/>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Not established here</w:t>
            </w:r>
          </w:p>
        </w:tc>
        <w:tc>
          <w:tcPr>
            <w:tcW w:type="dxa" w:w="2160"/>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Domain expertise is learned.</w:t>
            </w:r>
          </w:p>
        </w:tc>
        <w:tc>
          <w:tcPr>
            <w:tcW w:type="dxa" w:w="1440"/>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Gamesense</w:t>
            </w:r>
          </w:p>
        </w:tc>
        <w:tc>
          <w:tcPr>
            <w:tcW w:type="dxa" w:w="1296"/>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Supporting demand</w:t>
            </w:r>
          </w:p>
        </w:tc>
      </w:tr>
      <w:tr>
        <w:trPr>
          <w:cantSplit/>
        </w:trPr>
        <w:tc>
          <w:tcPr>
            <w:tcW w:type="dxa" w:w="1584"/>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Cognitive endurance</w:t>
            </w:r>
          </w:p>
        </w:tc>
        <w:tc>
          <w:tcPr>
            <w:tcW w:type="dxa" w:w="1296"/>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No elite sex coefficient</w:t>
            </w:r>
          </w:p>
        </w:tc>
        <w:tc>
          <w:tcPr>
            <w:tcW w:type="dxa" w:w="1440"/>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Individual variation</w:t>
            </w:r>
          </w:p>
        </w:tc>
        <w:tc>
          <w:tcPr>
            <w:tcW w:type="dxa" w:w="2160"/>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Training effects and persistence require data.</w:t>
            </w:r>
          </w:p>
        </w:tc>
        <w:tc>
          <w:tcPr>
            <w:tcW w:type="dxa" w:w="1440"/>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Late-session stability</w:t>
            </w:r>
          </w:p>
        </w:tc>
        <w:tc>
          <w:tcPr>
            <w:tcW w:type="dxa" w:w="1296"/>
            <w:vAlign w:val="center"/>
            <w:shd w:fill="F2F5F7"/>
            <w:tcMar>
              <w:top w:w="90" w:type="dxa"/>
              <w:bottom w:w="90" w:type="dxa"/>
              <w:left w:w="90" w:type="dxa"/>
              <w:right w:w="90" w:type="dxa"/>
            </w:tcMar>
          </w:tcPr>
          <w:p>
            <w:pPr>
              <w:keepNext/>
              <w:spacing w:before="40" w:after="60" w:line="247" w:lineRule="auto"/>
            </w:pPr>
            <w:r>
              <w:rPr>
                <w:rFonts w:ascii="Arial" w:hAnsi="Arial"/>
                <w:b w:val="0"/>
                <w:color w:val="000000"/>
                <w:sz w:val="16"/>
              </w:rPr>
              <w:t>Supporting demand</w:t>
            </w:r>
          </w:p>
        </w:tc>
      </w:tr>
      <w:tr>
        <w:trPr>
          <w:cantSplit/>
        </w:trPr>
        <w:tc>
          <w:tcPr>
            <w:tcW w:type="dxa" w:w="1584"/>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Proprioception</w:t>
            </w:r>
          </w:p>
        </w:tc>
        <w:tc>
          <w:tcPr>
            <w:tcW w:type="dxa" w:w="1296"/>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No elite sex coefficient</w:t>
            </w:r>
          </w:p>
        </w:tc>
        <w:tc>
          <w:tcPr>
            <w:tcW w:type="dxa" w:w="1440"/>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Unspecified here</w:t>
            </w:r>
          </w:p>
        </w:tc>
        <w:tc>
          <w:tcPr>
            <w:tcW w:type="dxa" w:w="2160"/>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Motor calibration develops through practice.</w:t>
            </w:r>
          </w:p>
        </w:tc>
        <w:tc>
          <w:tcPr>
            <w:tcW w:type="dxa" w:w="1440"/>
            <w:vAlign w:val="center"/>
            <w:shd w:fill="FFFFFF"/>
            <w:tcMar>
              <w:top w:w="90" w:type="dxa"/>
              <w:bottom w:w="90" w:type="dxa"/>
              <w:left w:w="90" w:type="dxa"/>
              <w:right w:w="90" w:type="dxa"/>
            </w:tcMar>
          </w:tcPr>
          <w:p>
            <w:pPr>
              <w:keepNext/>
              <w:spacing w:before="40" w:after="60" w:line="247" w:lineRule="auto"/>
            </w:pPr>
            <w:r>
              <w:rPr>
                <w:rFonts w:ascii="Arial" w:hAnsi="Arial"/>
                <w:b w:val="0"/>
                <w:color w:val="000000"/>
                <w:sz w:val="16"/>
              </w:rPr>
              <w:t>Reliable input execution</w:t>
            </w:r>
          </w:p>
        </w:tc>
        <w:tc>
          <w:tcPr>
            <w:tcW w:type="dxa" w:w="1296"/>
            <w:vAlign w:val="center"/>
            <w:shd w:fill="FFFFFF"/>
            <w:tcMar>
              <w:top w:w="90" w:type="dxa"/>
              <w:bottom w:w="90" w:type="dxa"/>
              <w:left w:w="90" w:type="dxa"/>
              <w:right w:w="90" w:type="dxa"/>
            </w:tcMar>
          </w:tcPr>
          <w:p>
            <w:pPr>
              <w:keepNext w:val="0"/>
              <w:spacing w:before="40" w:after="60" w:line="247" w:lineRule="auto"/>
            </w:pPr>
            <w:r>
              <w:rPr>
                <w:rFonts w:ascii="Arial" w:hAnsi="Arial"/>
                <w:b w:val="0"/>
                <w:color w:val="000000"/>
                <w:sz w:val="16"/>
              </w:rPr>
              <w:t>Supporting demand</w:t>
            </w:r>
          </w:p>
        </w:tc>
      </w:tr>
    </w:tbl>
    <w:p w14:paraId="0D8FE0E0" w14:textId="77777777" w:rsidR="002E4C15" w:rsidRDefault="002E4C15">
      <w:pPr>
        <w:pageBreakBefore w:val="0"/>
        <w:sectPr w:rsidR="002E4C15">
          <w:type w:val="continuous"/>
          <w:pgSz w:w="12240" w:h="15840"/>
          <w:pgMar w:top="1080" w:right="1080" w:bottom="1080" w:left="1080" w:header="720" w:footer="720" w:gutter="0"/>
          <w:cols w:space="720"/>
          <w:docGrid w:linePitch="360"/>
        </w:sectPr>
      </w:pPr>
    </w:p>
    <w:p>
      <w:pPr>
        <w:pStyle w:val="Heading2"/>
      </w:pPr>
      <w:r>
        <w:t>Model and record status</w:t>
      </w:r>
    </w:p>
    <w:p>
      <w:pPr/>
      <w:r>
        <w:t>Figures 1–2 and the gamesense crosswalk describe a proposed architecture. Figure 3 and Tables V1–V2 are calculations under declared distributional and selection assumptions, with no fitted roster forecast. Figure 4 states predictions. Public competitive records motivate the problem but do not supply a complete role-relative census or a controlled biological comparison. Appendix D specifies the evidence needed to turn those records into a reproducible endpoint.</w:t>
      </w:r>
    </w:p>
    <w:p w14:paraId="0F8789FC" w14:textId="77777777" w:rsidR="002E4C15" w:rsidRDefault="00000000">
      <w:pPr>
        <w:pStyle w:val="Heading1"/>
        <w:pageBreakBefore/>
      </w:pPr>
      <w:r>
        <w:t>Appendix C. Indirect Mechanisms and Future Work</w:t>
      </w:r>
    </w:p>
    <w:p w14:paraId="5DC54C81" w14:textId="77777777" w:rsidR="002E4C15" w:rsidRDefault="00000000">
      <w:pPr>
        <w:pageBreakBefore w:val="0"/>
      </w:pPr>
      <w:r>
        <w:t>These mechanisms are not needed to establish the core trait–training–selection hypothesis. They remain candidate pathways requiring direct evidence before they receive explanatory weight.</w:t>
      </w:r>
    </w:p>
    <w:p>
      <w:pPr>
        <w:pStyle w:val="Heading2"/>
      </w:pPr>
      <w:r>
        <w:t>Endocrine pathways and competitive orientation</w:t>
      </w:r>
    </w:p>
    <w:p>
      <w:pPr/>
      <w:r>
        <w:t>Testosterone-related hypotheses concern status motivation, risk calibration and competitive approach as possible influences on entry, practice and retention. They do not supply a direct aiming advantage or an established explanation of esports performance. Adjacent work such as Coates and Herbert (2008), conducted on a financial trading floor, does not identify the causal chain from hormones to sustained gaming practice or elite success.</w:t>
      </w:r>
    </w:p>
    <w:p>
      <w:pPr/>
      <w:r>
        <w:t>Testing that chain would require repeated hormonal and behavioral measurements, relevant training and competition outcomes, and designs capable of separating selection, experience and state effects. Specific claims about aggressive peeks, tolerance for repeated loss or willingness to grind are not treated as established endocrine consequences. The positive model can be tested without this pathway.</w:t>
      </w:r>
    </w:p>
    <w:p w14:paraId="7514E766" w14:textId="77777777" w:rsidR="002E4C15" w:rsidRDefault="00000000">
      <w:pPr>
        <w:pStyle w:val="Heading2"/>
        <w:pageBreakBefore w:val="0"/>
      </w:pPr>
      <w:r>
        <w:rPr>
          <w:color w:val="000000"/>
        </w:rPr>
        <w:t>Critical flicker fusion and high-refresh visual stability</w:t>
      </w:r>
    </w:p>
    <w:p w14:paraId="3DFE1B88" w14:textId="77777777" w:rsidR="002E4C15" w:rsidRDefault="00000000">
      <w:pPr>
        <w:pageBreakBefore w:val="0"/>
      </w:pPr>
      <w:r>
        <w:t>A candidate measure of visual temporal processing; its relevance to sustained esports output and any sex-specific training effect would need direct validation.</w:t>
      </w:r>
    </w:p>
    <w:p w14:paraId="4F7CAEA5" w14:textId="77777777" w:rsidR="002E4C15" w:rsidRDefault="00000000">
      <w:pPr>
        <w:pStyle w:val="Heading2"/>
        <w:pageBreakBefore w:val="0"/>
      </w:pPr>
      <w:r>
        <w:rPr>
          <w:color w:val="000000"/>
        </w:rPr>
        <w:t>Hormonal cyclicity and performance variance</w:t>
      </w:r>
    </w:p>
    <w:p w14:paraId="7D44D7DD" w14:textId="77777777" w:rsidR="002E4C15" w:rsidRDefault="00000000">
      <w:pPr>
        <w:pageBreakBefore w:val="0"/>
      </w:pPr>
      <w:r>
        <w:t>A possible question about within-person performance variation. No fixed female disadvantage or esports effect size is assumed.</w:t>
      </w:r>
    </w:p>
    <w:p w14:paraId="551A3704" w14:textId="77777777" w:rsidR="002E4C15" w:rsidRDefault="00000000">
      <w:pPr>
        <w:pStyle w:val="Heading2"/>
        <w:pageBreakBefore w:val="0"/>
      </w:pPr>
      <w:r>
        <w:rPr>
          <w:color w:val="000000"/>
        </w:rPr>
        <w:t>Acute stress response and clutch performance</w:t>
      </w:r>
    </w:p>
    <w:p w14:paraId="69BD667F" w14:textId="77777777" w:rsidR="002E4C15" w:rsidRDefault="00000000">
      <w:pPr>
        <w:pageBreakBefore w:val="0"/>
      </w:pPr>
      <w:r>
        <w:t>Mechanistically interesting but noisy in outcome data. Clutch performance depends heavily on context, team role, training, and match state.</w:t>
      </w:r>
    </w:p>
    <w:p w14:paraId="2212125F" w14:textId="77777777" w:rsidR="002E4C15" w:rsidRDefault="00000000">
      <w:pPr>
        <w:pStyle w:val="Heading2"/>
        <w:pageBreakBefore w:val="0"/>
      </w:pPr>
      <w:r>
        <w:rPr>
          <w:color w:val="000000"/>
        </w:rPr>
        <w:t>Neural connectivity architecture</w:t>
      </w:r>
    </w:p>
    <w:p w14:paraId="2A578022" w14:textId="77777777" w:rsidR="002E4C15" w:rsidRDefault="00000000">
      <w:pPr>
        <w:pageBreakBefore w:val="0"/>
      </w:pPr>
      <w:r>
        <w:t>An indirect candidate explanation of sensory–motor integration. Behavioral prediction should be established before structural descriptions are assigned causal weight.</w:t>
      </w:r>
    </w:p>
    <w:p w14:paraId="79DB65F9" w14:textId="77777777" w:rsidR="002E4C15" w:rsidRDefault="00000000">
      <w:pPr>
        <w:pStyle w:val="Heading1"/>
        <w:pageBreakBefore/>
      </w:pPr>
      <w:r>
        <w:t>Appendix D. Protocol for Evaluating Sustained Elite Performance</w:t>
      </w:r>
    </w:p>
    <w:p w14:paraId="70E4088D" w14:textId="77777777" w:rsidR="002E4C15" w:rsidRDefault="00000000">
      <w:pPr>
        <w:pageBreakBefore w:val="0"/>
      </w:pPr>
      <w:r>
        <w:t>Apply the Section IX endpoint before examining individual cases. Record the game, role, field and two-season window; define the strongest-opponent group using contemporaneous strength; then fix the minimum exposure and success benchmark. Use the same rules for every player and report missing data.</w:t>
      </w:r>
    </w:p>
    <w:p w14:paraId="7728F63E" w14:textId="77777777" w:rsidR="002E4C15" w:rsidRDefault="00000000">
      <w:pPr>
        <w:pageBreakBefore w:val="0"/>
      </w:pPr>
      <w:r>
        <w:t>The following protocol and examples specify evidence to collect. They do not report a completed census or make a universal zero-count claim.</w:t>
      </w:r>
    </w:p>
    <w:p w14:paraId="7F4C2D20" w14:textId="77777777" w:rsidR="002E4C15" w:rsidRDefault="00000000">
      <w:r>
        <w:t>Chess illustrates why broad elite standing and sustained competitive parity with a narrower top group must be distinguished. Judit Polgár reached world No. 8 and finished undefeated in clear second at Corus 2003, behind Anand and ahead of Kramnik and Shirov (International Chess Federation, 2026; Tata Steel Chess, n.d.). Those are substantial open achievements. Neither a peak ranking alone nor failure to become world No. 1 settles the narrower benchmark used here. That requires a specified opponent set and period, wins per opportunity, overall score and repeated results. An unverified hierarchy based on selected lifetime win totals is not used as evidence of a structural ceiling. Backus et al. (2023) concerns opponent-sex behavior, while Li et al. (2025) concerns ratings and retention. Chess is a comparison, not a controlled biological test of esports.</w:t>
      </w:r>
    </w:p>
    <w:p w14:paraId="09E1C24A" w14:textId="77777777" w:rsidR="002E4C15" w:rsidRDefault="00000000">
      <w:r>
        <w:t>Valorant is an informative candidate case because Game Changers provides a visible development pathway. Its contribution should be assessed by following entrants into open competition, recording training and retention, and applying the same role benchmark to every player. Restricted-circuit success is not itself open elite success; neither does the circuit’s existence establish equal lifetime exposure or remove every opportunity constraint.</w:t>
      </w:r>
    </w:p>
    <w:p w14:paraId="34E73839" w14:textId="77777777" w:rsidR="002E4C15" w:rsidRDefault="00000000">
      <w:r>
        <w:t>Counter-Strike provides a longer organized competitive history. The important comparison is role-adjusted output against calibrated open opposition, not a women’s-circuit title or raw statistics from separate opponent pools. Historical team examples motivate that comparison; this paper does not treat scene-position estimates as a complete count of qualifying role-elite players.</w:t>
      </w:r>
    </w:p>
    <w:p w14:paraId="2564A40C" w14:textId="77777777" w:rsidR="002E4C15" w:rsidRDefault="00000000">
      <w:r>
        <w:t>Named cases such as Geguri, Kayane and Scarlett should be evaluated with the same declared title, field, output and duration criteria used for everyone else. Historical significance and one strong event do not settle sustained standing, but a support role or an inconvenient successful case is not grounds for exclusion. Where a biological-sex analysis and a circuit’s gender eligibility measure different populations, the variables and the available data must be reported explicitly; identity is not a substitute for the relevant measurement.</w:t>
      </w:r>
    </w:p>
    <w:p w14:paraId="055BD809" w14:textId="77777777" w:rsidR="002E4C15" w:rsidRDefault="00000000">
      <w:r>
        <w:t>A single woman sustaining the declared top-role benchmark would be a meaningful challenge to a strong near-zero or hard-ceiling claim. A distributional model can allow rare cases, but must state an expected frequency before seeing them and update when outcomes exceed it. The bar cannot move from elite performer to world champion, or from one qualifying case to an unspecified cohort, after the evidence arrives.</w:t>
      </w:r>
    </w:p>
    <w:p>
      <w:pPr>
        <w:pStyle w:val="Caption"/>
        <w:keepNext/>
      </w:pPr>
      <w:r>
        <w:t>Table D1. Evidence required for a reproducible competitive-record assessment.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240"/>
        <w:gridCol w:w="3960"/>
      </w:tblGrid>
      <w:tr>
        <w:trPr>
          <w:cantSplit/>
          <w:tblHeader/>
        </w:trPr>
        <w:tc>
          <w:tcPr>
            <w:tcW w:type="dxa" w:w="2016"/>
            <w:vAlign w:val="center"/>
            <w:shd w:fill="17354A"/>
            <w:tcMar>
              <w:top w:w="100" w:type="dxa"/>
              <w:left w:w="100" w:type="dxa"/>
              <w:bottom w:w="100" w:type="dxa"/>
              <w:right w:w="100" w:type="dxa"/>
            </w:tcMar>
          </w:tcPr>
          <w:p>
            <w:pPr>
              <w:keepNext/>
              <w:spacing w:after="40" w:before="40" w:line="247" w:lineRule="auto"/>
            </w:pPr>
            <w:r>
              <w:rPr>
                <w:rFonts w:ascii="Arial" w:hAnsi="Arial"/>
                <w:b/>
                <w:color w:val="FFFFFF"/>
                <w:sz w:val="18"/>
              </w:rPr>
              <w:t>Record to examine</w:t>
            </w:r>
          </w:p>
        </w:tc>
        <w:tc>
          <w:tcPr>
            <w:tcW w:type="dxa" w:w="3240"/>
            <w:vAlign w:val="center"/>
            <w:shd w:fill="17354A"/>
            <w:tcMar>
              <w:top w:w="100" w:type="dxa"/>
              <w:left w:w="100" w:type="dxa"/>
              <w:bottom w:w="100" w:type="dxa"/>
              <w:right w:w="100" w:type="dxa"/>
            </w:tcMar>
          </w:tcPr>
          <w:p>
            <w:pPr>
              <w:keepNext/>
              <w:spacing w:after="40" w:before="40" w:line="247" w:lineRule="auto"/>
            </w:pPr>
            <w:r>
              <w:rPr>
                <w:rFonts w:ascii="Arial" w:hAnsi="Arial"/>
                <w:b/>
                <w:color w:val="FFFFFF"/>
                <w:sz w:val="18"/>
              </w:rPr>
              <w:t>Benchmark to apply</w:t>
            </w:r>
          </w:p>
        </w:tc>
        <w:tc>
          <w:tcPr>
            <w:tcW w:type="dxa" w:w="3960"/>
            <w:vAlign w:val="center"/>
            <w:shd w:fill="17354A"/>
            <w:tcMar>
              <w:top w:w="100" w:type="dxa"/>
              <w:left w:w="100" w:type="dxa"/>
              <w:bottom w:w="100" w:type="dxa"/>
              <w:right w:w="100" w:type="dxa"/>
            </w:tcMar>
          </w:tcPr>
          <w:p>
            <w:pPr>
              <w:keepNext/>
              <w:spacing w:after="40" w:before="40" w:line="247" w:lineRule="auto"/>
            </w:pPr>
            <w:r>
              <w:rPr>
                <w:rFonts w:ascii="Arial" w:hAnsi="Arial"/>
                <w:b/>
                <w:color w:val="FFFFFF"/>
                <w:sz w:val="18"/>
              </w:rPr>
              <w:t>Evidence required</w:t>
            </w:r>
          </w:p>
        </w:tc>
      </w:tr>
      <w:tr>
        <w:trPr>
          <w:cantSplit/>
        </w:trPr>
        <w:tc>
          <w:tcPr>
            <w:tcW w:type="dxa" w:w="2016"/>
            <w:vAlign w:val="center"/>
            <w:shd w:fill="F2F5F7"/>
            <w:tcMar>
              <w:top w:w="100" w:type="dxa"/>
              <w:left w:w="100" w:type="dxa"/>
              <w:bottom w:w="100" w:type="dxa"/>
              <w:right w:w="100" w:type="dxa"/>
            </w:tcMar>
          </w:tcPr>
          <w:p>
            <w:pPr>
              <w:keepNext/>
              <w:spacing w:after="40" w:before="40" w:line="247" w:lineRule="auto"/>
            </w:pPr>
            <w:r>
              <w:rPr>
                <w:rFonts w:ascii="Arial" w:hAnsi="Arial"/>
                <w:b w:val="0"/>
                <w:color w:val="000000"/>
                <w:sz w:val="18"/>
              </w:rPr>
              <w:t>FPS and role-based team games</w:t>
            </w:r>
          </w:p>
        </w:tc>
        <w:tc>
          <w:tcPr>
            <w:tcW w:type="dxa" w:w="3240"/>
            <w:vAlign w:val="center"/>
            <w:shd w:fill="F2F5F7"/>
            <w:tcMar>
              <w:top w:w="100" w:type="dxa"/>
              <w:left w:w="100" w:type="dxa"/>
              <w:bottom w:w="100" w:type="dxa"/>
              <w:right w:w="100" w:type="dxa"/>
            </w:tcMar>
          </w:tcPr>
          <w:p>
            <w:pPr>
              <w:keepNext/>
              <w:spacing w:after="40" w:before="40" w:line="247" w:lineRule="auto"/>
            </w:pPr>
            <w:r>
              <w:rPr>
                <w:rFonts w:ascii="Arial" w:hAnsi="Arial"/>
                <w:b w:val="0"/>
                <w:color w:val="000000"/>
                <w:sz w:val="18"/>
              </w:rPr>
              <w:t>Repeated competitive success against the strongest declared opposition; support and flex count.</w:t>
            </w:r>
          </w:p>
        </w:tc>
        <w:tc>
          <w:tcPr>
            <w:tcW w:type="dxa" w:w="3960"/>
            <w:vAlign w:val="center"/>
            <w:shd w:fill="F2F5F7"/>
            <w:tcMar>
              <w:top w:w="100" w:type="dxa"/>
              <w:left w:w="100" w:type="dxa"/>
              <w:bottom w:w="100" w:type="dxa"/>
              <w:right w:w="100" w:type="dxa"/>
            </w:tcMar>
          </w:tcPr>
          <w:p>
            <w:pPr>
              <w:keepNext/>
              <w:spacing w:after="40" w:before="40" w:line="247" w:lineRule="auto"/>
            </w:pPr>
            <w:r>
              <w:rPr>
                <w:rFonts w:ascii="Arial" w:hAnsi="Arial"/>
                <w:b w:val="0"/>
                <w:color w:val="000000"/>
                <w:sz w:val="18"/>
              </w:rPr>
              <w:t>Opponent-adjusted individual role output, team results, minimum exposure and two-season continuity.</w:t>
            </w:r>
          </w:p>
        </w:tc>
      </w:tr>
      <w:tr>
        <w:trPr>
          <w:cantSplit/>
        </w:trPr>
        <w:tc>
          <w:tcPr>
            <w:tcW w:type="dxa" w:w="2016"/>
            <w:vAlign w:val="center"/>
            <w:shd w:fill="FFFFFF"/>
            <w:tcMar>
              <w:top w:w="100" w:type="dxa"/>
              <w:left w:w="100" w:type="dxa"/>
              <w:bottom w:w="100" w:type="dxa"/>
              <w:right w:w="100" w:type="dxa"/>
            </w:tcMar>
          </w:tcPr>
          <w:p>
            <w:pPr>
              <w:keepNext/>
              <w:spacing w:after="40" w:before="40" w:line="247" w:lineRule="auto"/>
            </w:pPr>
            <w:r>
              <w:rPr>
                <w:rFonts w:ascii="Arial" w:hAnsi="Arial"/>
                <w:b w:val="0"/>
                <w:color w:val="000000"/>
                <w:sz w:val="18"/>
              </w:rPr>
              <w:t>FGC and RTS</w:t>
            </w:r>
          </w:p>
        </w:tc>
        <w:tc>
          <w:tcPr>
            <w:tcW w:type="dxa" w:w="3240"/>
            <w:vAlign w:val="center"/>
            <w:shd w:fill="FFFFFF"/>
            <w:tcMar>
              <w:top w:w="100" w:type="dxa"/>
              <w:left w:w="100" w:type="dxa"/>
              <w:bottom w:w="100" w:type="dxa"/>
              <w:right w:w="100" w:type="dxa"/>
            </w:tcMar>
          </w:tcPr>
          <w:p>
            <w:pPr>
              <w:keepNext/>
              <w:spacing w:after="40" w:before="40" w:line="247" w:lineRule="auto"/>
            </w:pPr>
            <w:r>
              <w:rPr>
                <w:rFonts w:ascii="Arial" w:hAnsi="Arial"/>
                <w:b w:val="0"/>
                <w:color w:val="000000"/>
                <w:sz w:val="18"/>
              </w:rPr>
              <w:t>Repeated wins and strong event results against a declared top-opponent group across the same period.</w:t>
            </w:r>
          </w:p>
        </w:tc>
        <w:tc>
          <w:tcPr>
            <w:tcW w:type="dxa" w:w="3960"/>
            <w:vAlign w:val="center"/>
            <w:shd w:fill="FFFFFF"/>
            <w:tcMar>
              <w:top w:w="100" w:type="dxa"/>
              <w:left w:w="100" w:type="dxa"/>
              <w:bottom w:w="100" w:type="dxa"/>
              <w:right w:w="100" w:type="dxa"/>
            </w:tcMar>
          </w:tcPr>
          <w:p>
            <w:pPr>
              <w:keepNext/>
              <w:spacing w:after="40" w:before="40" w:line="247" w:lineRule="auto"/>
            </w:pPr>
            <w:r>
              <w:rPr>
                <w:rFonts w:ascii="Arial" w:hAnsi="Arial"/>
                <w:b w:val="0"/>
                <w:color w:val="000000"/>
                <w:sz w:val="18"/>
              </w:rPr>
              <w:t>Wins per encounter, overall score, contemporaneous opponent strength, event history and entry denominator.</w:t>
            </w:r>
          </w:p>
        </w:tc>
      </w:tr>
      <w:tr>
        <w:trPr>
          <w:cantSplit/>
        </w:trPr>
        <w:tc>
          <w:tcPr>
            <w:tcW w:type="dxa" w:w="2016"/>
            <w:vAlign w:val="center"/>
            <w:shd w:fill="F2F5F7"/>
            <w:tcMar>
              <w:top w:w="100" w:type="dxa"/>
              <w:left w:w="100" w:type="dxa"/>
              <w:bottom w:w="100" w:type="dxa"/>
              <w:right w:w="100" w:type="dxa"/>
            </w:tcMar>
          </w:tcPr>
          <w:p>
            <w:pPr>
              <w:keepNext/>
              <w:spacing w:after="40" w:before="40" w:line="247" w:lineRule="auto"/>
            </w:pPr>
            <w:r>
              <w:rPr>
                <w:rFonts w:ascii="Arial" w:hAnsi="Arial"/>
                <w:b w:val="0"/>
                <w:color w:val="000000"/>
                <w:sz w:val="18"/>
              </w:rPr>
              <w:t>Game Changers, Impact and other restricted circuits</w:t>
            </w:r>
          </w:p>
        </w:tc>
        <w:tc>
          <w:tcPr>
            <w:tcW w:type="dxa" w:w="3240"/>
            <w:vAlign w:val="center"/>
            <w:shd w:fill="F2F5F7"/>
            <w:tcMar>
              <w:top w:w="100" w:type="dxa"/>
              <w:left w:w="100" w:type="dxa"/>
              <w:bottom w:w="100" w:type="dxa"/>
              <w:right w:w="100" w:type="dxa"/>
            </w:tcMar>
          </w:tcPr>
          <w:p>
            <w:pPr>
              <w:keepNext/>
              <w:spacing w:after="40" w:before="40" w:line="247" w:lineRule="auto"/>
            </w:pPr>
            <w:r>
              <w:rPr>
                <w:rFonts w:ascii="Arial" w:hAnsi="Arial"/>
                <w:b w:val="0"/>
                <w:color w:val="000000"/>
                <w:sz w:val="18"/>
              </w:rPr>
              <w:t>Development pathways; restricted-event dominance alone does not establish an open benchmark.</w:t>
            </w:r>
          </w:p>
        </w:tc>
        <w:tc>
          <w:tcPr>
            <w:tcW w:type="dxa" w:w="3960"/>
            <w:vAlign w:val="center"/>
            <w:shd w:fill="F2F5F7"/>
            <w:tcMar>
              <w:top w:w="100" w:type="dxa"/>
              <w:left w:w="100" w:type="dxa"/>
              <w:bottom w:w="100" w:type="dxa"/>
              <w:right w:w="100" w:type="dxa"/>
            </w:tcMar>
          </w:tcPr>
          <w:p>
            <w:pPr>
              <w:keepNext/>
              <w:spacing w:after="40" w:before="40" w:line="247" w:lineRule="auto"/>
            </w:pPr>
            <w:r>
              <w:rPr>
                <w:rFonts w:ascii="Arial" w:hAnsi="Arial"/>
                <w:b w:val="0"/>
                <w:color w:val="000000"/>
                <w:sz w:val="18"/>
              </w:rPr>
              <w:t>Follow entrants into open play and measure training, retention and transition rates.</w:t>
            </w:r>
          </w:p>
        </w:tc>
      </w:tr>
      <w:tr>
        <w:trPr>
          <w:cantSplit/>
        </w:trPr>
        <w:tc>
          <w:tcPr>
            <w:tcW w:type="dxa" w:w="2016"/>
            <w:vAlign w:val="center"/>
            <w:shd w:fill="FFFFFF"/>
            <w:tcMar>
              <w:top w:w="100" w:type="dxa"/>
              <w:left w:w="100" w:type="dxa"/>
              <w:bottom w:w="100" w:type="dxa"/>
              <w:right w:w="100" w:type="dxa"/>
            </w:tcMar>
          </w:tcPr>
          <w:p>
            <w:pPr>
              <w:keepNext/>
              <w:spacing w:after="40" w:before="40" w:line="247" w:lineRule="auto"/>
            </w:pPr>
            <w:r>
              <w:rPr>
                <w:rFonts w:ascii="Arial" w:hAnsi="Arial"/>
                <w:b w:val="0"/>
                <w:color w:val="000000"/>
                <w:sz w:val="18"/>
              </w:rPr>
              <w:t>Rare individual cases</w:t>
            </w:r>
          </w:p>
        </w:tc>
        <w:tc>
          <w:tcPr>
            <w:tcW w:type="dxa" w:w="3240"/>
            <w:vAlign w:val="center"/>
            <w:shd w:fill="FFFFFF"/>
            <w:tcMar>
              <w:top w:w="100" w:type="dxa"/>
              <w:left w:w="100" w:type="dxa"/>
              <w:bottom w:w="100" w:type="dxa"/>
              <w:right w:w="100" w:type="dxa"/>
            </w:tcMar>
          </w:tcPr>
          <w:p>
            <w:pPr>
              <w:keepNext/>
              <w:spacing w:after="40" w:before="40" w:line="247" w:lineRule="auto"/>
            </w:pPr>
            <w:r>
              <w:rPr>
                <w:rFonts w:ascii="Arial" w:hAnsi="Arial"/>
                <w:b w:val="0"/>
                <w:color w:val="000000"/>
                <w:sz w:val="18"/>
              </w:rPr>
              <w:t>Apply the identical benchmark before examining the player’s identity.</w:t>
            </w:r>
          </w:p>
        </w:tc>
        <w:tc>
          <w:tcPr>
            <w:tcW w:type="dxa" w:w="3960"/>
            <w:vAlign w:val="center"/>
            <w:shd w:fill="FFFFFF"/>
            <w:tcMar>
              <w:top w:w="100" w:type="dxa"/>
              <w:left w:w="100" w:type="dxa"/>
              <w:bottom w:w="100" w:type="dxa"/>
              <w:right w:w="100" w:type="dxa"/>
            </w:tcMar>
          </w:tcPr>
          <w:p>
            <w:pPr>
              <w:keepNext/>
              <w:spacing w:after="40" w:before="40" w:line="247" w:lineRule="auto"/>
            </w:pPr>
            <w:r>
              <w:rPr>
                <w:rFonts w:ascii="Arial" w:hAnsi="Arial"/>
                <w:b w:val="0"/>
                <w:color w:val="000000"/>
                <w:sz w:val="18"/>
              </w:rPr>
              <w:t>Count qualifying cases; do not raise the bar to world champion or exclude a support role.</w:t>
            </w:r>
          </w:p>
        </w:tc>
      </w:tr>
      <w:tr>
        <w:trPr>
          <w:cantSplit/>
        </w:trPr>
        <w:tc>
          <w:tcPr>
            <w:tcW w:type="dxa" w:w="2016"/>
            <w:vAlign w:val="center"/>
            <w:shd w:fill="F2F5F7"/>
            <w:tcMar>
              <w:top w:w="100" w:type="dxa"/>
              <w:left w:w="100" w:type="dxa"/>
              <w:bottom w:w="100" w:type="dxa"/>
              <w:right w:w="100" w:type="dxa"/>
            </w:tcMar>
          </w:tcPr>
          <w:p>
            <w:pPr>
              <w:keepNext/>
              <w:spacing w:after="40" w:before="40" w:line="247" w:lineRule="auto"/>
            </w:pPr>
            <w:r>
              <w:rPr>
                <w:rFonts w:ascii="Arial" w:hAnsi="Arial"/>
                <w:b w:val="0"/>
                <w:color w:val="000000"/>
                <w:sz w:val="18"/>
              </w:rPr>
              <w:t>Change after expanded access</w:t>
            </w:r>
          </w:p>
        </w:tc>
        <w:tc>
          <w:tcPr>
            <w:tcW w:type="dxa" w:w="3240"/>
            <w:vAlign w:val="center"/>
            <w:shd w:fill="F2F5F7"/>
            <w:tcMar>
              <w:top w:w="100" w:type="dxa"/>
              <w:left w:w="100" w:type="dxa"/>
              <w:bottom w:w="100" w:type="dxa"/>
              <w:right w:w="100" w:type="dxa"/>
            </w:tcMar>
          </w:tcPr>
          <w:p>
            <w:pPr>
              <w:keepNext/>
              <w:spacing w:after="40" w:before="40" w:line="247" w:lineRule="auto"/>
            </w:pPr>
            <w:r>
              <w:rPr>
                <w:rFonts w:ascii="Arial" w:hAnsi="Arial"/>
                <w:b w:val="0"/>
                <w:color w:val="000000"/>
                <w:sz w:val="18"/>
              </w:rPr>
              <w:t>A registered prediction for a named cohort, intervention and period.</w:t>
            </w:r>
          </w:p>
        </w:tc>
        <w:tc>
          <w:tcPr>
            <w:tcW w:type="dxa" w:w="3960"/>
            <w:vAlign w:val="center"/>
            <w:shd w:fill="F2F5F7"/>
            <w:tcMar>
              <w:top w:w="100" w:type="dxa"/>
              <w:left w:w="100" w:type="dxa"/>
              <w:bottom w:w="100" w:type="dxa"/>
              <w:right w:w="100" w:type="dxa"/>
            </w:tcMar>
          </w:tcPr>
          <w:p>
            <w:pPr>
              <w:keepNext w:val="0"/>
              <w:spacing w:after="40" w:before="40" w:line="247" w:lineRule="auto"/>
            </w:pPr>
            <w:r>
              <w:rPr>
                <w:rFonts w:ascii="Arial" w:hAnsi="Arial"/>
                <w:b w:val="0"/>
                <w:color w:val="000000"/>
                <w:sz w:val="18"/>
              </w:rPr>
              <w:t>Document exposure changes and compare observed transitions with both models’ forecasts.</w:t>
            </w:r>
          </w:p>
        </w:tc>
      </w:tr>
    </w:tbl>
    <w:p w14:paraId="1B1E350B" w14:textId="77777777" w:rsidR="002E4C15" w:rsidRDefault="00000000">
      <w:pPr>
        <w:pStyle w:val="Heading1"/>
        <w:pageBreakBefore/>
      </w:pPr>
      <w:r>
        <w:t>References</w:t>
      </w:r>
    </w:p>
    <w:p w14:paraId="70E597C6" w14:textId="77777777" w:rsidR="002E4C15" w:rsidRDefault="00000000">
      <w:pPr>
        <w:keepLines/>
        <w:spacing w:after="80"/>
        <w:ind w:left="360" w:hanging="360"/>
      </w:pPr>
      <w:r>
        <w:rPr>
          <w:sz w:val="21"/>
        </w:rPr>
        <w:t>Backus, P., Cubel, M., Guid, M., Sánchez-Pagés, S., &amp; López Mañas, E. (2023). Gender, competition, and performance: Evidence from chess players. Quantitative Economics, 14(1), 349–380. https://doi.org/10.3982/QE1404</w:t>
      </w:r>
    </w:p>
    <w:p w14:paraId="32FC6A49" w14:textId="77777777" w:rsidR="002E4C15" w:rsidRDefault="00000000">
      <w:pPr>
        <w:keepLines/>
        <w:spacing w:after="80"/>
        <w:ind w:left="360" w:hanging="360"/>
      </w:pPr>
      <w:r>
        <w:rPr>
          <w:sz w:val="21"/>
        </w:rPr>
        <w:t>Coates, J. M., &amp; Herbert, J. (2008). Endogenous steroids and financial risk taking on a London trading floor. Proceedings of the National Academy of Sciences, 105(16), 6167–6172. https://doi.org/10.1073/pnas.0704025105</w:t>
      </w:r>
    </w:p>
    <w:p w14:paraId="188646F7" w14:textId="77777777" w:rsidR="008B7F88" w:rsidRDefault="00000000">
      <w:pPr>
        <w:keepLines/>
      </w:pPr>
      <w:r>
        <w:rPr>
          <w:sz w:val="21"/>
        </w:rPr>
        <w:t>Crust, L., &amp; Clough, P. J. (2011). Developing mental toughness: From research to practice. Journal of Sport Psychology in Action, 2(1), 21–32. https://doi.org/10.1080/21520704.2011.563436</w:t>
      </w:r>
    </w:p>
    <w:p w14:paraId="05D2AEAE" w14:textId="77777777" w:rsidR="002E4C15" w:rsidRDefault="00000000">
      <w:pPr>
        <w:keepLines/>
        <w:spacing w:after="80"/>
        <w:ind w:left="360" w:hanging="360"/>
      </w:pPr>
      <w:r>
        <w:rPr>
          <w:sz w:val="21"/>
        </w:rPr>
        <w:t>Deaner, R. O., Geary, D. C., Puts, D. A., Ham, S. A., Kruger, J., Fles, E., Winegard, B., &amp; Grandis, T. (2012). A sex difference in the predisposition for physical competition: Males play sports much more than females even in the contemporary U.S. PLOS ONE, 7(11), e49168. https://doi.org/10.1371/journal.pone.0049168</w:t>
      </w:r>
    </w:p>
    <w:p w14:paraId="7E83EC33" w14:textId="77777777" w:rsidR="002E4C15" w:rsidRDefault="00000000">
      <w:pPr>
        <w:keepLines/>
        <w:spacing w:after="80"/>
        <w:ind w:left="360" w:hanging="360"/>
      </w:pPr>
      <w:r>
        <w:rPr>
          <w:sz w:val="21"/>
        </w:rPr>
        <w:lastRenderedPageBreak/>
        <w:t>Der, G., &amp; Deary, I. J. (2006). Age and sex differences in reaction time in adulthood: Results from the United Kingdom Health and Lifestyle Survey. Psychology and Aging, 21(1), 62–73. https://doi.org/10.1037/0882-7974.21.1.62</w:t>
      </w:r>
    </w:p>
    <w:p w14:paraId="725D4067" w14:textId="77777777" w:rsidR="008B7F88" w:rsidRDefault="00000000">
      <w:pPr>
        <w:keepLines/>
      </w:pPr>
      <w:r>
        <w:rPr>
          <w:sz w:val="21"/>
        </w:rPr>
        <w:t>Duckworth, A. L., Peterson, C., Matthews, M. D., &amp; Kelly, D. R. (2007). Grit: Perseverance and passion for long-term goals. Journal of Personality and Social Psychology, 92(6), 1087–1101. https://doi.org/10.1037/0022-3514.92.6.1087</w:t>
      </w:r>
    </w:p>
    <w:p w14:paraId="7E7CA4FA" w14:textId="77777777" w:rsidR="008B7F88" w:rsidRDefault="00000000">
      <w:pPr>
        <w:keepLines/>
      </w:pPr>
      <w:r>
        <w:rPr>
          <w:sz w:val="21"/>
        </w:rPr>
        <w:t>Ericsson, K. A., Krampe, R. T., &amp; Tesch-Römer, C. (1993). The role of deliberate practice in the acquisition of expert performance. Psychological Review, 100(3), 363–406. https://doi.org/10.1037/0033-295X.100.3.363</w:t>
      </w:r>
    </w:p>
    <w:p w14:paraId="26095A10" w14:textId="77777777" w:rsidR="002E4C15" w:rsidRDefault="00000000">
      <w:pPr>
        <w:keepLines/>
        <w:spacing w:after="80"/>
        <w:ind w:left="360" w:hanging="360"/>
      </w:pPr>
      <w:r>
        <w:rPr>
          <w:sz w:val="21"/>
        </w:rPr>
        <w:t>Feng, J., Spence, I., &amp; Pratt, J. (2007). Playing an action video game reduces gender differences in spatial cognition. Psychological Science, 18(10), 850–855. https://doi.org/10.1111/j.1467-9280.2007.01990.x</w:t>
      </w:r>
    </w:p>
    <w:p w14:paraId="1D1428FD" w14:textId="77777777" w:rsidR="002E4C15" w:rsidRDefault="00000000">
      <w:pPr>
        <w:keepLines/>
        <w:spacing w:after="80"/>
        <w:ind w:left="360" w:hanging="360"/>
      </w:pPr>
      <w:r>
        <w:rPr>
          <w:sz w:val="21"/>
        </w:rPr>
        <w:t xml:space="preserve">Harwell, K. W., Boot, W. R., &amp; Ericsson, K. A. (2018). Looking behind the score: Skill structure explains sex differences in skilled video game performance. PLOS ONE, 13(5), e0197311. </w:t>
      </w:r>
      <w:hyperlink r:id="rId9">
        <w:r>
          <w:rPr>
            <w:color w:val="244968"/>
            <w:u w:val="single"/>
            <w:sz w:val="21"/>
          </w:rPr>
          <w:t>https://doi.org/10.1371/journal.pone.0197311</w:t>
        </w:r>
      </w:hyperlink>
      <w:r>
        <w:rPr>
          <w:sz w:val="21"/>
        </w:rPr>
      </w:r>
    </w:p>
    <w:p>
      <w:pPr>
        <w:keepLines/>
      </w:pPr>
      <w:r>
        <w:rPr>
          <w:sz w:val="21"/>
        </w:rPr>
        <w:t>Hirsch, P., Koch, I., &amp; Karbach, J. (2019). Putting a stereotype to the test: The case of gender differences in multitasking costs in task-switching and dual-task situations. PLOS ONE, 14(8), e0220150. https://doi.org/10.1371/journal.pone.0220150</w:t>
      </w:r>
    </w:p>
    <w:p>
      <w:pPr>
        <w:keepLines/>
        <w:spacing w:after="80"/>
        <w:ind w:left="360" w:hanging="360"/>
      </w:pPr>
      <w:pPr/>
      <w:hyperlink r:id="rId13">
        <w:r>
          <w:rPr>
            <w:color w:val="244968"/>
            <w:u w:val="single"/>
            <w:sz w:val="21"/>
          </w:rPr>
          <w:t>https://yungmulababy.substack.com/p/how-a-login-timestamp-became-proof</w:t>
        </w:r>
      </w:hyperlink>
      <w:r>
        <w:t>How a Proxy Became a Finding. (2026). yungmulaBABY. Companion construct-and-citation audit.</w:t>
      </w:r>
    </w:p>
    <w:p>
      <w:pPr>
        <w:keepLines/>
        <w:spacing w:after="80"/>
        <w:ind w:left="360" w:hanging="360"/>
      </w:pPr>
      <w:pPr/>
      <w:r>
        <w:rPr>
          <w:sz w:val="21"/>
        </w:rPr>
        <w:t xml:space="preserve">International Chess Federation. (2026, July 23). Judit Polgar turns 50: Celebrating a chess legend. </w:t>
      </w:r>
      <w:hyperlink r:id="rId19">
        <w:r>
          <w:rPr>
            <w:color w:val="244968"/>
            <w:u w:val="single"/>
            <w:sz w:val="21"/>
          </w:rPr>
          <w:t>https://www.fide.com/judit-polgar-turns-50-celebrating-a-chess-legend/</w:t>
        </w:r>
      </w:hyperlink>
      <w:r>
        <w:rPr>
          <w:sz w:val="21"/>
        </w:rPr>
      </w:r>
    </w:p>
    <w:p w14:paraId="297544EF" w14:textId="77777777" w:rsidR="002E4C15" w:rsidRDefault="00000000">
      <w:pPr>
        <w:keepLines/>
        <w:spacing w:after="80"/>
        <w:ind w:left="360" w:hanging="360"/>
      </w:pPr>
      <w:r>
        <w:rPr>
          <w:sz w:val="21"/>
        </w:rPr>
        <w:t>Jacobs, O. L., Andrinopoulos, K., Steeves, J. K. E., &amp; Kingstone, A. (2024). Sex differences persist in visuospatial mental rotation under 3D VR conditions. PLOS ONE, 19(11), e0314270. https://doi.org/10.1371/journal.pone.0314270</w:t>
      </w:r>
    </w:p>
    <w:p>
      <w:pPr>
        <w:keepLines/>
        <w:spacing w:after="80"/>
        <w:ind w:left="360" w:hanging="360"/>
      </w:pPr>
      <w:pPr/>
      <w:r>
        <w:rPr>
          <w:sz w:val="21"/>
        </w:rPr>
        <w:t xml:space="preserve">Jin, P., Zhao, Z.-Q., &amp; Zhu, X.-F. (2023). The relationship between sport types, sex and visual attention as assessed in a multiple object tracking task. Frontiers in Psychology, 14, Article 1099254. </w:t>
      </w:r>
      <w:hyperlink r:id="rId18">
        <w:r>
          <w:rPr>
            <w:color w:val="244968"/>
            <w:u w:val="single"/>
            <w:sz w:val="21"/>
          </w:rPr>
          <w:t>https://doi.org/10.3389/fpsyg.2023.1099254</w:t>
        </w:r>
      </w:hyperlink>
      <w:r>
        <w:rPr>
          <w:sz w:val="21"/>
        </w:rPr>
      </w:r>
    </w:p>
    <w:p w14:paraId="0BC533E7" w14:textId="77777777" w:rsidR="002E4C15" w:rsidRDefault="00000000">
      <w:pPr>
        <w:keepLines/>
        <w:spacing w:after="80"/>
        <w:ind w:left="360" w:hanging="360"/>
      </w:pPr>
      <w:r>
        <w:rPr>
          <w:sz w:val="21"/>
        </w:rPr>
        <w:t>Li, A., Glickman, M. E., &amp; Chabris, C. F. (2025). Across the board: Sex, ratings, and retention in competitive chess. CHANCE, 38(3), 11–19. https://doi.org/10.1080/09332480.2025.2560279</w:t>
      </w:r>
    </w:p>
    <w:p w14:paraId="0ED20AE0" w14:textId="77777777" w:rsidR="008B7F88" w:rsidRDefault="00000000">
      <w:pPr>
        <w:keepLines/>
      </w:pPr>
      <w:r>
        <w:rPr>
          <w:sz w:val="21"/>
        </w:rPr>
        <w:t>Macnamara, B. N., Moreau, D., &amp; Hambrick, D. Z. (2016). The relationship between deliberate practice and performance in sports: A meta-analysis. Perspectives on Psychological Science, 11(3), 333–350. https://doi.org/10.1177/1745691616635591</w:t>
      </w:r>
    </w:p>
    <w:p>
      <w:pPr>
        <w:keepLines/>
        <w:spacing w:after="80"/>
        <w:ind w:left="360" w:hanging="360"/>
      </w:pPr>
      <w:pPr/>
      <w:r>
        <w:rPr>
          <w:sz w:val="21"/>
        </w:rPr>
        <w:t>Mäntylä, T. (2013). Gender differences in multitasking reflect spatial ability. Psychological Science, 24(4), 514–520. https://doi.org/10.1177/0956797612459660</w:t>
      </w:r>
    </w:p>
    <w:p w14:paraId="2764D7DF" w14:textId="77777777" w:rsidR="002E4C15" w:rsidRDefault="00000000">
      <w:pPr>
        <w:keepLines/>
        <w:spacing w:after="80"/>
        <w:ind w:left="360" w:hanging="360"/>
      </w:pPr>
      <w:r>
        <w:rPr>
          <w:sz w:val="21"/>
        </w:rPr>
        <w:t xml:space="preserve">Mathew, J., Masson, G. S., &amp; Danion, F. R. (2020). Sex differences in visuomotor tracking. Scientific Reports, 10, Article 11863. </w:t>
      </w:r>
      <w:hyperlink r:id="rId17">
        <w:r>
          <w:rPr>
            <w:color w:val="244968"/>
            <w:u w:val="single"/>
            <w:sz w:val="21"/>
          </w:rPr>
          <w:t>https://doi.org/10.1038/s41598-020-68069-0</w:t>
        </w:r>
      </w:hyperlink>
      <w:r>
        <w:rPr>
          <w:sz w:val="21"/>
        </w:rPr>
      </w:r>
    </w:p>
    <w:p w14:paraId="237CA22A" w14:textId="77777777" w:rsidR="002E4C15" w:rsidRDefault="00000000">
      <w:pPr>
        <w:keepLines/>
        <w:spacing w:after="80"/>
        <w:ind w:left="360" w:hanging="360"/>
      </w:pPr>
      <w:r>
        <w:rPr>
          <w:sz w:val="21"/>
        </w:rPr>
        <w:t>Shen, C., Ratan, R., Cai, Y. D., &amp; Leavitt, A. (2016). Do men advance faster than women? Debunking the gender performance gap in two massively multiplayer online games. Journal of Computer-Mediated Communication, 21(4), 312–329. https://doi.org/10.1111/jcc4.12159</w:t>
      </w:r>
    </w:p>
    <w:p w14:paraId="7F65F906" w14:textId="77777777" w:rsidR="002E4C15" w:rsidRDefault="00000000">
      <w:pPr>
        <w:keepLines/>
        <w:spacing w:after="80"/>
        <w:ind w:left="360" w:hanging="360"/>
      </w:pPr>
      <w:r>
        <w:rPr>
          <w:sz w:val="21"/>
        </w:rPr>
        <w:t xml:space="preserve">Silverman, I. W. (2006). Sex differences in simple visual reaction time: A historical meta-analysis. Sex Roles, 54(1–2), 57–68. </w:t>
      </w:r>
      <w:hyperlink r:id="rId20">
        <w:r>
          <w:rPr>
            <w:color w:val="244968"/>
            <w:u w:val="single"/>
            <w:sz w:val="21"/>
          </w:rPr>
          <w:t>https://doi.org/10.1007/s11199-006-8869-6</w:t>
        </w:r>
      </w:hyperlink>
      <w:r>
        <w:rPr>
          <w:sz w:val="21"/>
        </w:rPr>
      </w:r>
    </w:p>
    <w:p w14:paraId="060F5E3C" w14:textId="77777777" w:rsidR="002E4C15" w:rsidRDefault="00000000">
      <w:pPr>
        <w:keepLines/>
        <w:spacing w:after="80"/>
        <w:ind w:left="360" w:hanging="360"/>
      </w:pPr>
      <w:r>
        <w:rPr>
          <w:sz w:val="21"/>
        </w:rPr>
        <w:t>Su, R., Rounds, J., &amp; Armstrong, P. I. (2009). Men and things, women and people: A meta-analysis of sex differences in interests. Psychological Bulletin, 135(6), 859–884. https://doi.org/10.1037/a0017364</w:t>
      </w:r>
    </w:p>
    <w:p>
      <w:pPr>
        <w:keepLines/>
        <w:spacing w:after="80"/>
        <w:ind w:left="360" w:hanging="360"/>
      </w:pPr>
      <w:pPr/>
      <w:r>
        <w:rPr>
          <w:sz w:val="21"/>
        </w:rPr>
        <w:t>Tata Steel Chess. (n.d.). Corustoernooi 2003: Standings grandmaster group A. Tournament archive. https://history.tatasteelchess.com/archive/tournament?group=1&amp;id=66&amp;type=standings</w:t>
      </w:r>
    </w:p>
    <w:p w14:paraId="64EF3E88" w14:textId="77777777" w:rsidR="002E4C15" w:rsidRDefault="00000000">
      <w:pPr>
        <w:keepLines/>
        <w:spacing w:after="80"/>
        <w:ind w:left="360" w:hanging="360"/>
      </w:pPr>
      <w:r>
        <w:rPr>
          <w:sz w:val="21"/>
        </w:rPr>
        <w:lastRenderedPageBreak/>
        <w:t>Trick, L. M., Jaspers-Fayer, F., &amp; Sethi, N. (2005). Multiple-object tracking in children: The “Catch the Spies” task. Cognitive Development, 20(3), 373–387. https://doi.org/10.1016/j.cogdev.2005.05.009</w:t>
      </w:r>
    </w:p>
    <w:p w14:paraId="493EE61C" w14:textId="77777777" w:rsidR="002E4C15" w:rsidRDefault="00000000">
      <w:pPr>
        <w:keepLines/>
        <w:spacing w:after="80"/>
        <w:ind w:left="360" w:hanging="360"/>
      </w:pPr>
      <w:r>
        <w:rPr>
          <w:sz w:val="21"/>
        </w:rPr>
        <w:t>Voyer, D., Voyer, S., &amp; Bryden, M. P. (1995). Magnitude of sex differences in spatial abilities: A meta-analysis and consideration of critical variables. Psychological Bulletin, 117(2), 250–270. https://doi.org/10.1037/0033-2909.117.2.250</w:t>
      </w:r>
    </w:p>
    <w:sectPr w:rsidR="002E4C15" w:rsidSect="00034616">
      <w:type w:val="continuous"/>
      <w:pgSz w:w="12240" w:h="15840"/>
      <w:pgMar w:top="1080" w:right="1080" w:bottom="1080" w:left="108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ew" w:initials="ER" w:date="2026-09-29T00:12:51Z">
    <w:p>
      <w:pPr>
        <w:pStyle w:val="CommentText"/>
      </w:pPr>
      <w:r>
        <w:rPr>
          <w:rStyle w:val="CommentReference"/>
        </w:rPr>
        <w:annotationRef/>
      </w:r>
      <w:r>
        <w:t>Added the requested cross-reference. The August 13 comparison memo narrows the Shen critique: guild structure was partly modeled, assistance differences were not established, and no network-wide closure verdict is warranted. Paper 1’s model and figures are otherwise preserved.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2700722">
    <w:abstractNumId w:val="8"/>
  </w:num>
  <w:num w:numId="2" w16cid:durableId="203561505">
    <w:abstractNumId w:val="6"/>
  </w:num>
  <w:num w:numId="3" w16cid:durableId="2102211507">
    <w:abstractNumId w:val="5"/>
  </w:num>
  <w:num w:numId="4" w16cid:durableId="1004940981">
    <w:abstractNumId w:val="4"/>
  </w:num>
  <w:num w:numId="5" w16cid:durableId="1691176719">
    <w:abstractNumId w:val="7"/>
  </w:num>
  <w:num w:numId="6" w16cid:durableId="1513765547">
    <w:abstractNumId w:val="3"/>
  </w:num>
  <w:num w:numId="7" w16cid:durableId="1578707323">
    <w:abstractNumId w:val="2"/>
  </w:num>
  <w:num w:numId="8" w16cid:durableId="1405103002">
    <w:abstractNumId w:val="1"/>
  </w:num>
  <w:num w:numId="9" w16cid:durableId="1193568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4D4"/>
    <w:rsid w:val="0029639D"/>
    <w:rsid w:val="002E4C15"/>
    <w:rsid w:val="00326F90"/>
    <w:rsid w:val="00400FDC"/>
    <w:rsid w:val="006A2998"/>
    <w:rsid w:val="007076BD"/>
    <w:rsid w:val="00852FC5"/>
    <w:rsid w:val="008B7F88"/>
    <w:rsid w:val="00A04A9B"/>
    <w:rsid w:val="00AA1D8D"/>
    <w:rsid w:val="00B47730"/>
    <w:rsid w:val="00CB0664"/>
    <w:rsid w:val="00E354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3CC4B1"/>
  <w14:defaultImageDpi w14:val="300"/>
  <w15:docId w15:val="{66BC0C0E-4A86-4A41-8E83-D4091A01F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ptos"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0505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206183">
      <w:bodyDiv w:val="1"/>
      <w:marLeft w:val="0"/>
      <w:marRight w:val="0"/>
      <w:marTop w:val="0"/>
      <w:marBottom w:val="0"/>
      <w:divBdr>
        <w:top w:val="none" w:sz="0" w:space="0" w:color="auto"/>
        <w:left w:val="none" w:sz="0" w:space="0" w:color="auto"/>
        <w:bottom w:val="none" w:sz="0" w:space="0" w:color="auto"/>
        <w:right w:val="none" w:sz="0" w:space="0" w:color="auto"/>
      </w:divBdr>
    </w:div>
    <w:div w:id="6508689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13" Type="http://schemas.openxmlformats.org/officeDocument/2006/relationships/hyperlink" Target="https://yungmulababy.substack.com/p/how-a-login-timestamp-became-proof" TargetMode="External"/><Relationship Id="rId14" Type="http://schemas.openxmlformats.org/officeDocument/2006/relationships/comments" Target="comments.xml"/><Relationship Id="rId15" Type="http://schemas.openxmlformats.org/officeDocument/2006/relationships/image" Target="media/image6.png"/><Relationship Id="rId16" Type="http://schemas.openxmlformats.org/officeDocument/2006/relationships/image" Target="media/image7.png"/><Relationship Id="rId9" Type="http://schemas.openxmlformats.org/officeDocument/2006/relationships/hyperlink" Target="https://doi.org/10.1371/journal.pone.0197311" TargetMode="External"/><Relationship Id="rId17" Type="http://schemas.openxmlformats.org/officeDocument/2006/relationships/hyperlink" Target="https://doi.org/10.1038/s41598-020-68069-0" TargetMode="External"/><Relationship Id="rId18" Type="http://schemas.openxmlformats.org/officeDocument/2006/relationships/hyperlink" Target="https://doi.org/10.3389/fpsyg.2023.1099254" TargetMode="External"/><Relationship Id="rId19" Type="http://schemas.openxmlformats.org/officeDocument/2006/relationships/hyperlink" Target="https://www.fide.com/judit-polgar-turns-50-celebrating-a-chess-legend/" TargetMode="External"/><Relationship Id="rId20" Type="http://schemas.openxmlformats.org/officeDocument/2006/relationships/hyperlink" Target="https://doi.org/10.1007/s11199-006-886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25</Pages>
  <Words>11061</Words>
  <Characters>63050</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 Pielemeier</cp:lastModifiedBy>
  <cp:revision>8</cp:revision>
  <dcterms:created xsi:type="dcterms:W3CDTF">2013-12-23T23:15:00Z</dcterms:created>
  <dcterms:modified xsi:type="dcterms:W3CDTF">2026-05-13T08:19:00Z</dcterms:modified>
  <cp:category/>
</cp:coreProperties>
</file>