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5A8B" w14:textId="77777777" w:rsidR="00384025" w:rsidRPr="00384025" w:rsidRDefault="00384025" w:rsidP="00384025">
      <w:pPr>
        <w:pStyle w:val="Title"/>
        <w:jc w:val="center"/>
        <w:rPr>
          <w:b/>
          <w:bCs/>
        </w:rPr>
      </w:pPr>
      <w:r>
        <w:rPr>
          <w:rFonts w:ascii="Calibri" w:hAnsi="Calibri"/>
          <w:b/>
          <w:color w:val="000000"/>
          <w:sz w:val="40"/>
        </w:rPr>
        <w:t>Biological Sex Differences and Elite Competitive Gaming: A Response to the Cultural Literature</w:t>
      </w:r>
    </w:p>
    <w:p>
      <w:pPr>
        <w:jc w:val="center"/>
        <w:spacing w:after="360"/>
      </w:pPr>
      <w:r>
        <w:rPr>
          <w:rFonts w:ascii="Arial" w:hAnsi="Arial"/>
          <w:b w:val="0"/>
          <w:color w:val="000000"/>
          <w:sz w:val="28"/>
        </w:rPr>
        <w:t>A methodological critique of cultural explanations, citation-network assumptions, and elite-tail performance claims</w:t>
      </w:r>
    </w:p>
    <w:p w14:paraId="13A2A0C9" w14:textId="77777777" w:rsidR="00384025" w:rsidRPr="00384025" w:rsidRDefault="00384025" w:rsidP="00384025">
      <w:r>
        <w:t>Author’s Note: This piece is a follow-up to “Biological Sex Differences and Elite Competitive Gaming Performance.” That companion paper develops the positive multi-trait biological-plus-funnel model. The present paper examines influential cultural studies and reviews, distinguishes their participation findings from their elite-performance claims, and identifies the evidence needed to compare explanations. The paper was developed through collaboration between the author and AI systems used for literature synthesis, revision, visual support, and adversarial review; the arguments and conclusions remain the author’s.</w:t>
      </w:r>
    </w:p>
    <w:p w14:paraId="3369D89D" w14:textId="77777777" w:rsidR="00384025" w:rsidRPr="00384025" w:rsidRDefault="00384025" w:rsidP="00384025">
      <w:pPr>
        <w:pStyle w:val="Heading1"/>
      </w:pPr>
      <w:r>
        <w:rPr>
          <w:rFonts w:ascii="Calibri" w:hAnsi="Calibri" w:eastAsia="Calibri"/>
          <w:b/>
          <w:color w:val="000000"/>
          <w:sz w:val="28"/>
        </w:rPr>
        <w:t>I. Introduction</w:t>
      </w:r>
    </w:p>
    <w:p>
      <w:pPr/>
      <w:r>
        <w:t>Research on esports culture has established something important: harassment, identity dynamics, male-coded spaces, and participation barriers are real features of the competitive environment. The harder question is what those findings can explain. Evidence about participation or another gaming task does not automatically identify the causes of sustained elite performance. Rogstad's use of Shen's MMO advancement study is the clearest case: the citation is real, but the measurement does not reach the broader performance claim.</w:t>
      </w:r>
    </w:p>
    <w:p>
      <w:pPr/>
      <w:r>
        <w:t>Paper 1 advances the positive alternative: psychomotor substrate, training conversion, gamesense and repeated funnel selection should add held-out predictive value beyond specified exposure-and-opportunity accounts. Its tests ask whether pre-measured traits predict later advancement, whether concurrent load produces registered interactions, whether training trajectories converge within practical margins, and whether calibrated stage transitions forecast the later elite tail. This paper asks the complementary question: do the cultural studies used to settle that question actually measure the constructs their broader claims require?</w:t>
      </w:r>
    </w:p>
    <w:p>
      <w:pPr/>
      <w:r>
        <w:t>The transport standard is symmetric. Paper 1 subjects its own adjacent evidence - reaction time, mental rotation, visuomotor tracking and related tasks - to the same restriction: a laboratory or neighboring-game result is not the elite-esports endpoint. A proxy can inform either model without becoming the endpoint for either one.</w:t>
      </w:r>
    </w:p>
    <w:p>
      <w:pPr/>
      <w:pPr/>
      <w:r>
        <w:t>Here, sustained Tier-1 means repeatedly performing as a competitive peer of the strongest opposition in a declared game, role and competitive field across at least two consecutive full seasons. The defining evidence is recurring success against top opposition, including repeated wins in individual competition and strong opponent-adjusted contribution in team games. A roster slot, peak ladder rank or isolated upset is insufficient. Roughly top five to eight in a role, top three North American LoL mid laners, or top thirty global CS riflers remain illustrative standing benchmarks; they do not substitute for the performance criterion or represent interchangeable percentiles.</w:t>
      </w:r>
    </w:p>
    <w:p>
      <w:pPr/>
      <w:r>
        <w:t>Before counting cases, specify the opponent group using contemporaneous strength, the regional or global field, the time window, minimum encounters and a success-rate benchmark. Report wins per opportunity alongside overall score, opponent quality and repeated event performance. Team results must be accompanied by role-appropriate individual output; support and flex count equally. This distinguishes sustained competitive standing from occasional upsets without requiring an undefeated record or world No. 1 status.</w:t>
      </w:r>
    </w:p>
    <w:p w14:paraId="6A3AC312" w14:textId="77777777" w:rsidR="00384025" w:rsidRPr="00384025" w:rsidRDefault="00384025" w:rsidP="00384025">
      <w:pPr>
        <w:pStyle w:val="Heading1"/>
      </w:pPr>
      <w:r>
        <w:rPr>
          <w:rFonts w:ascii="Calibri" w:hAnsi="Calibri" w:eastAsia="Calibri"/>
          <w:b/>
          <w:color w:val="000000"/>
          <w:sz w:val="28"/>
        </w:rPr>
        <w:t>II. What the Cultural Literature Gets Right</w:t>
      </w:r>
    </w:p>
    <w:p>
      <w:pPr/>
      <w:r>
        <w:t>Rogstad (2022, first published online 2021) documents gendered esports culture, including harassment, masculine identity, and women's responses to gendered expectations. Those findings matter. But a valid finding can still be evidence for the wrong question. The performance issue is separate: does the evidence identify why the professional tail has its observed composition, or has a result from another task or population been asked to carry a broader conclusion?</w:t>
      </w:r>
    </w:p>
    <w:p>
      <w:pPr/>
      <w:r>
        <w:t>Participation counts also require the right denominator. Aggregate gaming, genre participation and committed competition describe different populations. Section III-A separates these stages before considering explanations for the final distribution.</w:t>
      </w:r>
    </w:p>
    <w:p>
      <w:pPr/>
      <w:r>
        <w:t>Kordyaka et al. (2023) reported higher self-reported achievement motivation among women in their League of Legends sample, while their qualitative analysis identified in-game culture and individual attributions as relevant to participation. The motivation result concerns players who had already entered the game. Its relationship to population entry rates and later competitive output is examined in Section III-C.</w:t>
      </w:r>
    </w:p>
    <w:p>
      <w:pPr/>
      <w:r>
        <w:t>Ruvalcaba et al. (2018) documents gendered peer and spectator feedback, including sexual harassment. These findings concern meaningful features of players’ experiences. Criticism, positive feedback and sexual harassment should be distinguished rather than compressed into a uniform disadvantage on every feedback measure, and the study does not estimate their causal contribution to elite representation.</w:t>
      </w:r>
    </w:p>
    <w:p w14:paraId="5E8CECD5" w14:textId="77777777" w:rsidR="00384025" w:rsidRPr="00384025" w:rsidRDefault="00384025" w:rsidP="00384025">
      <w:pPr>
        <w:pStyle w:val="Heading1"/>
      </w:pPr>
      <w:r>
        <w:rPr>
          <w:rFonts w:ascii="Calibri" w:hAnsi="Calibri" w:eastAsia="Calibri"/>
          <w:b/>
          <w:color w:val="000000"/>
          <w:sz w:val="28"/>
        </w:rPr>
        <w:t>III. The Level-of-Analysis Problem</w:t>
      </w:r>
    </w:p>
    <w:p w14:paraId="5F6698F8" w14:textId="77777777" w:rsidR="00384025" w:rsidRPr="00384025" w:rsidRDefault="00384025" w:rsidP="00384025">
      <w:r>
        <w:t>A study can be perfectly valid and still answer the wrong question. The level-of-analysis problem appears when evidence about one population, task, or outcome is used to settle another. The studies examined here measure participation, cultural experience, MMO progression, and novice training. Their value within those domains does not establish the composition or causes of the trained elite tail. The same restriction applies to laboratory evidence used for the biological-plus-funnel model.</w:t>
      </w:r>
    </w:p>
    <w:p w14:paraId="7E074A04" w14:textId="77777777" w:rsidR="00384025" w:rsidRPr="00384025" w:rsidRDefault="00384025" w:rsidP="00384025">
      <w:pPr>
        <w:pStyle w:val="Heading2"/>
      </w:pPr>
      <w:r>
        <w:t>A. Participation Denominators</w:t>
      </w:r>
    </w:p>
    <w:p>
      <w:pPr/>
      <w:r>
        <w:t>The denominator can change the size of the mystery. It cannot tell you what caused it. An explanation of elite representation needs a population that could plausibly reach that level; using all gamers obscures selection into specific genres, ranked play, and sustained training. Correcting the denominator changes the quantity to be explained, not the causal answer.</w:t>
      </w:r>
    </w:p>
    <w:p>
      <w:pPr/>
      <w:r>
        <w:t>Casual participation, committed ranked play, organized competition and sustained elite output require different denominators. Their relationship should be measured through conditional transitions in a common cohort. A widening representation gap may reflect entry, practice, retention, selection or several mechanisms together. The widest participation figure cannot identify what causes the final distribution.</w:t>
      </w:r>
    </w:p>
    <w:p>
      <w:pPr/>
      <w:r>
        <w:t>Aggregate gaming participation is an inadequate denominator for professional representation unless genre, region, age, competitive intent and exposure are aligned. Rogstad's introduction, for example, juxtaposes historical industry estimates of women comprising 35% of esports players and 5% of professionals, attributed to Interpret (2019) and Hilbert (2019). As a descriptive anchor, that contrast is legitimate: it identifies a representation gap worth explaining. It becomes inferentially stronger only when it is treated as presumptive evidence for a particular cause. The two figures are not the roughly 46% all-gaming statistic, and the ratio itself cannot distinguish exclusion, entry, practice, retention or performance-based selection.</w:t>
      </w:r>
    </w:p>
    <w:p>
      <w:pPr>
        <w:keepNext/>
        <w:spacing w:after="80"/>
        <w:jc w:val="center"/>
      </w:pPr>
      <w:r>
        <w:drawing>
          <wp:inline xmlns:a="http://schemas.openxmlformats.org/drawingml/2006/main" xmlns:pic="http://schemas.openxmlformats.org/drawingml/2006/picture">
            <wp:extent cx="5852160" cy="3628339"/>
            <wp:docPr id="8" name="Picture 8"/>
            <wp:cNvGraphicFramePr>
              <a:graphicFrameLocks noChangeAspect="1"/>
            </wp:cNvGraphicFramePr>
            <a:graphic>
              <a:graphicData uri="http://schemas.openxmlformats.org/drawingml/2006/picture">
                <pic:pic>
                  <pic:nvPicPr>
                    <pic:cNvPr id="0" name="competitive_funnel.png"/>
                    <pic:cNvPicPr/>
                  </pic:nvPicPr>
                  <pic:blipFill>
                    <a:blip r:embed="rId26"/>
                    <a:stretch>
                      <a:fillRect/>
                    </a:stretch>
                  </pic:blipFill>
                  <pic:spPr>
                    <a:xfrm>
                      <a:off x="0" y="0"/>
                      <a:ext cx="5852160" cy="3628339"/>
                    </a:xfrm>
                    <a:prstGeom prst="rect"/>
                  </pic:spPr>
                </pic:pic>
              </a:graphicData>
            </a:graphic>
          </wp:inline>
        </w:drawing>
      </w:r>
    </w:p>
    <w:p>
      <w:pPr>
        <w:spacing w:after="200"/>
        <w:jc w:val="center"/>
      </w:pPr>
      <w:r>
        <w:rPr>
          <w:i/>
          <w:sz w:val="18"/>
        </w:rPr>
        <w:t>Figure 1. The competitive funnel as a measurement framework. Widths are schematic. The final stage uses the repeated-performance criterion defined in Section I. Sex-specific stage counts require aligned title, region, cohort and commitment measures.</w:t>
      </w:r>
    </w:p>
    <w:p w14:paraId="63609599" w14:textId="77777777" w:rsidR="00384025" w:rsidRPr="00384025" w:rsidRDefault="00384025" w:rsidP="00384025">
      <w:pPr>
        <w:pStyle w:val="Heading2"/>
      </w:pPr>
      <w:r>
        <w:rPr>
          <w:rFonts w:ascii="Calibri" w:hAnsi="Calibri" w:eastAsia="Calibri"/>
          <w:b/>
          <w:color w:val="000000"/>
          <w:sz w:val="24"/>
        </w:rPr>
        <w:t>B. Valorant and Overwatch as High-Participation Test Cases</w:t>
      </w:r>
    </w:p>
    <w:p w14:paraId="0B57ED85" w14:textId="77777777" w:rsidR="00384025" w:rsidRPr="00384025" w:rsidRDefault="00384025" w:rsidP="00384025">
      <w:r>
        <w:t>Valorant is an informative test case because Game Changers provides a visible development pathway. The relevant outcome is recurring success against the strongest declared open opposition, with role-appropriate individual output and a sustained event record. Unverified estimates near 30% female participation cannot serve as the denominator for forecasting that outcome. Restricted-circuit success should be tracked as a development stage, then linked to open results.</w:t>
      </w:r>
    </w:p>
    <w:p w14:paraId="473FC01D" w14:textId="77777777" w:rsidR="00384025" w:rsidRPr="00384025" w:rsidRDefault="00384025" w:rsidP="00384025">
      <w:r>
        <w:t>Overwatch is another useful case for distinguishing access to a professional league from sustained standing among the best performers in a role. Its historical female participation estimates motivate inquiry but do not establish the number of comparably committed entrants. The same role-relative benchmark must be used for support, flex and mechanically conspicuous roles; a successful woman cannot be excluded simply because her contribution is less visible in an aim statistic.</w:t>
      </w:r>
    </w:p>
    <w:p w14:paraId="73B9E63C" w14:textId="77777777" w:rsidR="00384025" w:rsidRPr="00384025" w:rsidRDefault="00384025" w:rsidP="00384025">
      <w:pPr>
        <w:pStyle w:val="Heading2"/>
      </w:pPr>
      <w:r>
        <w:t>C. Participation, Motivation, and Performance Measures</w:t>
      </w:r>
    </w:p>
    <w:p w14:paraId="3DC27380" w14:textId="77777777" w:rsidR="00384025" w:rsidRPr="00384025" w:rsidRDefault="00384025" w:rsidP="00384025">
      <w:r>
        <w:t>Selection can make apparently conflicting findings coexist. Kordyaka's motivation result and Deaner's participation result can both be true: one concerns motivation among people already playing a particular game, while the other concerns how often people enter physical competition. A smaller participating group can still be highly motivated once selected into the activity. That is a funnel fact, not yet an explanation of why the selection occurred.</w:t>
      </w:r>
    </w:p>
    <w:p w14:paraId="67D5B7F6" w14:textId="77777777" w:rsidR="00384025" w:rsidRPr="00384025" w:rsidRDefault="00384025" w:rsidP="00384025">
      <w:r>
        <w:t>Deaner et al. (2012) examined physical sports participation using time-use reports, park observations and intramural registrations. In their American Time Use Survey analysis of 112,000 respondents, women accounted for 51% of exercise participations, 24% of sports participations and 20% of team-sport participations. The other datasets also showed lower female sports participation, with different percentages. These are behavioral participation measures, rather than estimates of motivation conditional on playing League of Legends.</w:t>
      </w:r>
    </w:p>
    <w:p w14:paraId="0CFF36A1" w14:textId="77777777" w:rsidR="00384025" w:rsidRPr="00384025" w:rsidRDefault="00384025" w:rsidP="00384025">
      <w:r>
        <w:t>For the esports model, the useful distinction is between entry, motivation after entry, practice and competitive output. Higher achievement motivation among selected female players does not establish equal entry rates or performance distributions. Lower female sports participation does not refute those players’ reported motivation or establish an esports ceiling. Measuring the links between these stages would test the proposed interest-and-selection mechanism.</w:t>
      </w:r>
    </w:p>
    <w:p w14:paraId="35DF854C" w14:textId="77777777" w:rsidR="00384025" w:rsidRPr="00384025" w:rsidRDefault="00384025" w:rsidP="00384025">
      <w:r>
        <w:t>Shen et al. (2016) and Harwell et al. (2018) illustrate different limits on generalization. Shen has behavior recorded in real MMO environments but a progression outcome that does not isolate elite competitive execution. Harwell uses a more controlled training task but does not observe the long development or selection history of professional players. Neither limitation makes the study worthless within its own domain.</w:t>
      </w:r>
    </w:p>
    <w:p w14:paraId="5B098109" w14:textId="77777777" w:rsidR="00384025" w:rsidRPr="00384025" w:rsidRDefault="00384025" w:rsidP="00384025">
      <w:pPr/>
      <w:r>
        <w:t>Shen et al. measured real advancement, but advancement is not the same construct as independent elite execution. Their two games also used different advancement measures. The EverQuest II analysis modeled attained character and tradeskill levels conditional on accumulated playtime; its September 2006 active-player window selected the sample rather than defining all playtime measured. Chevaliers' Romance III reconstructed advancement intervals from login, logout, and level events. Collapsing both into a single creation-to-level timestamp story is inaccurate. The shared limitation is narrower: neither outcome directly measures individual mechanics, adversarial decisions, or the professional performance tail (Shen et al., 2016, Study I and Study II).</w:t>
      </w:r>
    </w:p>
    <w:p>
      <w:pPr/>
      <w:r>
        <w:t>The social-control criticism also has to stay attached to what the models actually did. Shen's EQ2 models separated guilded and nonguilded characters and used random effects for character class, account, and, where applicable, guild. The paper discussed collaborative play and cited earlier network research. So the defensible criticism is not that social structure was ignored. It is that those controls do not recover event-level help - who supplied damage, mentoring bonuses, equipment, or other assistance behind a character's progression. Guild adjustment cannot turn a shared progression outcome into a direct measure of isolated execution.</w:t>
      </w:r>
    </w:p>
    <w:p>
      <w:pPr/>
      <w:r>
        <w:t>Possible confounds are not findings. Mentoring, group assistance, discretionary activity, and idle time can make logged progression diverge from independent skill, but this audit did not establish their prevalence or a sex difference in their use. It therefore cannot turn the possibility of assistance into a claim that women were carried. Likewise, excluding capped characters narrows the analyzed progression range; it does not prove that the highest mechanical performers were removed. The criticism is about what the outcome can identify, not an unmeasured story about why a group advanced.</w:t>
      </w:r>
    </w:p>
    <w:p>
      <w:pPr/>
      <w:commentRangeStart w:id="2"/>
      <w:r>
        <w:t>There is also a source-level statistical problem. Shen’s EQ2 results report a significant playtime-by-sex interaction for nonguilded character level, and the CR3 results report a significant level-by-sex interaction with a changing contrast across levels (Tables 3 and 5). Those results require model-specific interpretation. They do not support a blanket statement of no significant disparity, and the nonsignificant coefficients elsewhere were not tests of practical equivalence. Nothing in these analyses estimates the sex composition of an elite competitive tail.</w:t>
      </w:r>
      <w:commentRangeEnd w:id="2"/>
      <w:r>
        <w:rPr>
          <w:rStyle w:val="CommentReference"/>
        </w:rPr>
        <w:commentReference w:id="2"/>
      </w:r>
    </w:p>
    <w:p>
      <w:r>
        <w:t>The full corrected construct-and-citation audit appears in How a Proxy Became a Finding (2026). The points relevant here are narrower: advancement is a meaningful MMO outcome, social structure was partly modeled, event-level assistance was not recovered, and the statistical results were heterogeneous. The publication year or historical game ecology does not invalidate that evidence; it limits transport to different tasks and populations. The later Shen-to-Rogstad expansion can therefore be audited without claiming that every downstream citation was inflated or that the entire literature is closed.</w:t>
      </w:r>
    </w:p>
    <w:p w14:paraId="16A81A9A" w14:textId="77777777" w:rsidR="00384025" w:rsidRPr="00384025" w:rsidRDefault="00384025" w:rsidP="00384025">
      <w:r>
        <w:t>Harwell, Boot and Ericsson (2018) studied 50 young adults, including 31 women, with limited prior gaming experience through thirty hours of Space Fortress training. Men retained an unadjusted advantage in the ship-control score, although the gap narrowed. But the second result matters just as much: after accounting for thrust and clockwise/counterclockwise rotation behaviors, sex added less than .001 of explained variance in the final session (p &gt; .250). The control behaviors explained the residual score difference in that model.</w:t>
      </w:r>
    </w:p>
    <w:p>
      <w:pPr/>
      <w:r>
        <w:t>Adjustment for those behaviors is not a randomized demonstration that training erased every underlying difference: the behaviors are part of the performance pathway. It is nevertheless evidence about how learned control behavior relates to score and belongs in a training-conversion account. Thirty hours of novice training does not identify a professional ceiling, but reporting only the unadjusted residual would misrepresent the paper.</w:t>
      </w:r>
    </w:p>
    <w:p w14:paraId="1313C78E" w14:textId="77777777" w:rsidR="00384025" w:rsidRPr="00384025" w:rsidRDefault="00384025" w:rsidP="00384025">
      <w:pPr>
        <w:pStyle w:val="Heading2"/>
      </w:pPr>
      <w:r>
        <w:rPr>
          <w:rFonts w:ascii="Calibri" w:hAnsi="Calibri" w:eastAsia="Calibri"/>
          <w:b/>
          <w:color w:val="000000"/>
          <w:sz w:val="24"/>
        </w:rPr>
        <w:t>D. Self-Selection, Vocational Interests, and Upstream Filtering</w:t>
      </w:r>
    </w:p>
    <w:p w14:paraId="78DB4888" w14:textId="77777777" w:rsidR="00384025" w:rsidRPr="00384025" w:rsidRDefault="00384025" w:rsidP="00384025">
      <w:r>
        <w:t>Su, Rounds and Armstrong (2009) analyzed 503,188 respondents across 47 vocational-interest inventories and reported a large Things–People difference, d = 0.93, with men on average more things-oriented. That is relevant to a hypothesis about self-selection into system-focused competitive activities. It is an interest result, not a measure of esports skill, an estimate of the trained performance ceiling, or proof that the difference is innate.</w:t>
      </w:r>
    </w:p>
    <w:p w14:paraId="0F7A8138" w14:textId="77777777" w:rsidR="00384025" w:rsidRPr="00384025" w:rsidRDefault="00384025" w:rsidP="00384025">
      <w:r>
        <w:t>Competitive esports can reward sustained interest in mechanics, systems, spatial manipulation and ranked competition. The model therefore treats interest as an upstream filter that can change the committed-player pool. The size of that effect in esports must be measured; the vocational-interest result does not establish that selection occurs before all socialization, harassment or institutional influence.</w:t>
      </w:r>
    </w:p>
    <w:p w14:paraId="69BC05E7" w14:textId="77777777" w:rsidR="00384025" w:rsidRPr="00384025" w:rsidRDefault="00384025" w:rsidP="00384025">
      <w:pPr>
        <w:pStyle w:val="Heading1"/>
      </w:pPr>
      <w:r>
        <w:t>IV. Three Arguments and the Missing Causal Link</w:t>
      </w:r>
    </w:p>
    <w:p w14:paraId="6D3B5079" w14:textId="77777777" w:rsidR="00384025" w:rsidRPr="00384025" w:rsidRDefault="00384025" w:rsidP="00384025">
      <w:pPr>
        <w:pStyle w:val="Heading2"/>
      </w:pPr>
      <w:r>
        <w:rPr>
          <w:rFonts w:ascii="Calibri" w:hAnsi="Calibri" w:eastAsia="Calibri"/>
          <w:b/>
          <w:color w:val="000000"/>
          <w:sz w:val="24"/>
        </w:rPr>
        <w:t>A. Argument 1: Harassment and Hostile Culture Cause the Gender Gap</w:t>
      </w:r>
    </w:p>
    <w:p w14:paraId="178B1ED5" w14:textId="77777777" w:rsidR="00384025" w:rsidRPr="00384025" w:rsidRDefault="00384025" w:rsidP="00384025">
      <w:r>
        <w:t>What it establishes: harassment and gendered social dynamics are real. Ruvalcaba et al. (2018) and Ratan et al. (2015) document experiences that can affect participation and development. What they do not provide is a matched causal estimate of the professional performance gap.</w:t>
      </w:r>
    </w:p>
    <w:p w14:paraId="4F2A8202" w14:textId="77777777" w:rsidR="00384025" w:rsidRPr="00384025" w:rsidRDefault="00384025" w:rsidP="00384025">
      <w:r>
        <w:t>Elite-level extension to test: harassment explains most of the underrepresentation among sustained elite open performers. That is no longer a claim about whether harassment exists; it is a quantitative claim about how much of a later selection outcome it causes.</w:t>
      </w:r>
    </w:p>
    <w:p w14:paraId="2CCA5C25" w14:textId="77777777" w:rsidR="00384025" w:rsidRPr="00384025" w:rsidRDefault="00384025" w:rsidP="00384025">
      <w:r>
        <w:t>Where it needs a test: a strong harassment-only explanation should predict how much a measured reduction in exposure changes entry, retention and later elite output, and over what period. Persistent elite skew challenges a specified convergence forecast; it does not by itself falsify every harassment mechanism.</w:t>
      </w:r>
    </w:p>
    <w:p w14:paraId="6A3DD3FA" w14:textId="77777777" w:rsidR="00384025" w:rsidRPr="00384025" w:rsidRDefault="00384025" w:rsidP="00384025">
      <w:r>
        <w:t>Tokenism research offers a framework for comparing minority status, social context and treatment across settings (Kanter, 1977; Yoder, 1991; Zimmer, 1988). Such comparisons should distinguish numerical imbalance from status hierarchies and local norms. A claim that the same mechanism operates identically in male- and female-dominated environments would itself need comparative evidence.</w:t>
      </w:r>
    </w:p>
    <w:p w14:paraId="727EEA77" w14:textId="77777777" w:rsidR="00384025" w:rsidRPr="00384025" w:rsidRDefault="00384025" w:rsidP="00384025">
      <w:r>
        <w:t>A useful comparison would measure harassment exposure across casual queues, organized teams and professional settings while also tracking who enters and remains at each stage. Participation counts alone cannot establish where hostility is lowest or how large its performance effect is. The biological-plus-funnel hypothesis predicts additional selection effects after those exposure differences are modeled.</w:t>
      </w:r>
    </w:p>
    <w:p w14:paraId="09F5D94F" w14:textId="77777777" w:rsidR="00384025" w:rsidRPr="00384025" w:rsidRDefault="00384025" w:rsidP="00384025">
      <w:r>
        <w:t>Ruvalcaba et al. (2018) also illustrates why outcomes and settings should remain distinct. Study 1 found no gender difference in reported criticism; Study 2 found more positive comments overall for female streamers while also documenting sexual harassment in audience feedback. Positive attention does not negate sexualized abuse. Generalizing from spectator treatment to ranked-player retention or professional selection requires evidence connecting those settings and outcomes.</w:t>
      </w:r>
    </w:p>
    <w:p w14:paraId="09F5D94F" w14:textId="77777777" w:rsidR="00384025" w:rsidRPr="00384025" w:rsidRDefault="00384025" w:rsidP="00384025">
      <w:pPr>
        <w:pStyle w:val="Heading2"/>
      </w:pPr>
      <w:r>
        <w:t>Why Restricted Circuits Do Not Settle the Question</w:t>
      </w:r>
    </w:p>
    <w:p w14:paraId="09F5D94F" w14:textId="77777777" w:rsidR="00384025" w:rsidRPr="00384025" w:rsidRDefault="00384025" w:rsidP="00384025">
      <w:pPr/>
      <w:r>
        <w:t>Restricted circuits change the development environment and can reduce some barriers. Their success therefore matters. But restricted-circuit dominance and sustained open-elite performance are different outcomes, and the intervention does not randomly remove every prior or external barrier. The discriminating question is whether entrants progress into open competition at the rate predicted by the competing models, with exposure, training, retention and role-specific output measured along the way.</w:t>
      </w:r>
    </w:p>
    <w:p w14:paraId="379E6BC4" w14:textId="77777777" w:rsidR="00384025" w:rsidRPr="00384025" w:rsidRDefault="00384025" w:rsidP="00384025">
      <w:pPr>
        <w:pStyle w:val="Heading2"/>
      </w:pPr>
      <w:r>
        <w:rPr>
          <w:rFonts w:ascii="Calibri" w:hAnsi="Calibri" w:eastAsia="Calibri"/>
          <w:b/>
          <w:color w:val="000000"/>
          <w:sz w:val="24"/>
        </w:rPr>
        <w:t>B. Argument 2: Stereotype Threat Suppresses Female Performance</w:t>
      </w:r>
    </w:p>
    <w:p w14:paraId="5398FD4B" w14:textId="77777777" w:rsidR="00384025" w:rsidRPr="00384025" w:rsidRDefault="00384025" w:rsidP="00384025">
      <w:r>
        <w:t>What it establishes: an acute stereotype manipulation can change performance on the task that was tested. Kaye &amp; Pennington (2016) showed that priming female participants with the stereotype "men are better at video games" reduced performance on a brief, low-stakes 2D coin-collecting game.</w:t>
      </w:r>
    </w:p>
    <w:p w14:paraId="2F39FDD7" w14:textId="77777777" w:rsidR="00384025" w:rsidRPr="00384025" w:rsidRDefault="00384025" w:rsidP="00384025">
      <w:r>
        <w:t>Elite-level extension to test: stereotype threat produces a persistent performance effect large enough to explain the trained competitive tail. Kaye and Pennington’s task does not directly estimate that outcome.</w:t>
      </w:r>
    </w:p>
    <w:p w14:paraId="5ECBE18B" w14:textId="77777777" w:rsidR="00384025" w:rsidRPr="00384025" w:rsidRDefault="00384025" w:rsidP="00384025">
      <w:r>
        <w:t>Where it needs a test: an acute stereotype-prime effect is not an estimate of persistent career-long suppression. The relevant extension requires exposure measures, effect persistence and a quantitative account of advancement. Anonymous queues and other changes in exposure can be informative, but they do not guarantee the absence of stereotype threat. This section audits the evidence actually used in the cited esports literature; it is not a claim that Kaye and Pennington exhaust later stereotype-threat research. Newer evidence should be evaluated on its own design, population and endpoint.</w:t>
      </w:r>
    </w:p>
    <w:p w14:paraId="499105F2" w14:textId="77777777" w:rsidR="00384025" w:rsidRPr="00384025" w:rsidRDefault="00384025" w:rsidP="00384025">
      <w:pPr>
        <w:pStyle w:val="Heading2"/>
      </w:pPr>
      <w:r>
        <w:rPr>
          <w:rFonts w:ascii="Calibri" w:hAnsi="Calibri" w:eastAsia="Calibri"/>
          <w:b/>
          <w:color w:val="000000"/>
          <w:sz w:val="24"/>
        </w:rPr>
        <w:t>C. Argument 3: Masculine Gatekeeping and Institutional Structure Exclude Women</w:t>
      </w:r>
    </w:p>
    <w:p w14:paraId="5B9DFD96" w14:textId="77777777" w:rsidR="00384025" w:rsidRPr="00384025" w:rsidRDefault="00384025" w:rsidP="00384025">
      <w:r>
        <w:t>Male-dominated environments can create real social and institutional friction. Rogstad (2022), Taylor (2012), Witkowski (2013), and Paaßen et al. (2017) document parts of that environment. The missing step appears when those observations are used to explain professional selection: demanding performance standards, ranked grinding, and competitive pressure are task properties until evidence shows that they function as identity-based exclusion.</w:t>
      </w:r>
    </w:p>
    <w:p w14:paraId="57165A2D" w14:textId="77777777" w:rsidR="00384025" w:rsidRPr="00384025" w:rsidRDefault="00384025" w:rsidP="00384025">
      <w:r>
        <w:rPr>
          <w:b w:val="0"/>
        </w:rPr>
        <w:t>The stronger proposition assessed here is that removing cultural barriers would eliminate the relevant performance differences at the elite tail. That is a hypothesis to specify and test, not a quantified prediction supplied by every study of gendered esports culture.</w:t>
      </w:r>
    </w:p>
    <w:p w14:paraId="0F8E65C3" w14:textId="77777777" w:rsidR="00384025" w:rsidRPr="00384025" w:rsidRDefault="00384025" w:rsidP="00384025">
      <w:r>
        <w:rPr>
          <w:b w:val="0"/>
        </w:rPr>
        <w:t>Where the inference breaks down: documenting exclusion does not estimate the share of a professional representation gap it causes. Conversely, evidence of performance-relevant trait variation would not establish that the traits explain this gap without measuring their relation to actual esports output. The analysis must connect opportunity, training, participation, and task performance to the outcome under discussion.</w:t>
      </w:r>
    </w:p>
    <w:p w14:paraId="0F8E65C3" w14:textId="77777777" w:rsidR="00384025" w:rsidRPr="00384025" w:rsidRDefault="00384025" w:rsidP="00384025">
      <w:pPr/>
      <w:r>
        <w:t>The three arguments differ in mechanism, but they share the same inferential risk when extended to the elite tail. Harassment bears most directly on exposure, entry and retention; stereotype threat can bear on acute task performance; gatekeeping bears on access and selection. Each may matter. None becomes a sufficient explanation of sustained elite standing until the causal link from that intermediate mechanism to the downstream performance outcome is measured.</w:t>
      </w:r>
    </w:p>
    <w:p w14:paraId="64E2B584" w14:textId="77777777" w:rsidR="00384025" w:rsidRPr="00384025" w:rsidRDefault="00384025" w:rsidP="00384025">
      <w:r>
        <w:t>Paper 1 proposes a performance account built from psychomotor traits, spatial processing, execution under concurrent load, practice conversion and repeated selection. Its claim is that these mechanisms explain persistent elite skew better than a specified opportunity-only convergence account. The component studies and the proposed esports tests must therefore remain visible in the comparison.</w:t>
      </w:r>
    </w:p>
    <w:p w14:paraId="712D7927" w14:textId="77777777" w:rsidR="00384025" w:rsidRPr="00384025" w:rsidRDefault="00384025" w:rsidP="00384025">
      <w:r>
        <w:t>Paaßen et al. (2017) reviews gamer stereotypes and marginalization. Its use of broad gaming-participation statistics cannot establish the composition of the committed competitive pool. The relevant comparison follows players within aligned genres and development stages, rather than treating approximate parity among all gamers as the expected composition of every elite field.</w:t>
      </w:r>
    </w:p>
    <w:tbl>
      <w:tblPr>
        <w:tblW w:type="auto" w:w="0"/>
        <w:tblLayout w:type="fixed"/>
        <w:tblLook w:firstColumn="1" w:firstRow="1" w:lastColumn="0" w:lastRow="0" w:noHBand="0" w:noVBand="1" w:val="04A0"/>
      </w:tblPr>
      <w:tblGrid>
        <w:gridCol w:w="2016"/>
        <w:gridCol w:w="3672"/>
        <w:gridCol w:w="3672"/>
      </w:tblGrid>
      <w:tr>
        <w:trPr>
          <w:cantSplit/>
          <w:tblHeader/>
        </w:trPr>
        <w:tc>
          <w:tcPr>
            <w:tcW w:type="dxa" w:w="2016"/>
            <w:vAlign w:val="center"/>
            <w:shd w:fill="193C4D"/>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color w:val="FFFFFF"/>
                <w:sz w:val="19"/>
              </w:rPr>
              <w:t>Observed development</w:t>
            </w:r>
          </w:p>
        </w:tc>
        <w:tc>
          <w:tcPr>
            <w:tcW w:type="dxa" w:w="3672"/>
            <w:vAlign w:val="center"/>
            <w:shd w:fill="193C4D"/>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color w:val="FFFFFF"/>
                <w:sz w:val="19"/>
              </w:rPr>
              <w:t>Specified convergence account</w:t>
            </w:r>
          </w:p>
        </w:tc>
        <w:tc>
          <w:tcPr>
            <w:tcW w:type="dxa" w:w="3672"/>
            <w:vAlign w:val="center"/>
            <w:shd w:fill="193C4D"/>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color w:val="FFFFFF"/>
                <w:sz w:val="19"/>
              </w:rPr>
              <w:t>Biological-plus-funnel prediction</w:t>
            </w:r>
          </w:p>
        </w:tc>
      </w:tr>
      <w:tr>
        <w:trPr>
          <w:cantSplit/>
        </w:trPr>
        <w:tc>
          <w:tcPr>
            <w:tcW w:type="dxa" w:w="2016"/>
            <w:vAlign w:val="center"/>
            <w:shd w:fill="F1F4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val="0"/>
                <w:color w:val="000000"/>
                <w:sz w:val="19"/>
              </w:rPr>
              <w:t>More comparable entry and training access</w:t>
            </w:r>
          </w:p>
        </w:tc>
        <w:tc>
          <w:tcPr>
            <w:tcW w:type="dxa" w:w="3672"/>
            <w:vAlign w:val="center"/>
            <w:shd w:fill="F1F4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val="0"/>
                <w:color w:val="000000"/>
                <w:sz w:val="19"/>
              </w:rPr>
              <w:t>Elite representation moves toward the aligned input pool over a declared development period.</w:t>
            </w:r>
          </w:p>
        </w:tc>
        <w:tc>
          <w:tcPr>
            <w:tcW w:type="dxa" w:w="3672"/>
            <w:vAlign w:val="center"/>
            <w:shd w:fill="F1F4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val="0"/>
                <w:color w:val="000000"/>
                <w:sz w:val="19"/>
              </w:rPr>
              <w:t>Participation gains can coexist with persistent elite skew because trait distributions and repeated selection continue to matter.</w:t>
            </w:r>
          </w:p>
        </w:tc>
      </w:tr>
      <w:tr>
        <w:trPr>
          <w:cantSplit/>
        </w:trPr>
        <w:tc>
          <w:tcPr>
            <w:tcW w:type="dxa" w:w="2016"/>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val="0"/>
                <w:color w:val="000000"/>
                <w:sz w:val="19"/>
              </w:rPr>
              <w:t>Longer, comparable training</w:t>
            </w:r>
          </w:p>
        </w:tc>
        <w:tc>
          <w:tcPr>
            <w:tcW w:type="dxa" w:w="3672"/>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val="0"/>
                <w:color w:val="000000"/>
                <w:sz w:val="19"/>
              </w:rPr>
              <w:t>Trajectories converge enough to account for the declared elite benchmark.</w:t>
            </w:r>
          </w:p>
        </w:tc>
        <w:tc>
          <w:tcPr>
            <w:tcW w:type="dxa" w:w="3672"/>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val="0"/>
                <w:color w:val="000000"/>
                <w:sz w:val="19"/>
              </w:rPr>
              <w:t>Practice improves performance while some selection-relevant differences persist at the trained tail.</w:t>
            </w:r>
          </w:p>
        </w:tc>
      </w:tr>
      <w:tr>
        <w:trPr>
          <w:cantSplit/>
        </w:trPr>
        <w:tc>
          <w:tcPr>
            <w:tcW w:type="dxa" w:w="2016"/>
            <w:vAlign w:val="center"/>
            <w:shd w:fill="F1F4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val="0"/>
                <w:color w:val="000000"/>
                <w:sz w:val="19"/>
              </w:rPr>
              <w:t>Greater concurrent task demand</w:t>
            </w:r>
          </w:p>
        </w:tc>
        <w:tc>
          <w:tcPr>
            <w:tcW w:type="dxa" w:w="3672"/>
            <w:vAlign w:val="center"/>
            <w:shd w:fill="F1F4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val="0"/>
                <w:color w:val="000000"/>
                <w:sz w:val="19"/>
              </w:rPr>
              <w:t>Opportunity differences explain the relevant performance contrast once measured.</w:t>
            </w:r>
          </w:p>
        </w:tc>
        <w:tc>
          <w:tcPr>
            <w:tcW w:type="dxa" w:w="3672"/>
            <w:vAlign w:val="center"/>
            <w:shd w:fill="F1F4F6"/>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val="0"/>
                <w:color w:val="000000"/>
                <w:sz w:val="19"/>
              </w:rPr>
              <w:t>Performance differences may change under concurrent load; the interaction requires a direct task test.</w:t>
            </w:r>
          </w:p>
        </w:tc>
      </w:tr>
      <w:tr>
        <w:trPr>
          <w:cantSplit/>
        </w:trPr>
        <w:tc>
          <w:tcPr>
            <w:tcW w:type="dxa" w:w="2016"/>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val="0"/>
                <w:color w:val="000000"/>
                <w:sz w:val="19"/>
              </w:rPr>
              <w:t>Out-of-sample competitive outcomes</w:t>
            </w:r>
          </w:p>
        </w:tc>
        <w:tc>
          <w:tcPr>
            <w:tcW w:type="dxa" w:w="3672"/>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val="0"/>
                <w:color w:val="000000"/>
                <w:sz w:val="19"/>
              </w:rPr>
              <w:t>Measured exposure and development predict later transitions and elite frequency.</w:t>
            </w:r>
          </w:p>
        </w:tc>
        <w:tc>
          <w:tcPr>
            <w:tcW w:type="dxa" w:w="3672"/>
            <w:vAlign w:val="center"/>
            <w:shd w:fill="FFFFFF"/>
            <w:tcBorders>
              <w:top w:val="single" w:sz="4" w:color="D9D9D9"/>
              <w:bottom w:val="single" w:sz="4" w:color="D9D9D9"/>
              <w:left w:val="single" w:sz="4" w:color="D9D9D9"/>
              <w:right w:val="single" w:sz="4" w:color="D9D9D9"/>
            </w:tcBorders>
            <w:tcMar>
              <w:top w:w="100" w:type="dxa"/>
              <w:bottom w:w="100" w:type="dxa"/>
              <w:left w:w="100" w:type="dxa"/>
              <w:right w:w="100" w:type="dxa"/>
            </w:tcMar>
          </w:tcPr>
          <w:p>
            <w:pPr>
              <w:spacing w:after="0" w:line="252" w:lineRule="auto"/>
            </w:pPr>
            <w:r>
              <w:rPr>
                <w:rFonts w:ascii="Arial" w:hAnsi="Arial"/>
                <w:b w:val="0"/>
                <w:color w:val="000000"/>
                <w:sz w:val="19"/>
              </w:rPr>
              <w:t>Pre-measured traits improve prediction beyond those inputs, including sustained output against top opposition.</w:t>
            </w:r>
          </w:p>
        </w:tc>
      </w:tr>
    </w:tbl>
    <w:p>
      <w:pPr>
        <w:spacing w:after="200" w:before="120"/>
        <w:jc w:val="center"/>
      </w:pPr>
      <w:r>
        <w:rPr>
          <w:i/>
          <w:sz w:val="18"/>
        </w:rPr>
        <w:t>Figure 2. Competing predictions under declared improvements in exposure and opportunity. The convergence account is a specified rival, not a description of every cultural theory. Both accounts must state effect sizes, populations and time horizons before comparison. These are model predictions; Paper 1, Section XII, describes the tests.</w:t>
      </w:r>
    </w:p>
    <w:p w14:paraId="788DC7AC" w14:textId="77777777" w:rsidR="00384025" w:rsidRPr="00384025" w:rsidRDefault="00384025" w:rsidP="00384025">
      <w:pPr>
        <w:pStyle w:val="Heading1"/>
      </w:pPr>
      <w:r>
        <w:rPr>
          <w:rFonts w:ascii="Calibri" w:hAnsi="Calibri" w:eastAsia="Calibri"/>
          <w:b/>
          <w:color w:val="000000"/>
          <w:sz w:val="28"/>
        </w:rPr>
        <w:t>V. How Citations Broaden a Performance Claim</w:t>
      </w:r>
    </w:p>
    <w:p w14:paraId="72321116" w14:textId="77777777" w:rsidR="00384025" w:rsidRPr="00384025" w:rsidRDefault="00384025" w:rsidP="00384025">
      <w:r>
        <w:t>Keep the conclusion attached to the measurement. The strongest criticism in this paper is not that the literature cites the wrong people; it is that a source can be cited correctly and still be asked to support a broader claim than it measured. Shen's advancement models and Rogstad's statements about esports performance provide a concrete case. Nothing about that case requires claiming the entire literature is closed, coordinated, or devoid of independent data.</w:t>
      </w:r>
    </w:p>
    <w:p w14:paraId="05C65FB9" w14:textId="77777777" w:rsidR="00384025" w:rsidRPr="00384025" w:rsidRDefault="00384025" w:rsidP="00384025">
      <w:r>
        <w:t>Shen (2016), Paaßen (2017), and Ruvalcaba (2018) precede Rogstad’s review, first published online in 2021. Rogstad could synthesize those earlier studies and then be cited by later authors. Citation directions and the claim attached to each reference must be checked before drawing a network-wide conclusion.</w:t>
      </w:r>
    </w:p>
    <w:p w14:paraId="2652F0E2" w14:textId="77777777" w:rsidR="00384025" w:rsidRPr="00384025" w:rsidRDefault="00384025" w:rsidP="00384025">
      <w:r>
        <w:t>A citation can carry a claim forward. It cannot enlarge the measurement behind it. Rogstad's introduction treats physical attributes as unrelated to high esports performance, citing Shen and Paaßen. Its discussion describes beliefs about women's inferior competitive ability as disproved, citing Taylor and Shen. A heterogeneous MMO advancement result cannot establish that broad proposition, and the review's cultural synthesis does not supply the missing performance test. This is a passage-level claim expansion, not a diagnosis of network-wide closure.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952"/>
        <w:gridCol w:w="4104"/>
      </w:tblGrid>
      <w:tr>
        <w:trPr>
          <w:cantSplit/>
          <w:tblHeader/>
        </w:trPr>
        <w:tc>
          <w:tcPr>
            <w:tcW w:type="dxa" w:w="1872"/>
            <w:vAlign w:val="center"/>
            <w:shd w:fill="17354A"/>
            <w:tcMar>
              <w:top w:w="100" w:type="dxa"/>
              <w:left w:w="100" w:type="dxa"/>
              <w:bottom w:w="100" w:type="dxa"/>
              <w:right w:w="100" w:type="dxa"/>
            </w:tcMar>
          </w:tcPr>
          <w:p>
            <w:pPr>
              <w:spacing w:after="40" w:before="40" w:line="247" w:lineRule="auto"/>
            </w:pPr>
            <w:r>
              <w:rPr>
                <w:rFonts w:ascii="Arial" w:hAnsi="Arial"/>
                <w:b/>
                <w:color w:val="FFFFFF"/>
                <w:sz w:val="18"/>
              </w:rPr>
              <w:t>Source</w:t>
            </w:r>
          </w:p>
        </w:tc>
        <w:tc>
          <w:tcPr>
            <w:tcW w:type="dxa" w:w="2952"/>
            <w:vAlign w:val="center"/>
            <w:shd w:fill="17354A"/>
            <w:tcMar>
              <w:top w:w="100" w:type="dxa"/>
              <w:left w:w="100" w:type="dxa"/>
              <w:bottom w:w="100" w:type="dxa"/>
              <w:right w:w="100" w:type="dxa"/>
            </w:tcMar>
          </w:tcPr>
          <w:p>
            <w:pPr>
              <w:spacing w:after="40" w:before="40" w:line="247" w:lineRule="auto"/>
            </w:pPr>
            <w:r>
              <w:rPr>
                <w:rFonts w:ascii="Arial" w:hAnsi="Arial"/>
                <w:b/>
                <w:color w:val="FFFFFF"/>
                <w:sz w:val="18"/>
              </w:rPr>
              <w:t>Observed or synthesized evidence</w:t>
            </w:r>
          </w:p>
        </w:tc>
        <w:tc>
          <w:tcPr>
            <w:tcW w:type="dxa" w:w="4104"/>
            <w:vAlign w:val="center"/>
            <w:shd w:fill="17354A"/>
            <w:tcMar>
              <w:top w:w="100" w:type="dxa"/>
              <w:left w:w="100" w:type="dxa"/>
              <w:bottom w:w="100" w:type="dxa"/>
              <w:right w:w="100" w:type="dxa"/>
            </w:tcMar>
          </w:tcPr>
          <w:p>
            <w:pPr>
              <w:spacing w:after="40" w:before="40" w:line="247" w:lineRule="auto"/>
            </w:pPr>
            <w:r>
              <w:rPr>
                <w:rFonts w:ascii="Arial" w:hAnsi="Arial"/>
                <w:b/>
                <w:color w:val="FFFFFF"/>
                <w:sz w:val="18"/>
              </w:rPr>
              <w:t>Citation use and boundary</w:t>
            </w:r>
          </w:p>
        </w:tc>
      </w:tr>
      <w:tr>
        <w:trPr>
          <w:cantSplit/>
        </w:trPr>
        <w:tc>
          <w:tcPr>
            <w:tcW w:type="dxa" w:w="1872"/>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Shen et al. 2016</w:t>
            </w:r>
          </w:p>
        </w:tc>
        <w:tc>
          <w:tcPr>
            <w:tcW w:type="dxa" w:w="2952"/>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Advancement models in EQ2 and CR3</w:t>
            </w:r>
          </w:p>
        </w:tc>
        <w:tc>
          <w:tcPr>
            <w:tcW w:type="dxa" w:w="4104"/>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Does not measure professional esports execution or its extreme tail.</w:t>
            </w:r>
          </w:p>
        </w:tc>
      </w:tr>
      <w:tr>
        <w:trPr>
          <w:cantSplit/>
        </w:trPr>
        <w:tc>
          <w:tcPr>
            <w:tcW w:type="dxa" w:w="1872"/>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Rogstad 2022</w:t>
              <w:br/>
              <w:t>Online 2021</w:t>
            </w:r>
          </w:p>
        </w:tc>
        <w:tc>
          <w:tcPr>
            <w:tcW w:type="dxa" w:w="2952"/>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Narrative synthesis of gendered esports culture</w:t>
            </w:r>
          </w:p>
        </w:tc>
        <w:tc>
          <w:tcPr>
            <w:tcW w:type="dxa" w:w="4104"/>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Introduction and discussion use Shen for a broader performance proposition.</w:t>
            </w:r>
          </w:p>
        </w:tc>
      </w:tr>
      <w:tr>
        <w:trPr>
          <w:cantSplit/>
        </w:trPr>
        <w:tc>
          <w:tcPr>
            <w:tcW w:type="dxa" w:w="1872"/>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Kuss and Vadapalli 2025</w:t>
            </w:r>
          </w:p>
        </w:tc>
        <w:tc>
          <w:tcPr>
            <w:tcW w:type="dxa" w:w="2952"/>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Systematic review of women’s esports representation</w:t>
            </w:r>
          </w:p>
        </w:tc>
        <w:tc>
          <w:tcPr>
            <w:tcW w:type="dxa" w:w="4104"/>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Introduction cites Rogstad for masculine norms; that passage does not assert performance parity.</w:t>
            </w:r>
          </w:p>
        </w:tc>
      </w:tr>
    </w:tbl>
    <w:p w14:paraId="67E6DB79" w14:textId="77777777" w:rsidR="00384025" w:rsidRPr="00384025" w:rsidRDefault="00384025" w:rsidP="00384025">
      <w:pPr>
        <w:keepLines/>
        <w:spacing w:before="120" w:after="200"/>
        <w:jc w:val="center"/>
      </w:pPr>
      <w:r>
        <w:rPr>
          <w:i/>
          <w:sz w:val="18"/>
        </w:rPr>
        <w:t>Figure 3. Verified source-to-claim comparison. The rows identify specific publication passages, not a bibliometric network or a measure of citation centrality. Sources: Shen et al. (2016), studies and discussion; Rogstad (2022), introduction and discussion; Kuss and Vadapalli (2025), introduction.</w:t>
      </w:r>
    </w:p>
    <w:p w14:paraId="1E7E8C86" w14:textId="77777777" w:rsidR="00384025" w:rsidRPr="00384025" w:rsidRDefault="00384025" w:rsidP="00384025">
      <w:pPr/>
      <w:r>
        <w:t>A review can be valuable within its domain and still leave the performance question open. Rogstad's research question concerns hegemonic masculinity and gendered esports inequalities; it does not estimate the contribution of psychomotor traits, practice trajectories, or opportunity differences to professional selection. Calling that an unanswered question is more precise than inferring the answer from the authors' disciplines.</w:t>
      </w:r>
    </w:p>
    <w:p w14:paraId="1E7E8C86" w14:textId="77777777" w:rsidR="00384025" w:rsidRPr="00384025" w:rsidRDefault="00384025" w:rsidP="00384025">
      <w:r>
        <w:t>Adjacent research on reaction time, spatial cognition, visuomotor control, skill acquisition, interests, and competitive participation supplies hypotheses for an interdisciplinary model. Its transfer to esports must itself be demonstrated. An average difference in a laboratory task does not automatically become an elite-game effect, and a study of cultural experience does not automatically become a complete explanation of professional representation. Both bodies of evidence need task-relevant validation.</w:t>
      </w:r>
    </w:p>
    <w:p>
      <w:pPr/>
      <w:r>
        <w:t>A useful review would therefore distinguish evidence about entering competition, continuing to train, acquiring skill, and being selected at the highest level. It would identify the outcomes actually measured at each stage and compare competing explanations against the same outcome. This is a proposed standard for the performance question, not a claim that a complete citation census has established systematic exclusion of every adjacent field.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168"/>
        <w:gridCol w:w="3888"/>
      </w:tblGrid>
      <w:tr>
        <w:trPr>
          <w:cantSplit/>
          <w:tblHeader/>
        </w:trPr>
        <w:tc>
          <w:tcPr>
            <w:tcW w:type="dxa" w:w="1872"/>
            <w:vAlign w:val="center"/>
            <w:shd w:fill="17354A"/>
            <w:tcMar>
              <w:top w:w="100" w:type="dxa"/>
              <w:left w:w="100" w:type="dxa"/>
              <w:bottom w:w="100" w:type="dxa"/>
              <w:right w:w="100" w:type="dxa"/>
            </w:tcMar>
          </w:tcPr>
          <w:p>
            <w:pPr>
              <w:spacing w:after="40" w:before="40" w:line="247" w:lineRule="auto"/>
            </w:pPr>
            <w:r>
              <w:rPr>
                <w:rFonts w:ascii="Arial" w:hAnsi="Arial"/>
                <w:b/>
                <w:color w:val="FFFFFF"/>
                <w:sz w:val="18"/>
              </w:rPr>
              <w:t>Study</w:t>
            </w:r>
          </w:p>
        </w:tc>
        <w:tc>
          <w:tcPr>
            <w:tcW w:type="dxa" w:w="3168"/>
            <w:vAlign w:val="center"/>
            <w:shd w:fill="17354A"/>
            <w:tcMar>
              <w:top w:w="100" w:type="dxa"/>
              <w:left w:w="100" w:type="dxa"/>
              <w:bottom w:w="100" w:type="dxa"/>
              <w:right w:w="100" w:type="dxa"/>
            </w:tcMar>
          </w:tcPr>
          <w:p>
            <w:pPr>
              <w:spacing w:after="40" w:before="40" w:line="247" w:lineRule="auto"/>
            </w:pPr>
            <w:r>
              <w:rPr>
                <w:rFonts w:ascii="Arial" w:hAnsi="Arial"/>
                <w:b/>
                <w:color w:val="FFFFFF"/>
                <w:sz w:val="18"/>
              </w:rPr>
              <w:t>Question or outcome</w:t>
            </w:r>
          </w:p>
        </w:tc>
        <w:tc>
          <w:tcPr>
            <w:tcW w:type="dxa" w:w="3888"/>
            <w:vAlign w:val="center"/>
            <w:shd w:fill="17354A"/>
            <w:tcMar>
              <w:top w:w="100" w:type="dxa"/>
              <w:left w:w="100" w:type="dxa"/>
              <w:bottom w:w="100" w:type="dxa"/>
              <w:right w:w="100" w:type="dxa"/>
            </w:tcMar>
          </w:tcPr>
          <w:p>
            <w:pPr>
              <w:spacing w:after="40" w:before="40" w:line="247" w:lineRule="auto"/>
            </w:pPr>
            <w:r>
              <w:rPr>
                <w:rFonts w:ascii="Arial" w:hAnsi="Arial"/>
                <w:b/>
                <w:color w:val="FFFFFF"/>
                <w:sz w:val="18"/>
              </w:rPr>
              <w:t>What the design does not settle</w:t>
            </w:r>
          </w:p>
        </w:tc>
      </w:tr>
      <w:tr>
        <w:trPr>
          <w:cantSplit/>
        </w:trPr>
        <w:tc>
          <w:tcPr>
            <w:tcW w:type="dxa" w:w="1872"/>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Shen et al. 2016</w:t>
            </w:r>
          </w:p>
        </w:tc>
        <w:tc>
          <w:tcPr>
            <w:tcW w:type="dxa" w:w="3168"/>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Level advancement in two MMOs</w:t>
            </w:r>
          </w:p>
        </w:tc>
        <w:tc>
          <w:tcPr>
            <w:tcW w:type="dxa" w:w="3888"/>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Independent execution, general equivalence, or the elite esports tail.</w:t>
            </w:r>
          </w:p>
        </w:tc>
      </w:tr>
      <w:tr>
        <w:trPr>
          <w:cantSplit/>
        </w:trPr>
        <w:tc>
          <w:tcPr>
            <w:tcW w:type="dxa" w:w="1872"/>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Rogstad 2022</w:t>
            </w:r>
          </w:p>
        </w:tc>
        <w:tc>
          <w:tcPr>
            <w:tcW w:type="dxa" w:w="3168"/>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Gendered culture interpreted through masculinity research</w:t>
            </w:r>
          </w:p>
        </w:tc>
        <w:tc>
          <w:tcPr>
            <w:tcW w:type="dxa" w:w="3888"/>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The causal shares of barriers, practice, or performance in professional selection.</w:t>
            </w:r>
          </w:p>
        </w:tc>
      </w:tr>
      <w:tr>
        <w:trPr>
          <w:cantSplit/>
        </w:trPr>
        <w:tc>
          <w:tcPr>
            <w:tcW w:type="dxa" w:w="1872"/>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Ratan et al. 2020</w:t>
            </w:r>
          </w:p>
        </w:tc>
        <w:tc>
          <w:tcPr>
            <w:tcW w:type="dxa" w:w="3168"/>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World of Tanks XP per match, adjusted for prior playtime</w:t>
            </w:r>
          </w:p>
        </w:tc>
        <w:tc>
          <w:tcPr>
            <w:tcW w:type="dxa" w:w="3888"/>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A direct estimate of professional-tail parity across genres.</w:t>
            </w:r>
          </w:p>
        </w:tc>
      </w:tr>
      <w:tr>
        <w:trPr>
          <w:cantSplit/>
        </w:trPr>
        <w:tc>
          <w:tcPr>
            <w:tcW w:type="dxa" w:w="1872"/>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Kuss and Vadapalli 2025</w:t>
            </w:r>
          </w:p>
        </w:tc>
        <w:tc>
          <w:tcPr>
            <w:tcW w:type="dxa" w:w="3168"/>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Women’s representation and psychosocial experience</w:t>
            </w:r>
          </w:p>
        </w:tc>
        <w:tc>
          <w:tcPr>
            <w:tcW w:type="dxa" w:w="3888"/>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A matched comparison of competing models of elite performance.</w:t>
            </w:r>
          </w:p>
        </w:tc>
      </w:tr>
    </w:tbl>
    <w:p>
      <w:pPr>
        <w:keepLines/>
        <w:spacing w:after="200" w:before="120"/>
        <w:jc w:val="center"/>
      </w:pPr>
      <w:r>
        <w:rPr>
          <w:i/>
          <w:sz w:val="18"/>
        </w:rPr>
        <w:t>Figure 4. Different questions and their evidentiary boundaries. These studies are distinct contributions; a common limitation for the elite-tail question does not make their evidence interchangeable. Sources are listed in the references.</w:t>
      </w:r>
    </w:p>
    <w:p>
      <w:pPr>
        <w:pStyle w:val="Heading2"/>
      </w:pPr>
      <w:r>
        <w:t>A. Scope and Explanatory Sufficiency</w:t>
      </w:r>
    </w:p>
    <w:p>
      <w:r>
        <w:t>Rogstad’s broad performance premise raises an interdisciplinary question. Explaining sustained success against elite opposition requires an account of opportunity, training, retention and task performance. A cultural synthesis can contribute to that account without establishing that its explanation is sufficient.</w:t>
      </w:r>
    </w:p>
    <w:p>
      <w:pPr/>
      <w:r>
        <w:t>A disparity is an outcome to explain, not an explanation by itself. The 35/5 participation comparison can motivate a causal question, but it cannot identify whether the gap comes from exclusion, entry, practice, retention, performance selection, or some combination. Treating the disparity as presumptive evidence for one mechanism while requiring direct evidence for the others creates an asymmetric burden of proof.</w:t>
      </w:r>
    </w:p>
    <w:p>
      <w:pPr>
        <w:pStyle w:val="Heading2"/>
      </w:pPr>
      <w:r>
        <w:rPr>
          <w:rFonts w:ascii="Calibri" w:hAnsi="Calibri" w:eastAsia="Calibri"/>
          <w:b/>
          <w:color w:val="000000"/>
          <w:sz w:val="24"/>
        </w:rPr>
        <w:t>The Traditional-Sports Analogy and the Unexamined Premise</w:t>
      </w:r>
    </w:p>
    <w:p>
      <w:r>
        <w:t>Traditional sport is an intuition pump, not evidence for the esports model. It makes the level-of-analysis problem easy to see: few analysts would infer the causes of an NBA, NFL or Olympic sprint distribution from participation barriers alone. Opportunity can matter while measured performance-relevant traits also shape the extreme tail. Esports removes many gross physical demands, but that does not establish that its remaining psychomotor and neurocognitive substrate is negligible.</w:t>
      </w:r>
    </w:p>
    <w:p>
      <w:r>
        <w:t>The screen changes the body's role; it does not erase the performance substrate. Esports places less weight on height, mass, maximal strength, and aerobic capacity while retaining reaction under load, spatial processing, visuomotor tracking, multiple-object tracking, temporal precision, sensory-motor integration, and decision-making under pressure.</w:t>
      </w:r>
    </w:p>
    <w:p>
      <w:r>
        <w:t>The specific premise challenged here is Rogstad’s statement that physical attributes do not bear on high esports performance. Evidence of harassment cannot establish that premise, and Shen’s progression outcome does not test the relevant range of performance traits. Whether those traits account for sustained elite skew remains the positive hypothesis developed in Paper 1.</w:t>
      </w:r>
    </w:p>
    <w:p>
      <w:r>
        <w:t>The standard has to be symmetrical. A cultural explanation must link measured barriers to the relevant selection outcome. A biological explanation must link proposed traits to that same outcome while accounting for training and opportunity. Neither a sports analogy nor a laboratory effect is a substitute for the missing esports measurement.</w:t>
      </w:r>
    </w:p>
    <w:p>
      <w:pPr/>
      <w:r>
        <w:t>The coding of competitive behavior also needs care. High standards, technical refinement, and low tolerance for in-game error can reflect task demands. Harassment, sexualized abuse, and identity-based exclusion require separate evidence. Rogstad’s discussion of the ideal player includes racialized and heterosexual identity, not merely competitiveness, and it also describes alternative ways of performing well. The circularity risk arises if competitive success itself is coded as masculinity and the resulting male composition is then offered as independent confirmation of masculine exclusion. A discriminating analysis must separate performance requirements from the treatment of equally capable people.</w:t>
      </w:r>
    </w:p>
    <w:p w14:paraId="262FA688" w14:textId="77777777" w:rsidR="00384025" w:rsidRPr="00384025" w:rsidRDefault="00384025" w:rsidP="00384025">
      <w:r>
        <w:t>The literature also contains new behavioral data. Ratan, Shen, and Williams (2020), for example, analyzed World of Tanks experience points per match conditional on prior playtime. That differs from MMO level advancement and should be assessed on its own terms. Its existence is enough to defeat the blanket assertion that every contribution merely repeats the same evidence; it does not resolve the professional-tail question. A network-wide verdict would require a reproducible corpus, verified citation directions, and evidence about what each citation does.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16"/>
        <w:gridCol w:w="3312"/>
      </w:tblGrid>
      <w:tr>
        <w:trPr>
          <w:cantSplit/>
          <w:tblHeader/>
        </w:trPr>
        <w:tc>
          <w:tcPr>
            <w:tcW w:type="dxa" w:w="1800"/>
            <w:vAlign w:val="center"/>
            <w:shd w:fill="17354A"/>
            <w:tcMar>
              <w:top w:w="100" w:type="dxa"/>
              <w:left w:w="100" w:type="dxa"/>
              <w:bottom w:w="100" w:type="dxa"/>
              <w:right w:w="100" w:type="dxa"/>
            </w:tcMar>
          </w:tcPr>
          <w:p>
            <w:pPr>
              <w:spacing w:after="40" w:before="40" w:line="247" w:lineRule="auto"/>
            </w:pPr>
            <w:r>
              <w:rPr>
                <w:rFonts w:ascii="Arial" w:hAnsi="Arial"/>
                <w:b/>
                <w:color w:val="FFFFFF"/>
                <w:sz w:val="18"/>
              </w:rPr>
              <w:t>Question to distinguish</w:t>
            </w:r>
          </w:p>
        </w:tc>
        <w:tc>
          <w:tcPr>
            <w:tcW w:type="dxa" w:w="3816"/>
            <w:vAlign w:val="center"/>
            <w:shd w:fill="17354A"/>
            <w:tcMar>
              <w:top w:w="100" w:type="dxa"/>
              <w:left w:w="100" w:type="dxa"/>
              <w:bottom w:w="100" w:type="dxa"/>
              <w:right w:w="100" w:type="dxa"/>
            </w:tcMar>
          </w:tcPr>
          <w:p>
            <w:pPr>
              <w:spacing w:after="40" w:before="40" w:line="247" w:lineRule="auto"/>
            </w:pPr>
            <w:r>
              <w:rPr>
                <w:rFonts w:ascii="Arial" w:hAnsi="Arial"/>
                <w:b/>
                <w:color w:val="FFFFFF"/>
                <w:sz w:val="18"/>
              </w:rPr>
              <w:t>Evidence needed</w:t>
            </w:r>
          </w:p>
        </w:tc>
        <w:tc>
          <w:tcPr>
            <w:tcW w:type="dxa" w:w="3312"/>
            <w:vAlign w:val="center"/>
            <w:shd w:fill="17354A"/>
            <w:tcMar>
              <w:top w:w="100" w:type="dxa"/>
              <w:left w:w="100" w:type="dxa"/>
              <w:bottom w:w="100" w:type="dxa"/>
              <w:right w:w="100" w:type="dxa"/>
            </w:tcMar>
          </w:tcPr>
          <w:p>
            <w:pPr>
              <w:spacing w:after="40" w:before="40" w:line="247" w:lineRule="auto"/>
            </w:pPr>
            <w:r>
              <w:rPr>
                <w:rFonts w:ascii="Arial" w:hAnsi="Arial"/>
                <w:b/>
                <w:color w:val="FFFFFF"/>
                <w:sz w:val="18"/>
              </w:rPr>
              <w:t>Inference to avoid</w:t>
            </w:r>
          </w:p>
        </w:tc>
      </w:tr>
      <w:tr>
        <w:trPr>
          <w:cantSplit/>
        </w:trPr>
        <w:tc>
          <w:tcPr>
            <w:tcW w:type="dxa" w:w="1800"/>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Opportunity and retention</w:t>
            </w:r>
          </w:p>
        </w:tc>
        <w:tc>
          <w:tcPr>
            <w:tcW w:type="dxa" w:w="3816"/>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Comparable cohorts; measured access, harassment, practice, and dropout</w:t>
            </w:r>
          </w:p>
        </w:tc>
        <w:tc>
          <w:tcPr>
            <w:tcW w:type="dxa" w:w="3312"/>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Treating a participation ratio as a causal estimate.</w:t>
            </w:r>
          </w:p>
        </w:tc>
      </w:tr>
      <w:tr>
        <w:trPr>
          <w:cantSplit/>
        </w:trPr>
        <w:tc>
          <w:tcPr>
            <w:tcW w:type="dxa" w:w="1800"/>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Skill acquisition</w:t>
            </w:r>
          </w:p>
        </w:tc>
        <w:tc>
          <w:tcPr>
            <w:tcW w:type="dxa" w:w="3816"/>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Longitudinal, task-specific practice and competitive output</w:t>
            </w:r>
          </w:p>
        </w:tc>
        <w:tc>
          <w:tcPr>
            <w:tcW w:type="dxa" w:w="3312"/>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Treating logged hours as equivalent training.</w:t>
            </w:r>
          </w:p>
        </w:tc>
      </w:tr>
      <w:tr>
        <w:trPr>
          <w:cantSplit/>
        </w:trPr>
        <w:tc>
          <w:tcPr>
            <w:tcW w:type="dxa" w:w="1800"/>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Individual and team performance</w:t>
            </w:r>
          </w:p>
        </w:tc>
        <w:tc>
          <w:tcPr>
            <w:tcW w:type="dxa" w:w="3816"/>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Role-specific actions, opponents, teammates, and assistance</w:t>
            </w:r>
          </w:p>
        </w:tc>
        <w:tc>
          <w:tcPr>
            <w:tcW w:type="dxa" w:w="3312"/>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Treating shared progress as isolated individual execution.</w:t>
            </w:r>
          </w:p>
        </w:tc>
      </w:tr>
      <w:tr>
        <w:trPr>
          <w:cantSplit/>
        </w:trPr>
        <w:tc>
          <w:tcPr>
            <w:tcW w:type="dxa" w:w="1800"/>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Elite selection</w:t>
            </w:r>
          </w:p>
        </w:tc>
        <w:tc>
          <w:tcPr>
            <w:tcW w:type="dxa" w:w="3816"/>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Sufficient highly trained players; distributional outcomes and explicit equivalence margins</w:t>
            </w:r>
          </w:p>
        </w:tc>
        <w:tc>
          <w:tcPr>
            <w:tcW w:type="dxa" w:w="3312"/>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Inferring the tail from average progression or a nonsignificant coefficient.</w:t>
            </w:r>
          </w:p>
        </w:tc>
      </w:tr>
    </w:tbl>
    <w:p>
      <w:pPr>
        <w:keepLines/>
        <w:spacing w:after="200" w:before="120"/>
        <w:jc w:val="center"/>
      </w:pPr>
      <w:r>
        <w:rPr>
          <w:i/>
          <w:sz w:val="18"/>
        </w:rPr>
        <w:t>Figure 5. Proposed evidence for comparing explanations of professional representation. This is a research-design map, not evidence that an entire field excluded these questions or that either causal account has already prevailed.</w:t>
      </w:r>
    </w:p>
    <w:p>
      <w:pPr>
        <w:pStyle w:val="Heading2"/>
      </w:pPr>
      <w:r>
        <w:t>B. Rogstad and Later Reviews</w:t>
      </w:r>
    </w:p>
    <w:p>
      <w:r>
        <w:t>Rogstad (2022, online 2021) describes a traditional narrative review organized around hegemonic masculinity. It reports searches of Google Scholar, EBSCOhost, Scopus, and Web of Science during January–May 2020, language and publication criteria, a 2006–2020 window, and a final corpus of 21 papers. Its themes concern masculinity, harassment and negotiation of gendered expectations. The criticism in this section concerns the broader performance premise identified above, rather than an absence of search procedures or a claim that all competitive behavior is portrayed as pathological.</w:t>
      </w:r>
    </w:p>
    <w:p>
      <w:pPr/>
      <w:r>
        <w:t>Kuss and Vadapalli (2025) extend this psychosocial literature through a systematic review of 19 empirical studies retrieved from Web of Science and PsycINFO. Its four themes address hostility toward women, motivation and representation, coping, and interventions. The authors explicitly delimit the review to psychosocial perspectives and acknowledge that they omitted formal risk-of-bias assessment and protocol registration. Their citation of Rogstad concerns masculine norms; that passage does not establish performance parity. Nor does the synthesis estimate psychomotor tail distributions, longitudinal transitions into open competition, or sustained output against elite opponents. PRISMA reporting cannot make those unmeasured outcomes part of the evidence. Citing this review as having settled elite performance, or as ruling out trait-based hypotheses, would therefore exceed its scope. Such a downstream use would need to be documented separately; it cannot be inferred from the review’s cultural focus or its citation of Rogstad alone.</w:t>
      </w:r>
    </w:p>
    <w:p>
      <w:pPr>
        <w:pStyle w:val="Heading2"/>
      </w:pPr>
      <w:r>
        <w:rPr>
          <w:rFonts w:ascii="Calibri" w:hAnsi="Calibri" w:eastAsia="Calibri"/>
          <w:b/>
          <w:color w:val="000000"/>
          <w:sz w:val="24"/>
        </w:rPr>
        <w:t>C. Studies Relevant to the Performance Question</w:t>
      </w:r>
    </w:p>
    <w:p>
      <w:pPr/>
      <w:r>
        <w:t>The following studies differ in task, population, and purpose. Some predate Rogstad’s review; Kordyaka et al. (2023) postdates it. They should not be represented as one contemporaneous corpus or one shared dataset.</w:t>
      </w:r>
    </w:p>
    <w:p>
      <w:r>
        <w:t>The question for each is whether its measured outcome supports the claim being made with it. A scope limitation does not erase an otherwise legitimate contribution.</w:t>
      </w:r>
    </w:p>
    <w:p>
      <w:r>
        <w:t>Ruvalcaba et al. (2018) — Legitimate contribution: documents real toxicity and retention barriers at amateur and mid levels. Limitation: does not measure elite-tier performance, gamesense, reaction performance, or long-term competitive selection outcomes.</w:t>
      </w:r>
    </w:p>
    <w:p>
      <w:r>
        <w:t>Kordyaka et al. (2023) — Legitimate contribution: documents motivational dynamics among existing female players. Limitation: relies on self-report measures; does not evaluate elite psychomotor demands, right-tail selection, or sustained professional-level performance outcomes.</w:t>
      </w:r>
    </w:p>
    <w:p>
      <w:r>
        <w:t>Paaßen et al. (2017) — Legitimate contribution: a review of gamer stereotypes and marginalization. Limitation for the present question: it does not provide a new direct estimate of elite competitive performance or partition the causes of the professional representation gap.</w:t>
      </w:r>
    </w:p>
    <w:p>
      <w:r>
        <w:t>Shen et al. (2016) — Legitimate contribution: behavioral evidence about advancement in two MMOs. Limitation: its progression results and partial social controls do not isolate individual competitive execution or establish general performance equivalence. Section III-C summarizes the corrections; How a Proxy Became a Finding (2026) provides the full construct-and-citation audit.</w:t>
      </w:r>
    </w:p>
    <w:p>
      <w:r>
        <w:t>Harwell et al. (2018) — Legitimate contribution: novice training and the structure of ship-control skill in Space Fortress. Men retained an unadjusted control-score advantage, but the residual sex term disappeared after accounting for the measured control behaviors. Limitation: neither result estimates trained professional-tail performance. Both belong in the account of training conversion.</w:t>
      </w:r>
    </w:p>
    <w:p>
      <w:r>
        <w:t>Taylor (2012), Witkowski, and related qualitative work — Legitimate contribution: evidence about competitive culture, participation, and identity. Limitation for the present question: observations of those environments do not by themselves estimate how much of professional representation is caused by cultural barriers. Later changes in access or infrastructure need their own measurements; they cannot be assumed to have removed every relevant barrier.</w:t>
      </w:r>
    </w:p>
    <w:p>
      <w:r>
        <w:t>Across these studies, the central distinction is between evidence about participation and experience, and evidence identifying the causes of sustained elite performance. Section V documents a specific expansion of the performance claim in Rogstad. The other studies should be assessed by their own outcomes and citation uses; sharing a limitation for the elite question does not make them one body of interchangeable evidence.</w:t>
      </w:r>
    </w:p>
    <w:p>
      <w:pPr>
        <w:pStyle w:val="Heading1"/>
      </w:pPr>
      <w:r>
        <w:t>VI. Performance Evidence and Its Limits</w:t>
      </w:r>
    </w:p>
    <w:p w14:paraId="378F0D5F" w14:textId="77777777" w:rsidR="00384025" w:rsidRPr="00384025" w:rsidRDefault="00384025" w:rsidP="00384025">
      <w:r>
        <w:t>The missing object is a linked causal chain. The studies above do not estimate how entry, training, retention, and task performance combine to produce recurring success against elite opposition. Adjacent behavioral research can inform pieces of that chain, including findings that constrain the biological-plus-funnel hypothesis, but each result remains tied to its task and population.</w:t>
      </w:r>
    </w:p>
    <w:p w14:paraId="61165592" w14:textId="77777777" w:rsidR="00384025" w:rsidRPr="00384025" w:rsidRDefault="00384025" w:rsidP="00384025">
      <w:pPr>
        <w:pStyle w:val="Heading2"/>
      </w:pPr>
      <w:r>
        <w:t>A. Practice Effects and Trainability</w:t>
      </w:r>
    </w:p>
    <w:p w14:paraId="30DDAC24" w14:textId="77777777" w:rsidR="00384025" w:rsidRPr="00384025" w:rsidRDefault="00384025" w:rsidP="00384025">
      <w:r>
        <w:t>Feng et al. (2007) found that ten hours of action-game training with non-gamers reduced the mental-rotation gap and nearly eliminated the spatial-attention gap on the tested tasks. Those are substantive training effects. They neither establish convergence of the trained esports tail nor establish that the tail will remain unchanged. The biological-plus-funnel model predicts persistent selection differences after substantial development; that prediction must face longer, game-relevant training evidence rather than being read into a short novice study.</w:t>
      </w:r>
    </w:p>
    <w:p w14:paraId="43219C59" w14:textId="77777777" w:rsidR="00384025" w:rsidRPr="00384025" w:rsidRDefault="00384025" w:rsidP="00384025">
      <w:pPr>
        <w:pStyle w:val="Heading2"/>
      </w:pPr>
      <w:r>
        <w:t>B. Task-Specific Evidence</w:t>
      </w:r>
    </w:p>
    <w:p w14:paraId="7B77CFCE" w14:textId="77777777" w:rsidR="00384025" w:rsidRPr="00384025" w:rsidRDefault="00384025" w:rsidP="00384025">
      <w:r>
        <w:t>The adjacent literature supports specific behavioral differences and meaningful training effects. It does not supply a single established package of male advantages, low trainability and elite-tail persistence. The useful question is which measured effects support a component of the proposed model, and which inferential step remains to be tested.</w:t>
      </w:r>
    </w:p>
    <w:p>
      <w:pPr/>
      <w:r>
        <w:t>Work on deliberate practice and expertise distinguishes structured, feedback-rich training from hours alone (Ericsson et al., 1993; Macnamara et al., 2016). Research on persistence and mental toughness identifies further development questions (Duckworth et al., 2007; Crust &amp; Clough, 2011). These mechanisms motivate a layered performance account. Whether their sex-associated distributions and joint selection explain the elite esports tail is the comparative hypothesis, not a result already supplied by this literature.</w:t>
      </w:r>
    </w:p>
    <w:p w14:paraId="3E6C0AFF" w14:textId="77777777" w:rsidR="00384025" w:rsidRPr="00384025" w:rsidRDefault="00384025" w:rsidP="00384025">
      <w:r>
        <w:t>On visuomotor tracking — Mathew, Masson and Danion (2020) studied joystick tracking in two samples totaling 127 participants. Male advantages were d = 0.69 and 0.77 for tracking error, and d = 0.98 and 0.95 for temporal lag. Eye and hand movement kinematics did not explain the result; a faster decisional process was the authors’ interpretation. Gaming experience was not measured, and ten baseline trials do not establish a long-run trainability limit.</w:t>
      </w:r>
    </w:p>
    <w:p w14:paraId="51EEA789" w14:textId="77777777" w:rsidR="00384025" w:rsidRPr="00384025" w:rsidRDefault="00384025" w:rsidP="00384025">
      <w:r>
        <w:t>On mental rotation — Jacobs et al. (2024) studied 46 participants, 23 of each sex, using an untimed immersive VR adaptation of a mental-rotation test. Men showed higher accuracy (Cohen’s h = 0.764), with no response-time difference. This supports a task-specific spatial-accuracy claim. It does not measure faster decisions in live play or prove that matched expert training preserves the same gap.</w:t>
      </w:r>
    </w:p>
    <w:p w14:paraId="4B9E16E0" w14:textId="77777777" w:rsidR="00384025" w:rsidRPr="00384025" w:rsidRDefault="00384025" w:rsidP="00384025">
      <w:r>
        <w:t>On multiple-object tracking — Jin, Zhao and Zhu (2023) compared 132 basketball players, swimmers and non-athletes. They found a sex-by-sport interaction: male tracking accuracy was higher among swimmers and non-athletes, while basketball players showed no significant sex difference. The study therefore cannot be described as a male advantage independent of sport type. Its cross-sectional groups do not identify training causally, and the basketball null is not a formal equivalence result.</w:t>
      </w:r>
    </w:p>
    <w:p w14:paraId="0AE05CA1" w14:textId="77777777" w:rsidR="00384025" w:rsidRPr="00384025" w:rsidRDefault="00384025" w:rsidP="00384025">
      <w:r>
        <w:t>On chess — Li, Glickman and Chabris (2025) examines sex, ratings and retention in competitive chess. Backus et al. (2023) addresses a different question: within-player behavior against opponents of different sexes. Women made more and larger engine-assessed errors against men, and men persisted longer before resigning against women. Backus is evidence about opponent-sex behavior, not a finding that the rating gap concentrates at the extreme tail.</w:t>
      </w:r>
    </w:p>
    <w:p w14:paraId="5C4E4A61" w14:textId="77777777" w:rsidR="00384025" w:rsidRPr="00384025" w:rsidRDefault="00384025" w:rsidP="00384025">
      <w:r>
        <w:t>Chess illustrates the distinction between broad elite standing and the narrower competitive-peer benchmark used here. Polgár’s world No. 8 peak is a substantial open achievement (International Chess Federation, 2026). Assessing recurring success against the strongest opposition additionally requires a declared opponent set, wins per opportunity, overall score and sustained results. Peak rank alone cannot settle that assessment, and failure to become world No. 1 cannot disqualify a qualifying record. The same rules apply to male careers. Backus also shows why chess cannot be treated as a comparison free of social context.</w:t>
      </w:r>
    </w:p>
    <w:p>
      <w:pPr>
        <w:keepNext/>
        <w:keepLines/>
        <w:spacing w:before="120" w:after="200"/>
      </w:pPr>
      <w:r>
        <w:rPr>
          <w:i/>
          <w:sz w:val="18"/>
        </w:rPr>
        <w:t>Table 1. Source-to-claim checks for the adjacent evidence used in the model.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816"/>
        <w:gridCol w:w="3672"/>
      </w:tblGrid>
      <w:tr>
        <w:trPr>
          <w:cantSplit/>
          <w:tblHeader/>
        </w:trPr>
        <w:tc>
          <w:tcPr>
            <w:tcW w:type="dxa" w:w="1728"/>
            <w:vAlign w:val="center"/>
            <w:shd w:fill="17354A"/>
            <w:tcMar>
              <w:top w:w="90" w:type="dxa"/>
              <w:bottom w:w="90" w:type="dxa"/>
              <w:left w:w="90" w:type="dxa"/>
              <w:right w:w="90" w:type="dxa"/>
            </w:tcMar>
          </w:tcPr>
          <w:p>
            <w:pPr>
              <w:spacing w:before="40" w:after="60" w:line="247" w:lineRule="auto"/>
            </w:pPr>
            <w:r>
              <w:rPr>
                <w:rFonts w:ascii="Arial" w:hAnsi="Arial"/>
                <w:b/>
                <w:color w:val="FFFFFF"/>
                <w:sz w:val="18"/>
              </w:rPr>
              <w:t>Study</w:t>
            </w:r>
          </w:p>
        </w:tc>
        <w:tc>
          <w:tcPr>
            <w:tcW w:type="dxa" w:w="3816"/>
            <w:vAlign w:val="center"/>
            <w:shd w:fill="17354A"/>
            <w:tcMar>
              <w:top w:w="90" w:type="dxa"/>
              <w:bottom w:w="90" w:type="dxa"/>
              <w:left w:w="90" w:type="dxa"/>
              <w:right w:w="90" w:type="dxa"/>
            </w:tcMar>
          </w:tcPr>
          <w:p>
            <w:pPr>
              <w:spacing w:before="40" w:after="60" w:line="247" w:lineRule="auto"/>
            </w:pPr>
            <w:r>
              <w:rPr>
                <w:rFonts w:ascii="Arial" w:hAnsi="Arial"/>
                <w:b/>
                <w:color w:val="FFFFFF"/>
                <w:sz w:val="18"/>
              </w:rPr>
              <w:t>Finding to retain</w:t>
            </w:r>
          </w:p>
        </w:tc>
        <w:tc>
          <w:tcPr>
            <w:tcW w:type="dxa" w:w="3672"/>
            <w:vAlign w:val="center"/>
            <w:shd w:fill="17354A"/>
            <w:tcMar>
              <w:top w:w="90" w:type="dxa"/>
              <w:bottom w:w="90" w:type="dxa"/>
              <w:left w:w="90" w:type="dxa"/>
              <w:right w:w="90" w:type="dxa"/>
            </w:tcMar>
          </w:tcPr>
          <w:p>
            <w:pPr>
              <w:spacing w:before="40" w:after="60" w:line="247" w:lineRule="auto"/>
            </w:pPr>
            <w:r>
              <w:rPr>
                <w:rFonts w:ascii="Arial" w:hAnsi="Arial"/>
                <w:b/>
                <w:color w:val="FFFFFF"/>
                <w:sz w:val="18"/>
              </w:rPr>
              <w:t>Inference not established</w:t>
            </w:r>
          </w:p>
        </w:tc>
      </w:tr>
      <w:tr>
        <w:trPr>
          <w:cantSplit/>
        </w:trPr>
        <w:tc>
          <w:tcPr>
            <w:tcW w:type="dxa" w:w="1728"/>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Mathew et al. 2020</w:t>
            </w:r>
          </w:p>
        </w:tc>
        <w:tc>
          <w:tcPr>
            <w:tcW w:type="dxa" w:w="381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Joystick tracking error d = .69/.77; lag d = .98/.95.</w:t>
            </w:r>
          </w:p>
        </w:tc>
        <w:tc>
          <w:tcPr>
            <w:tcW w:type="dxa" w:w="3672"/>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Low trainability or gaming-adjusted innate difference.</w:t>
            </w:r>
          </w:p>
        </w:tc>
      </w:tr>
      <w:tr>
        <w:trPr>
          <w:cantSplit/>
        </w:trPr>
        <w:tc>
          <w:tcPr>
            <w:tcW w:type="dxa" w:w="1728"/>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Jacobs et al. 2024</w:t>
            </w:r>
          </w:p>
        </w:tc>
        <w:tc>
          <w:tcPr>
            <w:tcW w:type="dxa" w:w="381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Untimed VR accuracy h = .764; no response-time difference.</w:t>
            </w:r>
          </w:p>
        </w:tc>
        <w:tc>
          <w:tcPr>
            <w:tcW w:type="dxa" w:w="3672"/>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Faster in-game decisions or a trained elite ceiling.</w:t>
            </w:r>
          </w:p>
        </w:tc>
      </w:tr>
      <w:tr>
        <w:trPr>
          <w:cantSplit/>
        </w:trPr>
        <w:tc>
          <w:tcPr>
            <w:tcW w:type="dxa" w:w="1728"/>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Jin et al. 2023</w:t>
            </w:r>
          </w:p>
        </w:tc>
        <w:tc>
          <w:tcPr>
            <w:tcW w:type="dxa" w:w="381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Sex × sport interaction; basketball players showed no significant sex difference.</w:t>
            </w:r>
          </w:p>
        </w:tc>
        <w:tc>
          <w:tcPr>
            <w:tcW w:type="dxa" w:w="3672"/>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Sport-independent male advantage or causal training equivalence.</w:t>
            </w:r>
          </w:p>
        </w:tc>
      </w:tr>
      <w:tr>
        <w:trPr>
          <w:cantSplit/>
        </w:trPr>
        <w:tc>
          <w:tcPr>
            <w:tcW w:type="dxa" w:w="1728"/>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Harwell et al. 2018</w:t>
            </w:r>
          </w:p>
        </w:tc>
        <w:tc>
          <w:tcPr>
            <w:tcW w:type="dxa" w:w="381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Unadjusted control-score gap narrowed; no residual sex term after control behaviors.</w:t>
            </w:r>
          </w:p>
        </w:tc>
        <w:tc>
          <w:tcPr>
            <w:tcW w:type="dxa" w:w="3672"/>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A professional ceiling, or a randomized causal account of the residual.</w:t>
            </w:r>
          </w:p>
        </w:tc>
      </w:tr>
      <w:tr>
        <w:trPr>
          <w:cantSplit/>
        </w:trPr>
        <w:tc>
          <w:tcPr>
            <w:tcW w:type="dxa" w:w="1728"/>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Der &amp; Deary 2006</w:t>
            </w:r>
          </w:p>
        </w:tc>
        <w:tc>
          <w:tcPr>
            <w:tcW w:type="dxa" w:w="381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Simple and four-choice RT in a broad adult sample.</w:t>
            </w:r>
          </w:p>
        </w:tc>
        <w:tc>
          <w:tcPr>
            <w:tcW w:type="dxa" w:w="3672"/>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Sex difference widening under aim, comms and tactics.</w:t>
            </w:r>
          </w:p>
        </w:tc>
      </w:tr>
      <w:tr>
        <w:trPr>
          <w:cantSplit/>
        </w:trPr>
        <w:tc>
          <w:tcPr>
            <w:tcW w:type="dxa" w:w="1728"/>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Backus et al. 2023</w:t>
            </w:r>
          </w:p>
        </w:tc>
        <w:tc>
          <w:tcPr>
            <w:tcW w:type="dxa" w:w="3816"/>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Opponent-sex effects on errors and resignation behavior.</w:t>
            </w:r>
          </w:p>
        </w:tc>
        <w:tc>
          <w:tcPr>
            <w:tcW w:type="dxa" w:w="3672"/>
            <w:vAlign w:val="center"/>
            <w:shd w:fill="FFFFFF"/>
            <w:tcMar>
              <w:top w:w="90" w:type="dxa"/>
              <w:bottom w:w="90" w:type="dxa"/>
              <w:left w:w="90" w:type="dxa"/>
              <w:right w:w="90" w:type="dxa"/>
            </w:tcMar>
          </w:tcPr>
          <w:p>
            <w:pPr>
              <w:spacing w:before="40" w:after="60" w:line="247" w:lineRule="auto"/>
            </w:pPr>
            <w:r>
              <w:rPr>
                <w:rFonts w:ascii="Arial" w:hAnsi="Arial"/>
                <w:b w:val="0"/>
                <w:color w:val="000000"/>
                <w:sz w:val="18"/>
              </w:rPr>
              <w:t>An extreme-tail rating distribution or culture-free comparison.</w:t>
            </w:r>
          </w:p>
        </w:tc>
      </w:tr>
      <w:tr>
        <w:trPr>
          <w:cantSplit/>
        </w:trPr>
        <w:tc>
          <w:tcPr>
            <w:tcW w:type="dxa" w:w="1728"/>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Feng et al. 2007</w:t>
            </w:r>
          </w:p>
        </w:tc>
        <w:tc>
          <w:tcPr>
            <w:tcW w:type="dxa" w:w="3816"/>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Mental-rotation gap narrowed; spatial-attention gap nearly eliminated.</w:t>
            </w:r>
          </w:p>
        </w:tc>
        <w:tc>
          <w:tcPr>
            <w:tcW w:type="dxa" w:w="3672"/>
            <w:vAlign w:val="center"/>
            <w:shd w:fill="F2F5F7"/>
            <w:tcMar>
              <w:top w:w="90" w:type="dxa"/>
              <w:bottom w:w="90" w:type="dxa"/>
              <w:left w:w="90" w:type="dxa"/>
              <w:right w:w="90" w:type="dxa"/>
            </w:tcMar>
          </w:tcPr>
          <w:p>
            <w:pPr>
              <w:spacing w:before="40" w:after="60" w:line="247" w:lineRule="auto"/>
            </w:pPr>
            <w:r>
              <w:rPr>
                <w:rFonts w:ascii="Arial" w:hAnsi="Arial"/>
                <w:b w:val="0"/>
                <w:color w:val="000000"/>
                <w:sz w:val="18"/>
              </w:rPr>
              <w:t>Either convergence or persistence of the trained esports tail.</w:t>
            </w:r>
          </w:p>
        </w:tc>
      </w:tr>
    </w:tbl>
    <w:p w14:paraId="4288466D" w14:textId="77777777" w:rsidR="00384025" w:rsidRPr="00384025" w:rsidRDefault="00384025" w:rsidP="00384025">
      <w:pPr>
        <w:pStyle w:val="Heading1"/>
      </w:pPr>
      <w:r>
        <w:t>VII. Tests That Distinguish the Explanations</w:t>
      </w:r>
    </w:p>
    <w:p w14:paraId="01029F9D" w14:textId="77777777" w:rsidR="00384025" w:rsidRPr="00384025" w:rsidRDefault="00384025" w:rsidP="00384025">
      <w:r>
        <w:t>The dispute becomes scientific only where the models make different predictions. The question is which account better predicts development and sustained elite output. The following tests connect the measurements reviewed here to that endpoint; Paper 1, Section XII, specifies the component tests and what would count against the biological-plus-funnel model.</w:t>
      </w:r>
    </w:p>
    <w:p w14:paraId="5CB1FF9C" w14:textId="77777777" w:rsidR="00384025" w:rsidRPr="00384025" w:rsidRDefault="00384025" w:rsidP="00384025">
      <w:pPr>
        <w:pStyle w:val="Heading2"/>
      </w:pPr>
      <w:r>
        <w:rPr>
          <w:rFonts w:ascii="Calibri" w:hAnsi="Calibri" w:eastAsia="Calibri"/>
          <w:b/>
          <w:color w:val="000000"/>
          <w:sz w:val="24"/>
        </w:rPr>
        <w:t>A. Questions About the Participation Funnel</w:t>
      </w:r>
    </w:p>
    <w:p w14:paraId="33A7D8A5" w14:textId="77777777" w:rsidR="00384025" w:rsidRPr="00384025" w:rsidRDefault="00384025" w:rsidP="00384025">
      <w:r>
        <w:t>The participation inference needs common-cohort estimates. What proportion of genre players enter sustained ranked competition? How do practice, rank and dropout develop by sex, and how do the results change when competitive intent and exposure are measured? Aggregate player shares and the 35/5 comparison cannot answer those questions. Linked estimates would show where the competing explanations need to account for different transition rates.</w:t>
      </w:r>
    </w:p>
    <w:p w14:paraId="492EF022" w14:textId="77777777" w:rsidR="00384025" w:rsidRPr="00384025" w:rsidRDefault="00384025" w:rsidP="00384025">
      <w:pPr>
        <w:pStyle w:val="Heading2"/>
      </w:pPr>
      <w:r>
        <w:rPr>
          <w:rFonts w:ascii="Calibri" w:hAnsi="Calibri" w:eastAsia="Calibri"/>
          <w:b/>
          <w:color w:val="000000"/>
          <w:sz w:val="24"/>
        </w:rPr>
        <w:t>B. Questions About the Biological Substrate</w:t>
      </w:r>
    </w:p>
    <w:p w14:paraId="28BF190D" w14:textId="77777777" w:rsidR="00384025" w:rsidRPr="00384025" w:rsidRDefault="00384025" w:rsidP="00384025">
      <w:r>
        <w:t>The component tests should connect traits measured before advancement to later role-specific output, manipulate concurrent load, and follow training trajectories. They should specify practical effect sizes and equivalence margins in advance. Matched-rank comparisons can then examine how similar outcomes are assembled from different skill profiles.</w:t>
      </w:r>
    </w:p>
    <w:p>
      <w:r>
        <w:t>• Does a preregistered sex-by-load interaction appear when concurrent task demand is manipulated, with hardware, latency and exposure standardized?</w:t>
      </w:r>
    </w:p>
    <w:p>
      <w:r>
        <w:t>• How do male and female players compare on mental rotation speed and accuracy when performing dynamic, online spatial tasks that replicate map awareness, trajectory prediction, and 3D positioning?</w:t>
      </w:r>
    </w:p>
    <w:p>
      <w:r>
        <w:t>• Do measurable differences persist in dynamic visuomotor tracking, smooth pursuit efficiency, and hand-eye coordination under the divided attention and time pressure of live competitive play?</w:t>
      </w:r>
    </w:p>
    <w:p>
      <w:r>
        <w:t>• How do players of each sex compare on multiple-object tracking capacity, spatial working memory under load, temporal precision, counter-strafe timing, animation cancels, and useful field of view during chaotic fights, retakes, or macro/micro multitasking?</w:t>
      </w:r>
    </w:p>
    <w:p>
      <w:r>
        <w:t>• Do pre-measured traits improve held-out prediction of later role-specific advancement beyond practice and opportunity? Within a matched-rank sample, do component differences reflect the same rank being assembled through different strengths?</w:t>
      </w:r>
    </w:p>
    <w:p>
      <w:r>
        <w:t>Rank is downstream of mechanics, gamesense, exposure and retention. Conditioning on it can hide a population difference or create an apparent component tradeoff. A precise matched-rank null therefore challenges only the corresponding conditional prediction, not the whole funnel model; a residual does not identify biological causation. Evidence becomes discriminating when the predicted component, effect size, practical equivalence margin and prospective outcome are specified in advance.</w:t>
      </w:r>
    </w:p>
    <w:p>
      <w:pPr/>
      <w:r>
        <w:t>Training tests should follow comparable entry cohorts and record prior experience, method, dose, coaching, role and dropout. They should compare learning trajectories and tail outcomes over a declared period, with sensitivity to selective retention. A separate held-out forecast should compare observed stage-transition rates and elite frequencies with the trait-plus-funnel model and a specified exposure-only rival. Equivalent trajectories or repeated forecast failure would weaken the corresponding part of the hypothesis.</w:t>
      </w:r>
    </w:p>
    <w:p w14:paraId="4630D340" w14:textId="77777777" w:rsidR="00384025" w:rsidRPr="00384025" w:rsidRDefault="00384025" w:rsidP="00384025">
      <w:pPr>
        <w:pStyle w:val="Heading2"/>
      </w:pPr>
      <w:r>
        <w:rPr>
          <w:rFonts w:ascii="Calibri" w:hAnsi="Calibri" w:eastAsia="Calibri"/>
          <w:b/>
          <w:color w:val="000000"/>
          <w:sz w:val="24"/>
        </w:rPr>
        <w:t>C. Questions About the Competitive Record</w:t>
      </w:r>
    </w:p>
    <w:p w14:paraId="5A251BAF" w14:textId="77777777" w:rsidR="00384025" w:rsidRPr="00384025" w:rsidRDefault="00384025" w:rsidP="00384025">
      <w:r>
        <w:t>For named titles and cohorts, how many entrants progress from restricted circuits into sustained success against the strongest declared open opposition? What are their wins per opportunity, overall results and role-adjusted contributions? How do practice and retention compare with similarly situated entrants elsewhere? These measures connect infrastructure history to competing forecasts.</w:t>
      </w:r>
    </w:p>
    <w:p w14:paraId="5CA3F5D1" w14:textId="77777777" w:rsidR="00384025" w:rsidRPr="00384025" w:rsidRDefault="00384025" w:rsidP="00384025">
      <w:pPr>
        <w:pStyle w:val="Heading2"/>
      </w:pPr>
      <w:r>
        <w:t>D. Falsifiability: What Would Change the Model?</w:t>
      </w:r>
    </w:p>
    <w:p w14:paraId="191A4CB0" w14:textId="77777777" w:rsidR="00384025" w:rsidRPr="00384025" w:rsidRDefault="00384025" w:rsidP="00384025">
      <w:r>
        <w:t>A causal claim needs a failure condition. If harassment is proposed as the primary driver of the elite gap, the model should specify how a measured reduction in exposure will change retention, advancement, and later elite output, for which cohort and over what period. Repeated failure of that forecast must permit revision. Otherwise "more intervention will eventually work" can be deferred indefinitely. The biological-plus-funnel account owes the same thing: registered transition and elite-frequency forecasts that can fail.</w:t>
      </w:r>
    </w:p>
    <w:p w14:paraId="20FCB5C9" w14:textId="77777777" w:rsidR="00384025" w:rsidRPr="00384025" w:rsidRDefault="00384025" w:rsidP="00384025">
      <w:pPr>
        <w:pStyle w:val="Heading2"/>
      </w:pPr>
      <w:r>
        <w:t>E. Addressing Common Objections</w:t>
      </w:r>
    </w:p>
    <w:p w14:paraId="5932B1CE" w14:textId="77777777" w:rsidR="00384025" w:rsidRPr="00384025" w:rsidRDefault="00384025" w:rsidP="00384025">
      <w:r>
        <w:t>First: “What about the few female outliers?” A woman who meets the repeated-performance benchmark in Section I is consequential evidence. Geguri, Kayane, Scarlett and any other candidate must be evaluated against the same declared opponents, exposure and duration rules used for male cases; support and flex count. A qualifying case challenges a categorical impossibility claim. For a probabilistic model, the relevant challenge is the frequency of qualifying cases relative to its registered prediction.</w:t>
      </w:r>
    </w:p>
    <w:p w14:paraId="08DC19E9" w14:textId="77777777" w:rsidR="00384025" w:rsidRPr="00384025" w:rsidRDefault="00384025" w:rsidP="00384025">
      <w:r>
        <w:t>Second: “We just haven’t waited long enough or invested enough resources yet.” More time and resources can matter, but the claim needs a timeframe, an affected cohort and an expected change. Otherwise each missed prediction can be deferred indefinitely. The same obligation applies to the biological-plus-funnel account: it must specify what pattern of successful entrants would force revision.</w:t>
      </w:r>
    </w:p>
    <w:p w14:paraId="7EDAAC99" w14:textId="77777777" w:rsidR="00384025" w:rsidRPr="00384025" w:rsidRDefault="00384025" w:rsidP="00384025">
      <w:r>
        <w:t>Third: “Training will eventually close the gap.” Training changes measured performance, sometimes substantially. The hypothesis defended here is that it will not remove all selection-relevant differences at the trained extreme tail. Harwell, Feng and the basketball MOT null must be reported accurately because they constrain that claim. None supplies a completed test of the long-run, role-specific esports prediction.</w:t>
      </w:r>
    </w:p>
    <w:p w14:paraId="261C6930" w14:textId="77777777" w:rsidR="00384025" w:rsidRPr="00384025" w:rsidRDefault="00384025" w:rsidP="00384025">
      <w:pPr>
        <w:pStyle w:val="Heading2"/>
      </w:pPr>
      <w:r>
        <w:t>F. Cross-System Tests</w:t>
      </w:r>
    </w:p>
    <w:p w14:paraId="2AFC16CD" w14:textId="77777777" w:rsidR="00384025" w:rsidRPr="00384025" w:rsidRDefault="00384025" w:rsidP="00384025">
      <w:r>
        <w:t>Cross-system contrasts are useful only when they change something the models treat differently. Two families are especially informative: aligned comparisons across competitive ecosystems, and rule or design changes that alter specific task demands. Neither is a controlled removal of culture or proof of a biological explanation.</w:t>
      </w:r>
    </w:p>
    <w:p w14:paraId="24039170" w14:textId="77777777" w:rsidR="00384025" w:rsidRPr="00384025" w:rsidRDefault="00384025" w:rsidP="00384025">
      <w:r>
        <w:t>Cross-system and cross-cultural comparison. Ranked ladders, scrims, qualifiers and professional events provide successive records of selection, while regions differ in development histories and social environments. A useful comparison aligns title, role, cohort, competitive intent, exposure and opponent strength, then asks whether transition rates change as the relevant inputs change. Similar elite skew across loosely labeled countries is not enough; the conditions the hypothesis treats as different must actually be measured.</w:t>
      </w:r>
    </w:p>
    <w:p w14:paraId="36664034" w14:textId="77777777" w:rsidR="00384025" w:rsidRPr="00384025" w:rsidRDefault="00384025" w:rsidP="00384025">
      <w:r>
        <w:t>Changes in task demand. Control assists, catch-up systems and other rule changes can alter execution requirements or the cost of errors. These are useful quasi-experimental contrasts when the prediction names the affected task, game version and cohort in advance, then tests whether entry, advancement or sustained elite output changes with the demand itself. Availability to casual players is not enough; the change must operate in the competitive environment being evaluated.</w:t>
      </w:r>
    </w:p>
    <w:p w14:paraId="77041A88" w14:textId="77777777" w:rsidR="00384025" w:rsidRPr="00384025" w:rsidRDefault="00384025" w:rsidP="00384025">
      <w:pPr>
        <w:pStyle w:val="Heading1"/>
      </w:pPr>
      <w:r>
        <w:t>VIII. Evaluating the Competitive Record</w:t>
      </w:r>
    </w:p>
    <w:p w14:paraId="737ACC43" w14:textId="77777777" w:rsidR="00384025" w:rsidRPr="00384025" w:rsidRDefault="00384025" w:rsidP="00384025">
      <w:r>
        <w:t>The competitive record is a test bed, not a verdict. Paper 1 advances the hypothesis that biological-plus-funnel selection will predict persistent open-tail skew better than specified culture-only convergence accounts after defined opportunity improvements. The record motivates that comparison; this paper does not claim the competing forecasts have already been fitted and validated.</w:t>
      </w:r>
    </w:p>
    <w:p w14:paraId="48FB2618" w14:textId="77777777" w:rsidR="00384025" w:rsidRPr="00384025" w:rsidRDefault="00384025" w:rsidP="00384025">
      <w:r>
        <w:t>Harassment, stereotype threat and institutional access imply different interventions and outcomes. Lower exposure may improve retention; reduced stereotype threat may improve task performance; better access may improve training and selection. Whether those changes produce role-elite convergence must be predicted for a named population and period. Treating all three as one universal forecast makes the rival easier to attack but harder to test.</w:t>
      </w:r>
    </w:p>
    <w:p w14:paraId="718BD389" w14:textId="77777777" w:rsidR="00384025" w:rsidRPr="00384025" w:rsidRDefault="00384025" w:rsidP="00384025">
      <w:r>
        <w:t>Restricted-circuit titles, league entry and isolated open-event wins should be recorded separately from repeated success against elite opposition. Candidate cases must be assessed under the opponent, encounter and duration rules fixed in Section I. Chess remains a comparison: Polgár’s record merits that same evaluation, without using peak rank or failure to become world No. 1 as a substitute. Figure 6 specifies the evidence needed for the competitive-history assessment.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240"/>
        <w:gridCol w:w="3960"/>
      </w:tblGrid>
      <w:tr>
        <w:trPr>
          <w:cantSplit/>
          <w:tblHeader/>
        </w:trPr>
        <w:tc>
          <w:tcPr>
            <w:tcW w:type="dxa" w:w="2016"/>
            <w:vAlign w:val="center"/>
            <w:shd w:fill="17354A"/>
            <w:tcMar>
              <w:top w:w="100" w:type="dxa"/>
              <w:left w:w="100" w:type="dxa"/>
              <w:bottom w:w="100" w:type="dxa"/>
              <w:right w:w="100" w:type="dxa"/>
            </w:tcMar>
          </w:tcPr>
          <w:p>
            <w:pPr>
              <w:spacing w:after="40" w:before="40" w:line="247" w:lineRule="auto"/>
            </w:pPr>
            <w:r>
              <w:rPr>
                <w:rFonts w:ascii="Arial" w:hAnsi="Arial"/>
                <w:b/>
                <w:color w:val="FFFFFF"/>
                <w:sz w:val="18"/>
              </w:rPr>
              <w:t>Record to examine</w:t>
            </w:r>
          </w:p>
        </w:tc>
        <w:tc>
          <w:tcPr>
            <w:tcW w:type="dxa" w:w="3240"/>
            <w:vAlign w:val="center"/>
            <w:shd w:fill="17354A"/>
            <w:tcMar>
              <w:top w:w="100" w:type="dxa"/>
              <w:left w:w="100" w:type="dxa"/>
              <w:bottom w:w="100" w:type="dxa"/>
              <w:right w:w="100" w:type="dxa"/>
            </w:tcMar>
          </w:tcPr>
          <w:p>
            <w:pPr>
              <w:spacing w:after="40" w:before="40" w:line="247" w:lineRule="auto"/>
            </w:pPr>
            <w:r>
              <w:rPr>
                <w:rFonts w:ascii="Arial" w:hAnsi="Arial"/>
                <w:b/>
                <w:color w:val="FFFFFF"/>
                <w:sz w:val="18"/>
              </w:rPr>
              <w:t>Benchmark to apply</w:t>
            </w:r>
          </w:p>
        </w:tc>
        <w:tc>
          <w:tcPr>
            <w:tcW w:type="dxa" w:w="3960"/>
            <w:vAlign w:val="center"/>
            <w:shd w:fill="17354A"/>
            <w:tcMar>
              <w:top w:w="100" w:type="dxa"/>
              <w:left w:w="100" w:type="dxa"/>
              <w:bottom w:w="100" w:type="dxa"/>
              <w:right w:w="100" w:type="dxa"/>
            </w:tcMar>
          </w:tcPr>
          <w:p>
            <w:pPr>
              <w:spacing w:after="40" w:before="40" w:line="247" w:lineRule="auto"/>
            </w:pPr>
            <w:r>
              <w:rPr>
                <w:rFonts w:ascii="Arial" w:hAnsi="Arial"/>
                <w:b/>
                <w:color w:val="FFFFFF"/>
                <w:sz w:val="18"/>
              </w:rPr>
              <w:t>Evidence required</w:t>
            </w:r>
          </w:p>
        </w:tc>
      </w:tr>
      <w:tr>
        <w:trPr>
          <w:cantSplit/>
        </w:trPr>
        <w:tc>
          <w:tcPr>
            <w:tcW w:type="dxa" w:w="2016"/>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FPS and role-based team games</w:t>
            </w:r>
          </w:p>
        </w:tc>
        <w:tc>
          <w:tcPr>
            <w:tcW w:type="dxa" w:w="3240"/>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Recurring success against top open opposition across at least two full seasons; support and flex count.</w:t>
            </w:r>
          </w:p>
        </w:tc>
        <w:tc>
          <w:tcPr>
            <w:tcW w:type="dxa" w:w="3960"/>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Opponent-adjusted role output, team results, encounter counts and repeated event performance.</w:t>
            </w:r>
          </w:p>
        </w:tc>
      </w:tr>
      <w:tr>
        <w:trPr>
          <w:cantSplit/>
        </w:trPr>
        <w:tc>
          <w:tcPr>
            <w:tcW w:type="dxa" w:w="2016"/>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FGC and RTS</w:t>
            </w:r>
          </w:p>
        </w:tc>
        <w:tc>
          <w:tcPr>
            <w:tcW w:type="dxa" w:w="3240"/>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Repeated wins and competitive scores against a declared top opponent group over the same period.</w:t>
            </w:r>
          </w:p>
        </w:tc>
        <w:tc>
          <w:tcPr>
            <w:tcW w:type="dxa" w:w="3960"/>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Wins per opportunity, overall score, contemporaneous opponent strength and sustained event record.</w:t>
            </w:r>
          </w:p>
        </w:tc>
      </w:tr>
      <w:tr>
        <w:trPr>
          <w:cantSplit/>
        </w:trPr>
        <w:tc>
          <w:tcPr>
            <w:tcW w:type="dxa" w:w="2016"/>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Game Changers, Impact and other restricted circuits</w:t>
            </w:r>
          </w:p>
        </w:tc>
        <w:tc>
          <w:tcPr>
            <w:tcW w:type="dxa" w:w="3240"/>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Development pathways; restricted-event dominance alone does not establish an open benchmark.</w:t>
            </w:r>
          </w:p>
        </w:tc>
        <w:tc>
          <w:tcPr>
            <w:tcW w:type="dxa" w:w="3960"/>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Follow entrants into open play and measure training, retention and transition rates.</w:t>
            </w:r>
          </w:p>
        </w:tc>
      </w:tr>
      <w:tr>
        <w:trPr>
          <w:cantSplit/>
        </w:trPr>
        <w:tc>
          <w:tcPr>
            <w:tcW w:type="dxa" w:w="2016"/>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Rare individual cases</w:t>
            </w:r>
          </w:p>
        </w:tc>
        <w:tc>
          <w:tcPr>
            <w:tcW w:type="dxa" w:w="3240"/>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Apply the same opponent set, minimum exposure, success-rate and duration rules to every candidate.</w:t>
            </w:r>
          </w:p>
        </w:tc>
        <w:tc>
          <w:tcPr>
            <w:tcW w:type="dxa" w:w="3960"/>
            <w:vAlign w:val="center"/>
            <w:shd w:fill="FFFFFF"/>
            <w:tcMar>
              <w:top w:w="100" w:type="dxa"/>
              <w:left w:w="100" w:type="dxa"/>
              <w:bottom w:w="100" w:type="dxa"/>
              <w:right w:w="100" w:type="dxa"/>
            </w:tcMar>
          </w:tcPr>
          <w:p>
            <w:pPr>
              <w:spacing w:after="40" w:before="40" w:line="247" w:lineRule="auto"/>
            </w:pPr>
            <w:r>
              <w:rPr>
                <w:rFonts w:ascii="Arial" w:hAnsi="Arial"/>
                <w:b w:val="0"/>
                <w:color w:val="000000"/>
                <w:sz w:val="18"/>
              </w:rPr>
              <w:t>Count qualifying cases; peak rank or isolated upsets do not suffice, and world No. 1 status is not required.</w:t>
            </w:r>
          </w:p>
        </w:tc>
      </w:tr>
      <w:tr>
        <w:trPr>
          <w:cantSplit/>
        </w:trPr>
        <w:tc>
          <w:tcPr>
            <w:tcW w:type="dxa" w:w="2016"/>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Change after expanded access</w:t>
            </w:r>
          </w:p>
        </w:tc>
        <w:tc>
          <w:tcPr>
            <w:tcW w:type="dxa" w:w="3240"/>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A registered prediction for a named cohort, intervention and period.</w:t>
            </w:r>
          </w:p>
        </w:tc>
        <w:tc>
          <w:tcPr>
            <w:tcW w:type="dxa" w:w="3960"/>
            <w:vAlign w:val="center"/>
            <w:shd w:fill="F2F5F7"/>
            <w:tcMar>
              <w:top w:w="100" w:type="dxa"/>
              <w:left w:w="100" w:type="dxa"/>
              <w:bottom w:w="100" w:type="dxa"/>
              <w:right w:w="100" w:type="dxa"/>
            </w:tcMar>
          </w:tcPr>
          <w:p>
            <w:pPr>
              <w:spacing w:after="40" w:before="40" w:line="247" w:lineRule="auto"/>
            </w:pPr>
            <w:r>
              <w:rPr>
                <w:rFonts w:ascii="Arial" w:hAnsi="Arial"/>
                <w:b w:val="0"/>
                <w:color w:val="000000"/>
                <w:sz w:val="18"/>
              </w:rPr>
              <w:t>Document exposure changes and compare observed transitions with both models’ forecasts.</w:t>
            </w:r>
          </w:p>
        </w:tc>
      </w:tr>
    </w:tbl>
    <w:p>
      <w:pPr>
        <w:spacing w:after="200" w:before="120"/>
        <w:jc w:val="center"/>
      </w:pPr>
      <w:r>
        <w:rPr>
          <w:i/>
          <w:sz w:val="18"/>
        </w:rPr>
        <w:t>Figure 6. Framework for evaluating competitive histories under the repeated-performance definition in Section I. A complete case census is not reported here. Record opponent strength, opportunities and sustained output before comparing observed frequencies with either model.</w:t>
      </w:r>
    </w:p>
    <w:p>
      <w:pPr>
        <w:pStyle w:val="Heading2"/>
      </w:pPr>
      <w:r>
        <w:rPr>
          <w:rFonts w:ascii="Calibri" w:hAnsi="Calibri" w:eastAsia="Calibri"/>
          <w:b/>
          <w:color w:val="000000"/>
          <w:sz w:val="24"/>
        </w:rPr>
        <w:t>Resources and Comparable Competition</w:t>
      </w:r>
    </w:p>
    <w:p>
      <w:r>
        <w:t>Resource comparisons require equivalent competitive contexts. Raw ladder rank or kill-to-death ratio cannot calibrate output across different opponent pools. The analysis should align title, region, event format, opposition and role, then measure salaries, paid places, coaching, practice access and development time. Event prize totals alone do not capture those inputs.</w:t>
      </w:r>
    </w:p>
    <w:p>
      <w:r>
        <w:t>Dedicated events establish that some support exists; they do not establish equal development conditions. The biological-plus-funnel hypothesis predicts additional performance selection after opportunity is measured. A useful funding test would therefore compare matched development cohorts and their later open results, rather than infer either resource sufficiency or resource deprivation from unmatched prize pools.</w:t>
      </w:r>
    </w:p>
    <w:p w14:paraId="1C3F1CFE" w14:textId="77777777" w:rsidR="00384025" w:rsidRPr="00384025" w:rsidRDefault="00384025" w:rsidP="00384025">
      <w:pPr>
        <w:pStyle w:val="Heading1"/>
      </w:pPr>
      <w:r>
        <w:rPr>
          <w:rFonts w:ascii="Calibri" w:hAnsi="Calibri" w:eastAsia="Calibri"/>
          <w:b/>
          <w:color w:val="000000"/>
          <w:sz w:val="28"/>
        </w:rPr>
        <w:t>IX. Conclusion</w:t>
      </w:r>
    </w:p>
    <w:p>
      <w:pPr/>
      <w:r>
        <w:t>The narrow conclusion is the stronger one. Shen measures MMO advancement. Rogstad synthesizes gendered esports culture. Neither directly measures the causal structure of the trained elite tail. Their evidence therefore does not test or refute the biological-plus-funnel model - but neither does that limitation turn historical roster patterns into a controlled causal test.</w:t>
      </w:r>
    </w:p>
    <w:p>
      <w:pPr/>
      <w:r>
        <w:t>Policy purpose and causal explanation should not be confused. Funding participation, reducing harassment, or improving player welfare can be worthwhile on their own terms without proving that those interventions will produce elite convergence. The stated objective and the measured outcome should stay aligned.</w:t>
      </w:r>
    </w:p>
    <w:p>
      <w:pPr/>
      <w:r>
        <w:t>A disparity is an observation, not a diagnosis. If a model infers its cause from the disparity and then treats continued disparity as confirmation that more of the same intervention is needed, the claim becomes difficult to correct. The remedy is not to ignore inequality; it is to identify the mechanism, predict what changing it should do, and test the result against the same performance standard.</w:t>
      </w:r>
    </w:p>
    <w:p>
      <w:pPr/>
      <w:r>
        <w:t>The comparative claim is sharper than "both matter." The biological-plus-funnel model predicts that measured performance traits and training conversion will add out-of-sample predictive value beyond specified exposure-and-opportunity accounts. Figure 2 states the contest in advance: comparable opportunity, longer training, concurrent task demand and held-out competitive outcomes should generate discriminating forecasts. The cultural literature examined here does not yet supply the linked measurements needed to adjudicate those forecasts, and the biological-plus-funnel advantage has not yet been demonstrated.</w:t>
      </w:r>
    </w:p>
    <w:p>
      <w:pPr/>
      <w:r>
        <w:t>The purpose of the two papers is to make the contest runnable. Paper 1 supplies a positive model and tests that can defeat it. Paper 2 shows that the cultural evidence examined here does not already contain the measurements needed to settle the elite-performance question. The corrected Shen-to-Rogstad case is developed in How a Proxy Became a Finding. The next step is measurement, not another round of inference from adjacent proxies.</w:t>
      </w:r>
    </w:p>
    <w:p w14:paraId="7C780C65" w14:textId="77777777" w:rsidR="00384025" w:rsidRPr="00384025" w:rsidRDefault="00384025" w:rsidP="00384025">
      <w:pPr>
        <w:pStyle w:val="Heading1"/>
      </w:pPr>
      <w:r>
        <w:rPr>
          <w:rFonts w:ascii="Calibri" w:hAnsi="Calibri" w:eastAsia="Calibri"/>
          <w:b/>
          <w:color w:val="000000"/>
          <w:sz w:val="28"/>
          <w:u w:val="none"/>
        </w:rPr>
        <w:t>References</w:t>
      </w:r>
    </w:p>
    <w:p w14:paraId="279F2FD4" w14:textId="77777777" w:rsidR="00384025" w:rsidRPr="00384025" w:rsidRDefault="00384025" w:rsidP="00384025">
      <w:pPr>
        <w:keepLines/>
      </w:pPr>
      <w:r>
        <w:rPr>
          <w:sz w:val="21"/>
        </w:rPr>
        <w:t xml:space="preserve">Backus, P., Cubel, M., Guid, M., Sánchez-Pagés, S., &amp; López Mañas, E. (2023). Gender, competition, and performance: Evidence from chess players. Quantitative Economics, 14(1), 349–380. </w:t>
      </w:r>
      <w:hyperlink r:id="rId24">
        <w:r>
          <w:rPr>
            <w:color w:val="244968"/>
            <w:u w:val="single"/>
            <w:sz w:val="21"/>
          </w:rPr>
          <w:t>https://doi.org/10.3982/QE1404</w:t>
        </w:r>
      </w:hyperlink>
      <w:r>
        <w:rPr>
          <w:sz w:val="21"/>
        </w:rPr>
      </w:r>
    </w:p>
    <w:p>
      <w:pPr/>
      <w:r>
        <w:rPr>
          <w:sz w:val="21"/>
        </w:rPr>
        <w:t>Brehm, A. L. (2013). Navigating the feminine in massively multiplayer online games: Gender in World of Warcraft. Frontiers in Psychology, 4, Article 903. https://doi.org/10.3389/fpsyg.2013.00903</w:t>
      </w:r>
    </w:p>
    <w:p w14:paraId="4C12F567" w14:textId="77777777" w:rsidR="00384025" w:rsidRPr="00384025" w:rsidRDefault="00384025" w:rsidP="00384025">
      <w:pPr/>
      <w:r>
        <w:rPr>
          <w:b w:val="0"/>
          <w:sz w:val="21"/>
          <w:u w:val="none"/>
        </w:rPr>
        <w:t>Connell, R. W., &amp; Messerschmidt, J. W. (2005). Hegemonic masculinity: Rethinking the</w:t>
      </w:r>
    </w:p>
    <w:p w14:paraId="0E5D5533" w14:textId="77777777" w:rsidR="00384025" w:rsidRPr="00384025" w:rsidRDefault="00384025" w:rsidP="00384025">
      <w:pPr/>
      <w:r>
        <w:rPr>
          <w:b w:val="0"/>
          <w:sz w:val="21"/>
          <w:u w:val="none"/>
        </w:rPr>
        <w:t>concept. Gender &amp; Society, 19(6), 829–859. https://doi.org/10.1177/0891243205278639</w:t>
      </w:r>
    </w:p>
    <w:p w14:paraId="2D9A44C5" w14:textId="77777777" w:rsidR="00384025" w:rsidRPr="00384025" w:rsidRDefault="00384025" w:rsidP="00384025">
      <w:pPr/>
      <w:r>
        <w:rPr>
          <w:b w:val="0"/>
          <w:sz w:val="21"/>
          <w:u w:val="none"/>
        </w:rPr>
        <w:t>Darvin, L., Holden, J., Wells, J., &amp; Baker, T. (2021). Breaking the glass monitor: Examining</w:t>
      </w:r>
    </w:p>
    <w:p w14:paraId="124CF8BC" w14:textId="77777777" w:rsidR="00384025" w:rsidRPr="00384025" w:rsidRDefault="00384025" w:rsidP="00384025">
      <w:pPr/>
      <w:r>
        <w:rPr>
          <w:b w:val="0"/>
          <w:sz w:val="21"/>
          <w:u w:val="none"/>
        </w:rPr>
        <w:t>the underrepresentation of women in esports environments. Sport Management Review,</w:t>
      </w:r>
    </w:p>
    <w:p w14:paraId="2DEEFC7F" w14:textId="77777777" w:rsidR="00384025" w:rsidRPr="00384025" w:rsidRDefault="00384025" w:rsidP="00384025">
      <w:pPr/>
      <w:r>
        <w:rPr>
          <w:b w:val="0"/>
          <w:sz w:val="21"/>
          <w:u w:val="none"/>
        </w:rPr>
        <w:t>24(3), 475–499. https://doi.org/10.1080/14413523.2021.1891746</w:t>
      </w:r>
    </w:p>
    <w:p w14:paraId="44595074" w14:textId="77777777" w:rsidR="00384025" w:rsidRPr="00384025" w:rsidRDefault="00384025" w:rsidP="00384025">
      <w:pPr/>
      <w:r>
        <w:rPr>
          <w:b w:val="0"/>
          <w:sz w:val="21"/>
          <w:u w:val="none"/>
        </w:rPr>
        <w:t>Darvin, L. (2021b). Esports gender diversity: A leisure constraints perspective. Sport</w:t>
      </w:r>
    </w:p>
    <w:p w14:paraId="31705473" w14:textId="77777777" w:rsidR="00384025" w:rsidRPr="00384025" w:rsidRDefault="00384025" w:rsidP="00384025">
      <w:pPr/>
      <w:r>
        <w:rPr>
          <w:b w:val="0"/>
          <w:sz w:val="21"/>
          <w:u w:val="none"/>
        </w:rPr>
        <w:t>Management Review, 24(3), 500–515.</w:t>
      </w:r>
    </w:p>
    <w:p w14:paraId="3D647F3E" w14:textId="77777777" w:rsidR="00384025" w:rsidRPr="00384025" w:rsidRDefault="00384025" w:rsidP="00384025">
      <w:pPr/>
      <w:r>
        <w:rPr>
          <w:b w:val="0"/>
          <w:sz w:val="21"/>
          <w:u w:val="none"/>
        </w:rPr>
        <w:t>Deaner, R. O., Geary, D. C., Puts, D. A., Ham, S. A., Kruger, J., Fles, E., Winegard, B., &amp;</w:t>
      </w:r>
    </w:p>
    <w:p w14:paraId="53724198" w14:textId="77777777" w:rsidR="00384025" w:rsidRPr="00384025" w:rsidRDefault="00384025" w:rsidP="00384025">
      <w:pPr/>
      <w:r>
        <w:rPr>
          <w:b w:val="0"/>
          <w:sz w:val="21"/>
          <w:u w:val="none"/>
        </w:rPr>
        <w:t>Grandis, T. (2012). A sex difference in the predisposition for physical competition: Males</w:t>
      </w:r>
    </w:p>
    <w:p w14:paraId="614B366A" w14:textId="77777777" w:rsidR="00384025" w:rsidRPr="00384025" w:rsidRDefault="00384025" w:rsidP="00384025">
      <w:pPr/>
      <w:r>
        <w:rPr>
          <w:b w:val="0"/>
          <w:sz w:val="21"/>
          <w:u w:val="none"/>
        </w:rPr>
        <w:t>play sports much more than females even in the contemporary U.S. PLOS ONE, 7(11),</w:t>
      </w:r>
    </w:p>
    <w:p w14:paraId="1D736451" w14:textId="77777777" w:rsidR="00384025" w:rsidRPr="00384025" w:rsidRDefault="00384025" w:rsidP="00384025">
      <w:pPr/>
      <w:r>
        <w:rPr>
          <w:b w:val="0"/>
          <w:sz w:val="21"/>
          <w:u w:val="none"/>
        </w:rPr>
        <w:t>e49168. https://doi.org/10.1371/journal.pone.0049168</w:t>
      </w:r>
    </w:p>
    <w:p w14:paraId="5610842D" w14:textId="77777777" w:rsidR="00384025" w:rsidRPr="00384025" w:rsidRDefault="00384025" w:rsidP="00384025">
      <w:pPr/>
      <w:r>
        <w:rPr>
          <w:b w:val="0"/>
          <w:sz w:val="21"/>
          <w:u w:val="none"/>
        </w:rPr>
        <w:t>Der, G., &amp; Deary, I. J. (2006). Age and sex differences in reaction time in adulthood: Results</w:t>
      </w:r>
    </w:p>
    <w:p w14:paraId="52AB8BBC" w14:textId="77777777" w:rsidR="00384025" w:rsidRPr="00384025" w:rsidRDefault="00384025" w:rsidP="00384025">
      <w:pPr/>
      <w:r>
        <w:rPr>
          <w:b w:val="0"/>
          <w:sz w:val="21"/>
          <w:u w:val="none"/>
        </w:rPr>
        <w:t>from the United Kingdom Health and Lifestyle Survey. Psychology and Aging, 21(1), 62–73.</w:t>
      </w:r>
    </w:p>
    <w:p w14:paraId="1A1C9FE3" w14:textId="77777777" w:rsidR="00384025" w:rsidRPr="00384025" w:rsidRDefault="00384025" w:rsidP="00384025">
      <w:pPr/>
      <w:r>
        <w:rPr>
          <w:b w:val="0"/>
          <w:sz w:val="21"/>
          <w:u w:val="none"/>
        </w:rPr>
        <w:t>https://doi.org/10.1037/0882-7974.21.1.62</w:t>
      </w:r>
    </w:p>
    <w:p w14:paraId="572E9337" w14:textId="77777777" w:rsidR="00384025" w:rsidRPr="00384025" w:rsidRDefault="00384025" w:rsidP="00384025">
      <w:pPr/>
      <w:r>
        <w:rPr>
          <w:b w:val="0"/>
          <w:sz w:val="21"/>
          <w:u w:val="none"/>
        </w:rPr>
        <w:t>Entertainment Software Association. (2023). 2023 essential facts about the video game</w:t>
      </w:r>
    </w:p>
    <w:p w14:paraId="30D29753" w14:textId="77777777" w:rsidR="00384025" w:rsidRPr="00384025" w:rsidRDefault="00384025" w:rsidP="00384025">
      <w:pPr/>
      <w:r>
        <w:rPr>
          <w:b w:val="0"/>
          <w:sz w:val="21"/>
          <w:u w:val="none"/>
        </w:rPr>
        <w:t>industry. ESA.</w:t>
      </w:r>
    </w:p>
    <w:p w14:paraId="1A0405AD" w14:textId="77777777" w:rsidR="00384025" w:rsidRPr="00384025" w:rsidRDefault="00384025" w:rsidP="00384025">
      <w:pPr/>
      <w:r>
        <w:rPr>
          <w:b w:val="0"/>
          <w:sz w:val="21"/>
          <w:u w:val="none"/>
        </w:rPr>
        <w:t>Feng, J., Spence, I., &amp; Pratt, J. (2007). Playing an action video game reduces gender</w:t>
      </w:r>
    </w:p>
    <w:p w14:paraId="275A6C01" w14:textId="77777777" w:rsidR="00384025" w:rsidRPr="00384025" w:rsidRDefault="00384025" w:rsidP="00384025">
      <w:pPr/>
      <w:r>
        <w:rPr>
          <w:b w:val="0"/>
          <w:sz w:val="21"/>
          <w:u w:val="none"/>
        </w:rPr>
        <w:t>differences in spatial cognition. Psychological Science, 18(10), 850–855.</w:t>
      </w:r>
    </w:p>
    <w:p w14:paraId="52EE3801" w14:textId="77777777" w:rsidR="00384025" w:rsidRPr="00384025" w:rsidRDefault="00384025" w:rsidP="00384025">
      <w:pPr/>
      <w:r>
        <w:rPr>
          <w:b w:val="0"/>
          <w:sz w:val="21"/>
          <w:u w:val="none"/>
        </w:rPr>
        <w:t>https://doi.org/10.1111/j.1467-9280.2007.01990.x</w:t>
      </w:r>
    </w:p>
    <w:p w14:paraId="17E76FCF" w14:textId="77777777" w:rsidR="00384025" w:rsidRPr="00384025" w:rsidRDefault="00384025" w:rsidP="00384025">
      <w:pPr/>
      <w:r>
        <w:rPr>
          <w:b w:val="0"/>
          <w:sz w:val="21"/>
          <w:u w:val="none"/>
        </w:rPr>
        <w:lastRenderedPageBreak/>
        <w:t>Fisher, J., &amp; Foust, J. (2022). #GirlGamers, soldiers, and public relations: Analyzing gender</w:t>
      </w:r>
    </w:p>
    <w:p w14:paraId="24B90BD4" w14:textId="77777777" w:rsidR="00384025" w:rsidRPr="00384025" w:rsidRDefault="00384025" w:rsidP="00384025">
      <w:pPr/>
      <w:r>
        <w:rPr>
          <w:b w:val="0"/>
          <w:sz w:val="21"/>
          <w:u w:val="none"/>
        </w:rPr>
        <w:t>representation in U.S. Army esports. Journal of Communication, 72(2), 165–186.</w:t>
      </w:r>
    </w:p>
    <w:p w14:paraId="6A077D42" w14:textId="77777777" w:rsidR="00384025" w:rsidRPr="00384025" w:rsidRDefault="00384025" w:rsidP="00384025">
      <w:pPr/>
      <w:r>
        <w:rPr>
          <w:b w:val="0"/>
          <w:sz w:val="21"/>
          <w:u w:val="none"/>
        </w:rPr>
        <w:t>https://doi.org/10.1093/joc/jqab051</w:t>
      </w:r>
    </w:p>
    <w:p>
      <w:pPr/>
      <w:r>
        <w:rPr>
          <w:sz w:val="21"/>
        </w:rPr>
        <w:t>Fortim, I., &amp; de Moura Grando, C. (2013). Attention whore! Perception of female players who identify themselves as women in the communities of MMOs. Proceedings of DiGRA 2013: DeFragging Game Studies.</w:t>
      </w:r>
    </w:p>
    <w:p w14:paraId="207B20AD" w14:textId="77777777" w:rsidR="00384025" w:rsidRPr="00384025" w:rsidRDefault="00384025" w:rsidP="00384025">
      <w:pPr/>
      <w:r>
        <w:rPr>
          <w:b w:val="0"/>
          <w:sz w:val="21"/>
          <w:u w:val="none"/>
        </w:rPr>
        <w:t>Gur, R. C., Tupak, S. F., Loughead, J., Napolitano, M., Abu-Ramadan, M., Whalen, B., &amp; Gur,</w:t>
      </w:r>
    </w:p>
    <w:p w14:paraId="2EA155FB" w14:textId="77777777" w:rsidR="00384025" w:rsidRPr="00384025" w:rsidRDefault="00384025" w:rsidP="00384025">
      <w:pPr/>
      <w:r>
        <w:rPr>
          <w:b w:val="0"/>
          <w:sz w:val="21"/>
          <w:u w:val="none"/>
        </w:rPr>
        <w:t>R. E. (2012). Sex differences in brain connectivity: A diffusion MRI study. Proceedings of the</w:t>
      </w:r>
    </w:p>
    <w:p w14:paraId="7E6C3C72" w14:textId="77777777" w:rsidR="00384025" w:rsidRPr="00384025" w:rsidRDefault="00384025" w:rsidP="00384025">
      <w:pPr/>
      <w:r>
        <w:rPr>
          <w:b w:val="0"/>
          <w:sz w:val="21"/>
          <w:u w:val="none"/>
        </w:rPr>
        <w:t>National Academy of Sciences, 109(47), 19061–19066.</w:t>
      </w:r>
    </w:p>
    <w:p w14:paraId="1957DF72" w14:textId="77777777" w:rsidR="00384025" w:rsidRPr="00384025" w:rsidRDefault="00384025" w:rsidP="00384025">
      <w:pPr/>
      <w:r>
        <w:rPr>
          <w:b w:val="0"/>
          <w:sz w:val="21"/>
          <w:u w:val="none"/>
        </w:rPr>
        <w:t>https://doi.org/10.1073/pnas.1113226109</w:t>
      </w:r>
    </w:p>
    <w:p w14:paraId="5B23DFF8" w14:textId="77777777" w:rsidR="00384025" w:rsidRPr="00384025" w:rsidRDefault="00384025" w:rsidP="00384025">
      <w:pPr/>
      <w:r>
        <w:rPr>
          <w:b w:val="0"/>
          <w:sz w:val="21"/>
          <w:u w:val="none"/>
        </w:rPr>
        <w:t>Hao, L., Lv, Q., Zhang, X., Jiang, Q., Liu, S., &amp; Ping, L. (2020). Conquering gender stereotype</w:t>
      </w:r>
    </w:p>
    <w:p w14:paraId="0A5418D8" w14:textId="77777777" w:rsidR="00384025" w:rsidRPr="00384025" w:rsidRDefault="00384025" w:rsidP="00384025">
      <w:pPr/>
      <w:r>
        <w:rPr>
          <w:b w:val="0"/>
          <w:sz w:val="21"/>
          <w:u w:val="none"/>
        </w:rPr>
        <w:t>threat in digit sports: Effects of gender swapping on female players’ continuous</w:t>
      </w:r>
    </w:p>
    <w:p w14:paraId="5749D196" w14:textId="77777777" w:rsidR="00384025" w:rsidRPr="00384025" w:rsidRDefault="00384025" w:rsidP="00384025">
      <w:pPr/>
      <w:r>
        <w:rPr>
          <w:b w:val="0"/>
          <w:sz w:val="21"/>
          <w:u w:val="none"/>
        </w:rPr>
        <w:t>participation intention in esports. Scientific Programming, 2020, Article 8818588.</w:t>
      </w:r>
    </w:p>
    <w:p w14:paraId="45FA4D65" w14:textId="77777777" w:rsidR="00384025" w:rsidRPr="00384025" w:rsidRDefault="00384025" w:rsidP="00384025">
      <w:pPr/>
      <w:r>
        <w:rPr>
          <w:b w:val="0"/>
          <w:sz w:val="21"/>
          <w:u w:val="none"/>
        </w:rPr>
        <w:t>https://doi.org/10.1155/2020/8818588</w:t>
      </w:r>
    </w:p>
    <w:p w14:paraId="2E77F6BB" w14:textId="77777777" w:rsidR="00384025" w:rsidRPr="00384025" w:rsidRDefault="00384025" w:rsidP="00384025">
      <w:pPr>
        <w:keepLines/>
      </w:pPr>
      <w:r>
        <w:rPr>
          <w:sz w:val="21"/>
        </w:rPr>
        <w:t xml:space="preserve">Harwell, K. W., Boot, W. R., &amp; Ericsson, K. A. (2018). Looking behind the score: Skill structure explains sex differences in skilled video game performance. PLOS ONE, 13(5), e0197311. </w:t>
      </w:r>
      <w:hyperlink r:id="rId27">
        <w:r>
          <w:rPr>
            <w:color w:val="244968"/>
            <w:u w:val="single"/>
            <w:sz w:val="21"/>
          </w:rPr>
          <w:t>https://doi.org/10.1371/journal.pone.0197311</w:t>
        </w:r>
      </w:hyperlink>
      <w:r>
        <w:rPr>
          <w:sz w:val="21"/>
        </w:rPr>
      </w:r>
    </w:p>
    <w:p>
      <w:pPr>
        <w:keepLines/>
      </w:pPr>
      <w:pPr/>
      <w:r>
        <w:t>How a Proxy Became a Finding. (2026). yungmulaBABY. Merged construct-and-citation audit.</w:t>
      </w:r>
    </w:p>
    <w:p>
      <w:pPr>
        <w:keepLines/>
      </w:pPr>
      <w:pPr/>
      <w:r>
        <w:rPr>
          <w:sz w:val="21"/>
        </w:rPr>
        <w:t xml:space="preserve">International Chess Federation. (2026, July 23). Judit Polgar turns 50: Celebrating a chess legend. </w:t>
      </w:r>
      <w:hyperlink r:id="rId32">
        <w:r>
          <w:rPr>
            <w:color w:val="244968"/>
            <w:u w:val="single"/>
            <w:sz w:val="21"/>
          </w:rPr>
          <w:t>https://www.fide.com/judit-polgar-turns-50-celebrating-a-chess-legend/</w:t>
        </w:r>
      </w:hyperlink>
      <w:r>
        <w:rPr>
          <w:sz w:val="21"/>
        </w:rPr>
      </w:r>
    </w:p>
    <w:p w14:paraId="1F285AE8" w14:textId="77777777" w:rsidR="00384025" w:rsidRPr="00384025" w:rsidRDefault="00384025" w:rsidP="00384025">
      <w:pPr>
        <w:keepLines/>
      </w:pPr>
      <w:r>
        <w:rPr>
          <w:sz w:val="21"/>
        </w:rPr>
        <w:t xml:space="preserve">Jacobs, O. L., Andrinopoulos, K., Steeves, J. K. E., &amp; Kingstone, A. (2024). Sex differences persist in visuospatial mental rotation under 3D VR conditions. PLOS ONE, 19(11), e0314270. </w:t>
      </w:r>
      <w:hyperlink r:id="rId28">
        <w:r>
          <w:rPr>
            <w:color w:val="244968"/>
            <w:u w:val="single"/>
            <w:sz w:val="21"/>
          </w:rPr>
          <w:t>https://doi.org/10.1371/journal.pone.0314270</w:t>
        </w:r>
      </w:hyperlink>
      <w:r>
        <w:rPr>
          <w:sz w:val="21"/>
        </w:rPr>
      </w:r>
    </w:p>
    <w:p>
      <w:pPr>
        <w:keepLines/>
      </w:pPr>
      <w:pPr/>
      <w:r>
        <w:rPr>
          <w:sz w:val="21"/>
        </w:rPr>
        <w:t xml:space="preserve">Jin, P., Zhao, Z.-Q., &amp; Zhu, X.-F. (2023). The relationship between sport types, sex and visual attention as assessed in a multiple object tracking task. Frontiers in Psychology, 14, Article 1099254. </w:t>
      </w:r>
      <w:hyperlink r:id="rId31">
        <w:r>
          <w:rPr>
            <w:color w:val="244968"/>
            <w:u w:val="single"/>
            <w:sz w:val="21"/>
          </w:rPr>
          <w:t>https://doi.org/10.3389/fpsyg.2023.1099254</w:t>
        </w:r>
      </w:hyperlink>
      <w:r>
        <w:rPr>
          <w:sz w:val="21"/>
        </w:rPr>
      </w:r>
    </w:p>
    <w:p w14:paraId="6B8E5269" w14:textId="77777777" w:rsidR="00384025" w:rsidRPr="00384025" w:rsidRDefault="00384025" w:rsidP="00384025">
      <w:pPr/>
      <w:r>
        <w:rPr>
          <w:b w:val="0"/>
          <w:sz w:val="21"/>
          <w:u w:val="none"/>
        </w:rPr>
        <w:t>Kanter, R. M. (1977). Men and women of the corporation. Basic Books.</w:t>
      </w:r>
    </w:p>
    <w:p w14:paraId="4DFC8526" w14:textId="77777777" w:rsidR="00384025" w:rsidRPr="00384025" w:rsidRDefault="00384025" w:rsidP="00384025">
      <w:pPr/>
      <w:r>
        <w:rPr>
          <w:b w:val="0"/>
          <w:sz w:val="21"/>
          <w:u w:val="none"/>
        </w:rPr>
        <w:t>Kaye, L. K., &amp; Pennington, C. R. (2016). “You can’t watch this!”: Stereotype threat predicts</w:t>
      </w:r>
    </w:p>
    <w:p w14:paraId="6B8CD825" w14:textId="77777777" w:rsidR="00384025" w:rsidRPr="00384025" w:rsidRDefault="00384025" w:rsidP="00384025">
      <w:pPr/>
      <w:r>
        <w:rPr>
          <w:b w:val="0"/>
          <w:sz w:val="21"/>
          <w:u w:val="none"/>
        </w:rPr>
        <w:t>female observers’ video-gaming performance. Computers in Human Behavior, 59, 240–244.</w:t>
      </w:r>
    </w:p>
    <w:p w14:paraId="154CFF60" w14:textId="77777777" w:rsidR="00384025" w:rsidRPr="00384025" w:rsidRDefault="00384025" w:rsidP="00384025">
      <w:pPr/>
      <w:r>
        <w:rPr>
          <w:b w:val="0"/>
          <w:sz w:val="21"/>
          <w:u w:val="none"/>
        </w:rPr>
        <w:t>https://doi.org/10.1016/j.chb.2016.02.016</w:t>
      </w:r>
    </w:p>
    <w:p w14:paraId="45EDCA22" w14:textId="77777777" w:rsidR="00384025" w:rsidRPr="00384025" w:rsidRDefault="00384025" w:rsidP="00384025">
      <w:pPr/>
      <w:r>
        <w:rPr>
          <w:b w:val="0"/>
          <w:sz w:val="21"/>
          <w:u w:val="none"/>
        </w:rPr>
        <w:t>Kordyaka, B., Pumplun, L., Brunnhofer, M., Kruse, B., &amp; Laato, S. (2023). Gender disparities</w:t>
      </w:r>
    </w:p>
    <w:p w14:paraId="4E706666" w14:textId="77777777" w:rsidR="00384025" w:rsidRPr="00384025" w:rsidRDefault="00384025" w:rsidP="00384025">
      <w:pPr/>
      <w:r>
        <w:rPr>
          <w:b w:val="0"/>
          <w:sz w:val="21"/>
          <w:u w:val="none"/>
        </w:rPr>
        <w:t>in esports – An explanatory mixed-methods approach. Computers in Human Behavior, 149,</w:t>
      </w:r>
    </w:p>
    <w:p w14:paraId="49152E0C" w14:textId="77777777" w:rsidR="00384025" w:rsidRPr="00384025" w:rsidRDefault="00384025" w:rsidP="00384025">
      <w:pPr/>
      <w:r>
        <w:rPr>
          <w:b w:val="0"/>
          <w:sz w:val="21"/>
          <w:u w:val="none"/>
        </w:rPr>
        <w:t>Article 107956. https://doi.org/10.1016/j.chb.2023.107956</w:t>
      </w:r>
    </w:p>
    <w:p>
      <w:pPr>
        <w:keepLines/>
      </w:pPr>
      <w:pPr/>
      <w:r>
        <w:rPr>
          <w:sz w:val="21"/>
        </w:rPr>
        <w:t xml:space="preserve">Kuss, D. J., &amp; Vadapalli, S. K. (2025). A systematic review of the current state and challenges to the representation of women in esports. Discover Psychology, 5, Article 51. </w:t>
      </w:r>
      <w:hyperlink r:id="rId15">
        <w:r>
          <w:rPr>
            <w:color w:val="244968"/>
            <w:u w:val="single"/>
            <w:sz w:val="21"/>
          </w:rPr>
          <w:t>https://doi.org/10.1007/s44202-025-00387-8</w:t>
        </w:r>
      </w:hyperlink>
      <w:r>
        <w:rPr>
          <w:sz w:val="21"/>
        </w:rPr>
      </w:r>
    </w:p>
    <w:p w14:paraId="4C9457C7" w14:textId="77777777" w:rsidR="00384025" w:rsidRPr="00384025" w:rsidRDefault="00384025" w:rsidP="00384025">
      <w:pPr/>
      <w:r>
        <w:rPr>
          <w:b w:val="0"/>
          <w:sz w:val="21"/>
          <w:u w:val="none"/>
        </w:rPr>
        <w:lastRenderedPageBreak/>
        <w:t>Lencer, R., Trillenberg, P., Trillenberg-Krecker, K., Junghanns, K., Kordon, A., Broocks, A.,</w:t>
      </w:r>
    </w:p>
    <w:p w14:paraId="71F849D4" w14:textId="77777777" w:rsidR="00384025" w:rsidRPr="00384025" w:rsidRDefault="00384025" w:rsidP="00384025">
      <w:pPr/>
      <w:r>
        <w:rPr>
          <w:b w:val="0"/>
          <w:sz w:val="21"/>
          <w:u w:val="none"/>
        </w:rPr>
        <w:t>Hohagen, F., Heide, W., &amp; Arolt, V. (2003). Smooth pursuit deficits in schizophrenia,</w:t>
      </w:r>
    </w:p>
    <w:p w14:paraId="5D35305E" w14:textId="77777777" w:rsidR="00384025" w:rsidRPr="00384025" w:rsidRDefault="00384025" w:rsidP="00384025">
      <w:pPr/>
      <w:r>
        <w:rPr>
          <w:b w:val="0"/>
          <w:sz w:val="21"/>
          <w:u w:val="none"/>
        </w:rPr>
        <w:t>affective disorder and obsessive-compulsive disorder. Psychological Medicine, 33(5), 875–</w:t>
      </w:r>
    </w:p>
    <w:p w14:paraId="5C8D64C8" w14:textId="77777777" w:rsidR="00384025" w:rsidRPr="00384025" w:rsidRDefault="00384025" w:rsidP="00384025">
      <w:pPr/>
      <w:r>
        <w:rPr>
          <w:b w:val="0"/>
          <w:sz w:val="21"/>
          <w:u w:val="none"/>
        </w:rPr>
        <w:t>884.</w:t>
      </w:r>
    </w:p>
    <w:p w14:paraId="3760364E" w14:textId="77777777" w:rsidR="00384025" w:rsidRPr="00384025" w:rsidRDefault="00384025" w:rsidP="00384025">
      <w:pPr>
        <w:keepLines/>
      </w:pPr>
      <w:r>
        <w:rPr>
          <w:sz w:val="21"/>
        </w:rPr>
        <w:t xml:space="preserve">Li, A., Glickman, M. E., &amp; Chabris, C. F. (2025). Across the board: Sex, ratings, and retention in competitive chess. CHANCE, 38(3), 11–19. </w:t>
      </w:r>
      <w:hyperlink r:id="rId29">
        <w:r>
          <w:rPr>
            <w:color w:val="244968"/>
            <w:u w:val="single"/>
            <w:sz w:val="21"/>
          </w:rPr>
          <w:t>https://doi.org/10.1080/09332480.2025.2560279</w:t>
        </w:r>
      </w:hyperlink>
      <w:r>
        <w:rPr>
          <w:sz w:val="21"/>
        </w:rPr>
      </w:r>
    </w:p>
    <w:p w14:paraId="6FB44EDD" w14:textId="77777777" w:rsidR="00384025" w:rsidRPr="00384025" w:rsidRDefault="00384025" w:rsidP="00384025">
      <w:pPr/>
      <w:r>
        <w:rPr>
          <w:b w:val="0"/>
          <w:sz w:val="21"/>
          <w:u w:val="none"/>
        </w:rPr>
        <w:t>Madden, D., Liu, Y., Yu, H., Sonbudak, M. F., Troiano, G. M., &amp; Harteveld, C. (2021). Why are</w:t>
      </w:r>
    </w:p>
    <w:p w14:paraId="734263B3" w14:textId="77777777" w:rsidR="00384025" w:rsidRPr="00384025" w:rsidRDefault="00384025" w:rsidP="00384025">
      <w:pPr/>
      <w:r>
        <w:rPr>
          <w:b w:val="0"/>
          <w:sz w:val="21"/>
          <w:u w:val="none"/>
        </w:rPr>
        <w:t>you playing games? You are a girl! Exploring gender biases in esports. In Proceedings of the</w:t>
      </w:r>
    </w:p>
    <w:p w14:paraId="54F7CE20" w14:textId="77777777" w:rsidR="00384025" w:rsidRPr="00384025" w:rsidRDefault="00384025" w:rsidP="00384025">
      <w:pPr/>
      <w:r>
        <w:rPr>
          <w:b w:val="0"/>
          <w:sz w:val="21"/>
          <w:u w:val="none"/>
        </w:rPr>
        <w:t>2021 CHI Conference on Human Factors in Computing Systems (Article 551). ACM.</w:t>
      </w:r>
    </w:p>
    <w:p w14:paraId="41AB8475" w14:textId="77777777" w:rsidR="00384025" w:rsidRPr="00384025" w:rsidRDefault="00384025" w:rsidP="00384025">
      <w:pPr/>
      <w:r>
        <w:rPr>
          <w:b w:val="0"/>
          <w:sz w:val="21"/>
          <w:u w:val="none"/>
        </w:rPr>
        <w:t>https://doi.org/10.1145/3411764.3445248</w:t>
      </w:r>
    </w:p>
    <w:p w14:paraId="6C054661" w14:textId="77777777" w:rsidR="00384025" w:rsidRPr="00384025" w:rsidRDefault="00384025" w:rsidP="00384025">
      <w:pPr>
        <w:keepLines/>
      </w:pPr>
      <w:r>
        <w:rPr>
          <w:sz w:val="21"/>
        </w:rPr>
        <w:t xml:space="preserve">Mathew, J., Masson, G. S., &amp; Danion, F. R. (2020). Sex differences in visuomotor tracking. Scientific Reports, 10, Article 11863. </w:t>
      </w:r>
      <w:hyperlink r:id="rId30">
        <w:r>
          <w:rPr>
            <w:color w:val="244968"/>
            <w:u w:val="single"/>
            <w:sz w:val="21"/>
          </w:rPr>
          <w:t>https://doi.org/10.1038/s41598-020-68069-0</w:t>
        </w:r>
      </w:hyperlink>
      <w:r>
        <w:rPr>
          <w:sz w:val="21"/>
        </w:rPr>
      </w:r>
    </w:p>
    <w:p w14:paraId="29C8D001" w14:textId="77777777" w:rsidR="00384025" w:rsidRPr="00384025" w:rsidRDefault="00384025" w:rsidP="00384025">
      <w:pPr/>
      <w:r>
        <w:rPr>
          <w:b w:val="0"/>
          <w:sz w:val="21"/>
          <w:u w:val="none"/>
        </w:rPr>
        <w:t>Newzoo. (2023). Global games market report 2023. Newzoo.</w:t>
      </w:r>
    </w:p>
    <w:p w14:paraId="17E06CD7" w14:textId="77777777" w:rsidR="00384025" w:rsidRPr="00384025" w:rsidRDefault="00384025" w:rsidP="00384025">
      <w:pPr/>
      <w:r>
        <w:rPr>
          <w:b w:val="0"/>
          <w:sz w:val="21"/>
          <w:u w:val="none"/>
        </w:rPr>
        <w:t>Paaßen, B., Morgenroth, T., &amp; Stratemeyer, M. (2017). What is a true gamer? The male</w:t>
      </w:r>
    </w:p>
    <w:p w14:paraId="17BC299B" w14:textId="77777777" w:rsidR="00384025" w:rsidRPr="00384025" w:rsidRDefault="00384025" w:rsidP="00384025">
      <w:pPr/>
      <w:r>
        <w:rPr>
          <w:b w:val="0"/>
          <w:sz w:val="21"/>
          <w:u w:val="none"/>
        </w:rPr>
        <w:t>gamer stereotype and the marginalization of women in video game culture. Sex Roles, 76(7–</w:t>
      </w:r>
    </w:p>
    <w:p w14:paraId="2894ED50" w14:textId="77777777" w:rsidR="00384025" w:rsidRPr="00384025" w:rsidRDefault="00384025" w:rsidP="00384025">
      <w:pPr/>
      <w:r>
        <w:rPr>
          <w:b w:val="0"/>
          <w:sz w:val="21"/>
          <w:u w:val="none"/>
        </w:rPr>
        <w:t>8), 421–435. https://doi.org/10.1007/s11199-016-0678-y</w:t>
      </w:r>
    </w:p>
    <w:p>
      <w:pPr/>
      <w:r>
        <w:rPr>
          <w:sz w:val="21"/>
        </w:rPr>
        <w:t>Patrizio, A. (2001). Long day's journey into tights. Wired.</w:t>
      </w:r>
    </w:p>
    <w:p w14:paraId="7460CCE8" w14:textId="77777777" w:rsidR="00384025" w:rsidRPr="00384025" w:rsidRDefault="00384025" w:rsidP="00384025">
      <w:pPr/>
      <w:r>
        <w:rPr>
          <w:b w:val="0"/>
          <w:sz w:val="21"/>
          <w:u w:val="none"/>
        </w:rPr>
        <w:t>Piggott, L., Tjønndal, A., &amp; Hovden, J. (2022). Leadership and gender inclusion in esports</w:t>
      </w:r>
    </w:p>
    <w:p w14:paraId="40A1DEFC" w14:textId="77777777" w:rsidR="00384025" w:rsidRPr="00384025" w:rsidRDefault="00384025" w:rsidP="00384025">
      <w:pPr/>
      <w:r>
        <w:rPr>
          <w:b w:val="0"/>
          <w:sz w:val="21"/>
          <w:u w:val="none"/>
        </w:rPr>
        <w:t>organisations. In A. Tjønndal (Ed.), Social issues in esports (pp. 46–64). Routledge.</w:t>
      </w:r>
    </w:p>
    <w:p>
      <w:pPr>
        <w:keepLines/>
      </w:pPr>
      <w:pPr/>
      <w:r>
        <w:rPr>
          <w:sz w:val="21"/>
        </w:rPr>
        <w:t xml:space="preserve">Ratan, R., Shen, C., &amp; Williams, D. (2020). Men do not rule the World of Tanks: Negating the gender-performance gap in a spatial-action game by controlling for time played. American Behavioral Scientist, 64(7), 1031–1043. </w:t>
      </w:r>
      <w:hyperlink r:id="rId17">
        <w:r>
          <w:rPr>
            <w:color w:val="244968"/>
            <w:u w:val="single"/>
            <w:sz w:val="21"/>
          </w:rPr>
          <w:t>https://doi.org/10.1177/0002764220919147</w:t>
        </w:r>
      </w:hyperlink>
      <w:r>
        <w:rPr>
          <w:sz w:val="21"/>
        </w:rPr>
      </w:r>
    </w:p>
    <w:p w14:paraId="1CF44962" w14:textId="77777777" w:rsidR="00384025" w:rsidRPr="00384025" w:rsidRDefault="00384025" w:rsidP="00384025">
      <w:pPr/>
      <w:r>
        <w:rPr>
          <w:b w:val="0"/>
          <w:sz w:val="21"/>
          <w:u w:val="none"/>
        </w:rPr>
        <w:t>Ratan, R. A., Taylor, N., Hogan, J., Kennedy, T., &amp; Williams, D. (2015). Stand by your man: An</w:t>
      </w:r>
    </w:p>
    <w:p w14:paraId="62AFF44A" w14:textId="77777777" w:rsidR="00384025" w:rsidRPr="00384025" w:rsidRDefault="00384025" w:rsidP="00384025">
      <w:pPr/>
      <w:r>
        <w:rPr>
          <w:b w:val="0"/>
          <w:sz w:val="21"/>
          <w:u w:val="none"/>
        </w:rPr>
        <w:t>examination of gender disparity in League of Legends. Games and Culture, 10(5), 438–462.</w:t>
      </w:r>
    </w:p>
    <w:p w14:paraId="133BA3DC" w14:textId="77777777" w:rsidR="00384025" w:rsidRPr="00384025" w:rsidRDefault="00384025" w:rsidP="00384025">
      <w:pPr/>
      <w:r>
        <w:rPr>
          <w:b w:val="0"/>
          <w:sz w:val="21"/>
          <w:u w:val="none"/>
        </w:rPr>
        <w:t>https://doi.org/10.1177/1555412014567228</w:t>
      </w:r>
    </w:p>
    <w:p w14:paraId="7209F4C1" w14:textId="77777777" w:rsidR="00384025" w:rsidRPr="00384025" w:rsidRDefault="00384025" w:rsidP="00384025">
      <w:pPr/>
      <w:r>
        <w:rPr>
          <w:b w:val="0"/>
          <w:sz w:val="21"/>
          <w:u w:val="none"/>
        </w:rPr>
        <w:t>Rogstad, E. T. (2022). Gender in eSports research: A literature review. European Journal for</w:t>
      </w:r>
    </w:p>
    <w:p w14:paraId="02FF750C" w14:textId="77777777" w:rsidR="00384025" w:rsidRPr="00384025" w:rsidRDefault="00384025" w:rsidP="00384025">
      <w:pPr/>
      <w:r>
        <w:rPr>
          <w:b w:val="0"/>
          <w:sz w:val="21"/>
          <w:u w:val="none"/>
        </w:rPr>
        <w:t>Sport and Society, 19(3), 195–213. https://doi.org/10.1080/16138171.2021.1930941</w:t>
      </w:r>
    </w:p>
    <w:p w14:paraId="1D39F440" w14:textId="77777777" w:rsidR="00384025" w:rsidRPr="00384025" w:rsidRDefault="00384025" w:rsidP="00384025">
      <w:pPr/>
      <w:r>
        <w:rPr>
          <w:b w:val="0"/>
          <w:sz w:val="21"/>
          <w:u w:val="none"/>
        </w:rPr>
        <w:lastRenderedPageBreak/>
        <w:t>Ruvalcaba, O., Shulze, J., Kim, A., Berzenski, S. R., &amp; Otten, M. P. (2018). Women’s</w:t>
      </w:r>
    </w:p>
    <w:p w14:paraId="535BF924" w14:textId="77777777" w:rsidR="00384025" w:rsidRPr="00384025" w:rsidRDefault="00384025" w:rsidP="00384025">
      <w:pPr/>
      <w:r>
        <w:rPr>
          <w:b w:val="0"/>
          <w:sz w:val="21"/>
          <w:u w:val="none"/>
        </w:rPr>
        <w:t>experiences in eSports: Gendered differences in peer and spectator feedback during</w:t>
      </w:r>
    </w:p>
    <w:p w14:paraId="0A71CC46" w14:textId="77777777" w:rsidR="00384025" w:rsidRPr="00384025" w:rsidRDefault="00384025" w:rsidP="00384025">
      <w:pPr/>
      <w:r>
        <w:rPr>
          <w:b w:val="0"/>
          <w:sz w:val="21"/>
          <w:u w:val="none"/>
        </w:rPr>
        <w:t>competitive video game play. Journal of Sport and Social Issues, 42(4), 295–311.</w:t>
      </w:r>
    </w:p>
    <w:p w14:paraId="4AB64603" w14:textId="77777777" w:rsidR="00384025" w:rsidRPr="00384025" w:rsidRDefault="00384025" w:rsidP="00384025">
      <w:pPr/>
      <w:r>
        <w:rPr>
          <w:b w:val="0"/>
          <w:sz w:val="21"/>
          <w:u w:val="none"/>
        </w:rPr>
        <w:t>https://doi.org/10.1177/0193723518773287</w:t>
      </w:r>
    </w:p>
    <w:p w14:paraId="4DA8BDDA" w14:textId="77777777" w:rsidR="00384025" w:rsidRPr="00384025" w:rsidRDefault="00384025" w:rsidP="00384025">
      <w:pPr/>
      <w:r>
        <w:rPr>
          <w:sz w:val="21"/>
        </w:rPr>
        <w:t>Shen, C., &amp; Williams, D. (2011). Unpacking time online: Connecting Internet and massively multiplayer online game use with psychosocial well-being. Communication Research, 38(1), 123-149. https://doi.org/10.1177/0093650210377196</w:t>
      </w:r>
    </w:p>
    <w:p w14:paraId="4DA8BDDA" w14:textId="77777777" w:rsidR="00384025" w:rsidRPr="00384025" w:rsidRDefault="00384025" w:rsidP="00384025">
      <w:pPr/>
      <w:r>
        <w:rPr>
          <w:sz w:val="21"/>
        </w:rPr>
        <w:t>Shen, C., Monge, P., &amp; Williams, D. (2014). Virtual brokerage and closure: Network structure and social capital in a massively multiplayer online game. Communication Research, 41(4), 459-480. https://doi.org/10.1177/0093650212455197</w:t>
      </w:r>
    </w:p>
    <w:p w14:paraId="4DA8BDDA" w14:textId="77777777" w:rsidR="00384025" w:rsidRPr="00384025" w:rsidRDefault="00384025" w:rsidP="00384025">
      <w:pPr/>
      <w:r>
        <w:rPr>
          <w:b w:val="0"/>
          <w:sz w:val="21"/>
          <w:u w:val="none"/>
        </w:rPr>
        <w:t>Shen, C., Ratan, R., Cai, Y. D., &amp; Leavitt, A. (2016). Do men advance faster than women?</w:t>
      </w:r>
    </w:p>
    <w:p w14:paraId="5D882916" w14:textId="77777777" w:rsidR="00384025" w:rsidRPr="00384025" w:rsidRDefault="00384025" w:rsidP="00384025">
      <w:pPr/>
      <w:r>
        <w:rPr>
          <w:b w:val="0"/>
          <w:sz w:val="21"/>
          <w:u w:val="none"/>
        </w:rPr>
        <w:t>Debunking the gender performance gap in two massively multiplayer online games. Journal</w:t>
      </w:r>
    </w:p>
    <w:p w14:paraId="4B9D297A" w14:textId="77777777" w:rsidR="00384025" w:rsidRPr="00384025" w:rsidRDefault="00384025" w:rsidP="00384025">
      <w:pPr/>
      <w:r>
        <w:rPr>
          <w:b w:val="0"/>
          <w:sz w:val="21"/>
          <w:u w:val="none"/>
        </w:rPr>
        <w:t>of Computer-Mediated Communication, 21(4), 312–329. https://doi.org/10.1111/jcc4.12159</w:t>
      </w:r>
    </w:p>
    <w:p w14:paraId="674D0A28" w14:textId="77777777" w:rsidR="00384025" w:rsidRPr="00384025" w:rsidRDefault="00384025" w:rsidP="00384025">
      <w:pPr/>
      <w:r>
        <w:rPr>
          <w:b w:val="0"/>
          <w:sz w:val="21"/>
          <w:u w:val="none"/>
        </w:rPr>
        <w:t>Silverman, I. W. (2006). Sex differences in simple visual reaction time: A historical meta-</w:t>
      </w:r>
    </w:p>
    <w:p w14:paraId="118B7C66" w14:textId="77777777" w:rsidR="00384025" w:rsidRPr="00384025" w:rsidRDefault="00384025" w:rsidP="00384025">
      <w:pPr>
        <w:keepLines/>
      </w:pPr>
      <w:r>
        <w:rPr>
          <w:sz w:val="21"/>
        </w:rPr>
        <w:t xml:space="preserve">analysis. Sex Roles, 54(1–2), 57–68. </w:t>
      </w:r>
      <w:hyperlink r:id="rId33">
        <w:r>
          <w:rPr>
            <w:color w:val="244968"/>
            <w:u w:val="single"/>
            <w:sz w:val="21"/>
          </w:rPr>
          <w:t>https://doi.org/10.1007/s11199-006-8869-6</w:t>
        </w:r>
      </w:hyperlink>
      <w:r>
        <w:rPr>
          <w:sz w:val="21"/>
        </w:rPr>
      </w:r>
    </w:p>
    <w:p w14:paraId="4EDA4CEE" w14:textId="77777777" w:rsidR="00384025" w:rsidRPr="00384025" w:rsidRDefault="00384025" w:rsidP="00384025">
      <w:pPr/>
      <w:r>
        <w:rPr>
          <w:b w:val="0"/>
          <w:sz w:val="21"/>
          <w:u w:val="none"/>
        </w:rPr>
        <w:t>Su, R., Rounds, J., &amp; Armstrong, P. I. (2009). Men and things, women and people: A meta-</w:t>
      </w:r>
    </w:p>
    <w:p w14:paraId="27C62639" w14:textId="77777777" w:rsidR="00384025" w:rsidRPr="00384025" w:rsidRDefault="00384025" w:rsidP="00384025">
      <w:pPr/>
      <w:r>
        <w:rPr>
          <w:b w:val="0"/>
          <w:sz w:val="21"/>
          <w:u w:val="none"/>
        </w:rPr>
        <w:t>analysis of sex differences in interests. Psychological Bulletin, 135(6), 859–884.</w:t>
      </w:r>
    </w:p>
    <w:p w14:paraId="77B5116D" w14:textId="77777777" w:rsidR="00384025" w:rsidRPr="00384025" w:rsidRDefault="00384025" w:rsidP="00384025">
      <w:pPr/>
      <w:r>
        <w:rPr>
          <w:b w:val="0"/>
          <w:sz w:val="21"/>
          <w:u w:val="none"/>
        </w:rPr>
        <w:t>https://doi.org/10.1037/a0017364</w:t>
      </w:r>
    </w:p>
    <w:p w14:paraId="786A6FB1" w14:textId="77777777" w:rsidR="00384025" w:rsidRPr="00384025" w:rsidRDefault="00384025" w:rsidP="00384025">
      <w:pPr/>
      <w:r>
        <w:rPr>
          <w:b w:val="0"/>
          <w:sz w:val="21"/>
          <w:u w:val="none"/>
        </w:rPr>
        <w:t>Tang, T., Bhatt, U., Bhatt, D. L., &amp; Bhatt, A. (2021). When breaking glass ceiling leads to</w:t>
      </w:r>
    </w:p>
    <w:p w14:paraId="264BC520" w14:textId="77777777" w:rsidR="00384025" w:rsidRPr="00384025" w:rsidRDefault="00384025" w:rsidP="00384025">
      <w:pPr/>
      <w:r>
        <w:rPr>
          <w:b w:val="0"/>
          <w:sz w:val="21"/>
          <w:u w:val="none"/>
        </w:rPr>
        <w:t>glass screens: Gender differences in civility and competitive aggressiveness in esports.</w:t>
      </w:r>
    </w:p>
    <w:p w14:paraId="43D61EC9" w14:textId="77777777" w:rsidR="00384025" w:rsidRPr="00384025" w:rsidRDefault="00384025" w:rsidP="00384025">
      <w:pPr/>
      <w:r>
        <w:rPr>
          <w:b w:val="0"/>
          <w:sz w:val="21"/>
          <w:u w:val="none"/>
        </w:rPr>
        <w:t>International Journal of Sport Communication, 14(4), 579–601.</w:t>
      </w:r>
    </w:p>
    <w:p w14:paraId="0867EDC6" w14:textId="77777777" w:rsidR="00384025" w:rsidRPr="00384025" w:rsidRDefault="00384025" w:rsidP="00384025">
      <w:pPr/>
      <w:r>
        <w:rPr>
          <w:b w:val="0"/>
          <w:sz w:val="21"/>
          <w:u w:val="none"/>
        </w:rPr>
        <w:t>Taylor, T. L. (2012). Raising the stakes: E-sports and the professionalization of computer</w:t>
      </w:r>
    </w:p>
    <w:p w14:paraId="161975DC" w14:textId="77777777" w:rsidR="00384025" w:rsidRPr="00384025" w:rsidRDefault="00384025" w:rsidP="00384025">
      <w:pPr/>
      <w:r>
        <w:rPr>
          <w:b w:val="0"/>
          <w:sz w:val="21"/>
          <w:u w:val="none"/>
        </w:rPr>
        <w:t>gaming. MIT Press.</w:t>
      </w:r>
    </w:p>
    <w:p w14:paraId="69CB43D9" w14:textId="77777777" w:rsidR="00384025" w:rsidRPr="00384025" w:rsidRDefault="00384025" w:rsidP="00384025">
      <w:pPr/>
      <w:r>
        <w:rPr>
          <w:b w:val="0"/>
          <w:sz w:val="21"/>
          <w:u w:val="none"/>
        </w:rPr>
        <w:t>Trick, L. M., Jaspers-Fayer, F., &amp; Sethi, N. (2005). Multiple-object tracking in children: The</w:t>
      </w:r>
    </w:p>
    <w:p w14:paraId="35F6CE40" w14:textId="77777777" w:rsidR="00384025" w:rsidRPr="00384025" w:rsidRDefault="00384025" w:rsidP="00384025">
      <w:pPr/>
      <w:r>
        <w:rPr>
          <w:b w:val="0"/>
          <w:sz w:val="21"/>
          <w:u w:val="none"/>
        </w:rPr>
        <w:t>“Catch the Spies” task. Cognitive Development, 20(3), 373–387.</w:t>
      </w:r>
    </w:p>
    <w:p w14:paraId="58532EBC" w14:textId="77777777" w:rsidR="00384025" w:rsidRPr="00384025" w:rsidRDefault="00384025" w:rsidP="00384025">
      <w:pPr/>
      <w:r>
        <w:rPr>
          <w:b w:val="0"/>
          <w:sz w:val="21"/>
          <w:u w:val="none"/>
        </w:rPr>
        <w:t>https://doi.org/10.1016/j.cogdev.2005.05.009</w:t>
      </w:r>
    </w:p>
    <w:p w14:paraId="0A34D910" w14:textId="77777777" w:rsidR="00384025" w:rsidRPr="00384025" w:rsidRDefault="00384025" w:rsidP="00384025">
      <w:pPr/>
      <w:r>
        <w:rPr>
          <w:b w:val="0"/>
          <w:sz w:val="21"/>
          <w:u w:val="none"/>
        </w:rPr>
        <w:t>Voyer, D., Voyer, S., &amp; Bryden, M. P. (1995). Magnitude of sex differences in spatial abilities:</w:t>
      </w:r>
    </w:p>
    <w:p w14:paraId="2877EA78" w14:textId="77777777" w:rsidR="00384025" w:rsidRPr="00384025" w:rsidRDefault="00384025" w:rsidP="00384025">
      <w:pPr/>
      <w:r>
        <w:rPr>
          <w:b w:val="0"/>
          <w:sz w:val="21"/>
          <w:u w:val="none"/>
        </w:rPr>
        <w:t>A meta-analysis and consideration of critical variables. Psychological Bulletin, 117(2), 250–</w:t>
      </w:r>
    </w:p>
    <w:p w14:paraId="1B6AC527" w14:textId="77777777" w:rsidR="00384025" w:rsidRPr="00384025" w:rsidRDefault="00384025" w:rsidP="00384025">
      <w:pPr/>
      <w:r>
        <w:rPr>
          <w:b w:val="0"/>
          <w:sz w:val="21"/>
          <w:u w:val="none"/>
        </w:rPr>
        <w:t>270. https://doi.org/10.1037/0033-2909.117.2.250</w:t>
      </w:r>
    </w:p>
    <w:p w14:paraId="6A1A2E8D" w14:textId="77777777" w:rsidR="00384025" w:rsidRPr="00384025" w:rsidRDefault="00384025" w:rsidP="00384025">
      <w:pPr/>
      <w:r>
        <w:rPr>
          <w:b w:val="0"/>
          <w:sz w:val="21"/>
          <w:u w:val="none"/>
        </w:rPr>
        <w:lastRenderedPageBreak/>
        <w:t>Witkowski, E. (2013). On the digital playing field: How we “do sport” with networked</w:t>
      </w:r>
    </w:p>
    <w:p w14:paraId="0978B8B5" w14:textId="77777777" w:rsidR="00384025" w:rsidRPr="00384025" w:rsidRDefault="00384025" w:rsidP="00384025">
      <w:pPr/>
      <w:r>
        <w:rPr>
          <w:b w:val="0"/>
          <w:sz w:val="21"/>
          <w:u w:val="none"/>
        </w:rPr>
        <w:t>computer games. Games and Culture, 7(5), 349–374.</w:t>
      </w:r>
    </w:p>
    <w:p w14:paraId="7752B74A" w14:textId="77777777" w:rsidR="00384025" w:rsidRPr="00384025" w:rsidRDefault="00384025" w:rsidP="00384025">
      <w:pPr/>
      <w:r>
        <w:rPr>
          <w:b w:val="0"/>
          <w:sz w:val="21"/>
          <w:u w:val="none"/>
        </w:rPr>
        <w:t>https://doi.org/10.1177/1555412012454222</w:t>
      </w:r>
    </w:p>
    <w:p w14:paraId="3B4E9349" w14:textId="77777777" w:rsidR="00384025" w:rsidRPr="00384025" w:rsidRDefault="00384025" w:rsidP="00384025">
      <w:pPr/>
      <w:r>
        <w:rPr>
          <w:b w:val="0"/>
          <w:sz w:val="21"/>
          <w:u w:val="none"/>
        </w:rPr>
        <w:t>Xue, H., Newman, J. I., &amp; Du, J. (2019). Narratives, identity and community in esports.</w:t>
      </w:r>
    </w:p>
    <w:p w14:paraId="507525AB" w14:textId="77777777" w:rsidR="00384025" w:rsidRPr="00384025" w:rsidRDefault="00384025" w:rsidP="00384025">
      <w:pPr/>
      <w:r>
        <w:rPr>
          <w:b w:val="0"/>
          <w:sz w:val="21"/>
          <w:u w:val="none"/>
        </w:rPr>
        <w:t>Leisure Studies, 38(6), 845–861. https://doi.org/10.1080/02614367.2019.1640215</w:t>
      </w:r>
    </w:p>
    <w:p>
      <w:pPr/>
      <w:r>
        <w:rPr>
          <w:sz w:val="21"/>
        </w:rPr>
        <w:t>Yee, N. (2006). The demographics, motivations, and derived experiences of users of massively multi-user online graphical environments. Presence: Teleoperators and Virtual Environments, 15(3), 309–329. https://doi.org/10.1162/pres.15.3.309</w:t>
      </w:r>
    </w:p>
    <w:p w14:paraId="3932FC45" w14:textId="77777777" w:rsidR="00384025" w:rsidRPr="00384025" w:rsidRDefault="00384025" w:rsidP="00384025">
      <w:pPr/>
      <w:r>
        <w:rPr>
          <w:b w:val="0"/>
          <w:sz w:val="21"/>
          <w:u w:val="none"/>
        </w:rPr>
        <w:t>Yee, N., Ducheneaut, N., &amp; Nelson, L. (2012). Online gaming motivations scale: Development</w:t>
      </w:r>
    </w:p>
    <w:p w14:paraId="7404B329" w14:textId="77777777" w:rsidR="00384025" w:rsidRPr="00384025" w:rsidRDefault="00384025" w:rsidP="00384025">
      <w:pPr/>
      <w:r>
        <w:rPr>
          <w:b w:val="0"/>
          <w:sz w:val="21"/>
          <w:u w:val="none"/>
        </w:rPr>
        <w:t>and validation. In Proceedings of the SIGCHI Conference on Human Factors in Computing</w:t>
      </w:r>
    </w:p>
    <w:p w14:paraId="735A32C3" w14:textId="77777777" w:rsidR="00384025" w:rsidRPr="00384025" w:rsidRDefault="00384025" w:rsidP="00384025">
      <w:pPr/>
      <w:r>
        <w:rPr>
          <w:b w:val="0"/>
          <w:sz w:val="21"/>
          <w:u w:val="none"/>
        </w:rPr>
        <w:t>Systems (pp. 2803–2806). ACM. https://doi.org/10.1145/2207676.2208681</w:t>
      </w:r>
    </w:p>
    <w:p w14:paraId="665A613E" w14:textId="77777777" w:rsidR="00384025" w:rsidRPr="00384025" w:rsidRDefault="00384025" w:rsidP="00384025">
      <w:pPr/>
      <w:r>
        <w:rPr>
          <w:b w:val="0"/>
          <w:sz w:val="21"/>
          <w:u w:val="none"/>
        </w:rPr>
        <w:t>Yoder, J. D. (1991). Rethinking tokenism: Looking beyond numbers. Gender &amp; Society, 5(2),</w:t>
      </w:r>
    </w:p>
    <w:p w14:paraId="345171D9" w14:textId="77777777" w:rsidR="00384025" w:rsidRPr="00384025" w:rsidRDefault="00384025" w:rsidP="00384025">
      <w:pPr/>
      <w:r>
        <w:rPr>
          <w:b w:val="0"/>
          <w:sz w:val="21"/>
          <w:u w:val="none"/>
        </w:rPr>
        <w:t>178–192. https://doi.org/10.1177/089124391005002003</w:t>
      </w:r>
    </w:p>
    <w:p w14:paraId="33896202" w14:textId="77777777" w:rsidR="00384025" w:rsidRPr="00384025" w:rsidRDefault="00384025" w:rsidP="00384025">
      <w:pPr/>
      <w:r>
        <w:rPr>
          <w:b w:val="0"/>
          <w:sz w:val="21"/>
          <w:u w:val="none"/>
        </w:rPr>
        <w:t>Zimmer, L. (1988). Tokenism and women in the workplace: The limits of gender-neutral</w:t>
      </w:r>
    </w:p>
    <w:p w14:paraId="3881A7D7" w14:textId="77777777" w:rsidR="00384025" w:rsidRPr="00384025" w:rsidRDefault="00384025" w:rsidP="00384025">
      <w:pPr/>
      <w:r>
        <w:rPr>
          <w:b w:val="0"/>
          <w:sz w:val="21"/>
          <w:u w:val="none"/>
        </w:rPr>
        <w:t>theory. Social Problems, 35(1), 64–77. https://doi.org/10.2307/800667</w:t>
      </w:r>
    </w:p>
    <w:p>
      <w:pPr/>
      <w:r>
        <w:rPr>
          <w:b w:val="0"/>
          <w:sz w:val="21"/>
        </w:rPr>
        <w:t>Carlsson, M., Finseraas, H., Midtbøen, A. H., &amp; Rafnsdóttir, G. L. (2021). Gender bias in academic recruitment? Evidence from a survey experiment in the Nordic region. European Sociological Review, 37(3), 399–410. https://doi.org/10.1093/esr/jcaa050</w:t>
      </w:r>
    </w:p>
    <w:p>
      <w:pPr/>
      <w:r>
        <w:rPr>
          <w:b w:val="0"/>
          <w:sz w:val="21"/>
        </w:rPr>
        <w:t>Crust, L., &amp; Clough, P. J. (2011). Developing mental toughness: From research to practice. Journal of Sport Psychology in Action, 2(1), 21–32. https://doi.org/10.1080/21520704.2011.563436</w:t>
      </w:r>
    </w:p>
    <w:p>
      <w:pPr/>
      <w:r>
        <w:rPr>
          <w:b w:val="0"/>
          <w:sz w:val="21"/>
        </w:rPr>
        <w:t>Duckworth, A. L., Peterson, C., Matthews, M. D., &amp; Kelly, D. R. (2007). Grit: Perseverance and passion for long-term goals. Journal of Personality and Social Psychology, 92(6), 1087–1101. https://doi.org/10.1037/0022-3514.92.6.1087</w:t>
      </w:r>
    </w:p>
    <w:p>
      <w:pPr/>
      <w:r>
        <w:rPr>
          <w:b w:val="0"/>
          <w:sz w:val="21"/>
        </w:rPr>
        <w:t>Ericsson, K. A., Krampe, R. T., &amp; Tesch-Römer, C. (1993). The role of deliberate practice in the acquisition of expert performance. Psychological Review, 100(3), 363–406. https://doi.org/10.1037/0033-295X.100.3.363</w:t>
      </w:r>
    </w:p>
    <w:p>
      <w:pPr/>
      <w:r>
        <w:rPr>
          <w:b w:val="0"/>
          <w:sz w:val="21"/>
        </w:rPr>
        <w:t>Macnamara, B. N., Moreau, D., &amp; Hambrick, D. Z. (2016). The relationship between deliberate practice and performance in sports: A meta-analysis. Perspectives on Psychological Science, 11(3), 333–350. https://doi.org/10.1177/1745691616635591</w:t>
      </w:r>
    </w:p>
    <w:p>
      <w:pPr/>
      <w:r>
        <w:rPr>
          <w:b w:val="0"/>
          <w:sz w:val="21"/>
        </w:rPr>
        <w:t>Williams, W. M., &amp; Ceci, S. J. (2015). National hiring experiments reveal 2:1 faculty preference for women on STEM tenure track. Proceedings of the National Academy of Sciences of the United States of America, 112(17), 5360–5365. https://doi.org/10.1073/pnas.1418878112</w:t>
      </w:r>
    </w:p>
    <w:sectPr w:rsidR="0093412C">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ER" w:date="2026-09-29T00:12:51Z">
    <w:p>
      <w:pPr>
        <w:pStyle w:val="CommentText"/>
      </w:pPr>
      <w:r>
        <w:rPr>
          <w:rStyle w:val="CommentReference"/>
        </w:rPr>
        <w:annotationRef/>
      </w:r>
      <w:r>
        <w:t>The later comparison memo corrects the timestamp shorthand: EQ2 modeled attained level conditional on accumulated playtime, while CR3 used event-derived advancement intervals. The existing standalone essay is linked, with corrections stated here rather than silently treating its older details as final.</w:t>
      </w:r>
    </w:p>
  </w:comment>
  <w:comment w:id="1" w:author="Editorial review" w:initials="ER" w:date="2026-09-29T00:12:51Z">
    <w:p>
      <w:pPr>
        <w:pStyle w:val="CommentText"/>
      </w:pPr>
      <w:r>
        <w:rPr>
          <w:rStyle w:val="CommentReference"/>
        </w:rPr>
        <w:annotationRef/>
      </w:r>
      <w:r>
        <w:t>Source correction: guilded/nonguilded models and random effects were present. The surviving objection is failure to isolate event-level assistance, not absence of social controls or demonstrated sex-differential carries.</w:t>
      </w:r>
    </w:p>
  </w:comment>
  <w:comment w:id="2" w:author="Editorial review" w:initials="ER" w:date="2026-09-29T00:12:51Z">
    <w:p>
      <w:pPr>
        <w:pStyle w:val="CommentText"/>
      </w:pPr>
      <w:r>
        <w:rPr>
          <w:rStyle w:val="CommentReference"/>
        </w:rPr>
        <w:annotationRef/>
      </w:r>
      <w:r>
        <w:t>See Shen Tables 3 and 5 and the August 13 comparison memo’s “Stronger findings” section. Significant interactions need model-specific interpretation; nonsignificance elsewhere is not an equivalence test.</w:t>
      </w:r>
    </w:p>
  </w:comment>
  <w:comment w:id="3" w:author="Editorial review" w:initials="ER" w:date="2026-09-29T00:12:51Z">
    <w:p>
      <w:pPr>
        <w:pStyle w:val="CommentText"/>
      </w:pPr>
      <w:r>
        <w:rPr>
          <w:rStyle w:val="CommentReference"/>
        </w:rPr>
        <w:annotationRef/>
      </w:r>
      <w:r>
        <w:t>Replaced network-wide closure claims and three related figures. The later memo withdraws both the cartel verdict and the first audit’s normal-clustering label. The revised candidate also failed the repository’s citation-network compliance checker. Specific passage-level inflation remains supported.</w:t>
      </w:r>
    </w:p>
  </w:comment>
  <w:comment w:id="4" w:author="Editorial review" w:initials="ER" w:date="2026-09-29T00:12:51Z">
    <w:p>
      <w:pPr>
        <w:pStyle w:val="CommentText"/>
      </w:pPr>
      <w:r>
        <w:rPr>
          <w:rStyle w:val="CommentReference"/>
        </w:rPr>
        <w:annotationRef/>
      </w:r>
      <w:r>
        <w:t>Rogstad explicitly reports databases, search dates, criteria, and 21 included papers. The draft’s previous “no documented inclusion criteria” assertion was incorrect. The themes are analytical results, not proof of a Connell-only inclusion rule.</w:t>
      </w:r>
    </w:p>
  </w:comment>
  <w:comment w:id="5" w:author="Editorial review" w:initials="ER" w:date="2026-09-29T00:12:51Z">
    <w:p>
      <w:pPr>
        <w:pStyle w:val="CommentText"/>
      </w:pPr>
      <w:r>
        <w:rPr>
          <w:rStyle w:val="CommentReference"/>
        </w:rPr>
        <w:annotationRef/>
      </w:r>
      <w:r>
        <w:t>Primary-source locations: Rogstad introduction and discussion. The introduction attaches Shen/Paaßen to the performance assertion, and the discussion attaches Taylor/Shen to the broader rebuttal of inherent disparity. Criticism is scope expansion, not absence of citations.</w:t>
      </w:r>
    </w:p>
  </w:comment>
  <w:comment w:id="6" w:author="Editorial review" w:initials="ER" w:date="2026-09-29T00:12:51Z">
    <w:p>
      <w:pPr>
        <w:pStyle w:val="CommentText"/>
      </w:pPr>
      <w:r>
        <w:rPr>
          <w:rStyle w:val="CommentReference"/>
        </w:rPr>
        <w:annotationRef/>
      </w:r>
      <w:r>
        <w:t>Removed an attributed quantitative convergence prediction that Rogstad did not specify. A failure to establish parity does not establish the competing biological model. The rest of the paper’s model and public-record claims are outside this targeted source revision.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025"/>
    <w:rsid w:val="00384025"/>
    <w:rsid w:val="00921E29"/>
    <w:rsid w:val="0093412C"/>
    <w:rsid w:val="00BC0048"/>
    <w:rsid w:val="00DA0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69701"/>
  <w15:chartTrackingRefBased/>
  <w15:docId w15:val="{7B864F40-3E5F-44A9-B15D-1F398781A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025"/>
    <w:pPr>
      <w:keepNext/>
      <w:keepLines/>
      <w:spacing w:before="360" w:after="80"/>
      <w:outlineLvl w:val="0"/>
    </w:pPr>
    <w:rPr>
      <w:rFonts w:asciiTheme="majorHAnsi" w:eastAsiaTheme="majorEastAsia" w:hAnsiTheme="majorHAnsi" w:cstheme="majorBidi" w:ascii="Times New Roman" w:hAnsi="Times New Roman"/>
      <w:b/>
      <w:color w:val="000000"/>
      <w:sz w:val="30"/>
      <w:szCs w:val="40"/>
    </w:rPr>
  </w:style>
  <w:style w:type="paragraph" w:styleId="Heading2">
    <w:name w:val="heading 2"/>
    <w:basedOn w:val="Normal"/>
    <w:next w:val="Normal"/>
    <w:link w:val="Heading2Char"/>
    <w:uiPriority w:val="9"/>
    <w:semiHidden/>
    <w:unhideWhenUsed/>
    <w:qFormat/>
    <w:rsid w:val="00384025"/>
    <w:pPr>
      <w:keepNext/>
      <w:keepLines/>
      <w:spacing w:before="160" w:after="80"/>
      <w:outlineLvl w:val="1"/>
    </w:pPr>
    <w:rPr>
      <w:rFonts w:asciiTheme="majorHAnsi" w:eastAsiaTheme="majorEastAsia" w:hAnsiTheme="majorHAnsi" w:cstheme="majorBidi" w:ascii="Times New Roman" w:hAnsi="Times New Roman"/>
      <w:b/>
      <w:color w:val="000000"/>
      <w:sz w:val="26"/>
      <w:szCs w:val="32"/>
    </w:rPr>
  </w:style>
  <w:style w:type="paragraph" w:styleId="Heading3">
    <w:name w:val="heading 3"/>
    <w:basedOn w:val="Normal"/>
    <w:next w:val="Normal"/>
    <w:link w:val="Heading3Char"/>
    <w:uiPriority w:val="9"/>
    <w:semiHidden/>
    <w:unhideWhenUsed/>
    <w:qFormat/>
    <w:rsid w:val="00384025"/>
    <w:pPr>
      <w:keepNext/>
      <w:keepLines/>
      <w:spacing w:before="160" w:after="80"/>
      <w:outlineLvl w:val="2"/>
    </w:pPr>
    <w:rPr>
      <w:rFonts w:eastAsiaTheme="majorEastAsia" w:cstheme="majorBidi" w:ascii="Times New Roman" w:hAnsi="Times New Roman"/>
      <w:b/>
      <w:color w:val="000000"/>
      <w:sz w:val="24"/>
      <w:szCs w:val="28"/>
    </w:rPr>
  </w:style>
  <w:style w:type="paragraph" w:styleId="Heading4">
    <w:name w:val="heading 4"/>
    <w:basedOn w:val="Normal"/>
    <w:next w:val="Normal"/>
    <w:link w:val="Heading4Char"/>
    <w:uiPriority w:val="9"/>
    <w:semiHidden/>
    <w:unhideWhenUsed/>
    <w:qFormat/>
    <w:rsid w:val="00384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025"/>
    <w:rPr>
      <w:rFonts w:eastAsiaTheme="majorEastAsia" w:cstheme="majorBidi"/>
      <w:color w:val="272727" w:themeColor="text1" w:themeTint="D8"/>
    </w:rPr>
  </w:style>
  <w:style w:type="paragraph" w:styleId="Title">
    <w:name w:val="Title"/>
    <w:basedOn w:val="Normal"/>
    <w:next w:val="Normal"/>
    <w:link w:val="TitleChar"/>
    <w:uiPriority w:val="10"/>
    <w:qFormat/>
    <w:rsid w:val="00384025"/>
    <w:pPr>
      <w:spacing w:after="300" w:line="240" w:lineRule="auto"/>
      <w:contextualSpacing/>
    </w:pPr>
    <w:rPr>
      <w:rFonts w:asciiTheme="majorHAnsi" w:eastAsiaTheme="majorEastAsia" w:hAnsiTheme="majorHAnsi" w:cstheme="majorBidi"/>
      <w:b/>
      <w:color w:val="000000"/>
      <w:kern w:val="28"/>
      <w:sz w:val="40"/>
      <w:szCs w:val="52"/>
    </w:rPr>
  </w:style>
  <w:style w:type="character" w:customStyle="1" w:styleId="TitleChar">
    <w:name w:val="Title Char"/>
    <w:basedOn w:val="DefaultParagraphFont"/>
    <w:link w:val="Title"/>
    <w:uiPriority w:val="10"/>
    <w:rsid w:val="00384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025"/>
    <w:pPr>
      <w:numPr>
        <w:ilvl w:val="1"/>
      </w:numPr>
    </w:pPr>
    <w:rPr>
      <w:rFonts w:eastAsiaTheme="majorEastAsia" w:cstheme="majorBidi"/>
      <w:color w:val="000000"/>
      <w:sz w:val="28"/>
      <w:szCs w:val="28"/>
    </w:rPr>
  </w:style>
  <w:style w:type="character" w:customStyle="1" w:styleId="SubtitleChar">
    <w:name w:val="Subtitle Char"/>
    <w:basedOn w:val="DefaultParagraphFont"/>
    <w:link w:val="Subtitle"/>
    <w:uiPriority w:val="11"/>
    <w:rsid w:val="00384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025"/>
    <w:pPr>
      <w:spacing w:before="160"/>
      <w:jc w:val="center"/>
    </w:pPr>
    <w:rPr>
      <w:i/>
      <w:iCs/>
      <w:color w:val="404040" w:themeColor="text1" w:themeTint="BF"/>
    </w:rPr>
  </w:style>
  <w:style w:type="character" w:customStyle="1" w:styleId="QuoteChar">
    <w:name w:val="Quote Char"/>
    <w:basedOn w:val="DefaultParagraphFont"/>
    <w:link w:val="Quote"/>
    <w:uiPriority w:val="29"/>
    <w:rsid w:val="00384025"/>
    <w:rPr>
      <w:i/>
      <w:iCs/>
      <w:color w:val="404040" w:themeColor="text1" w:themeTint="BF"/>
    </w:rPr>
  </w:style>
  <w:style w:type="paragraph" w:styleId="ListParagraph">
    <w:name w:val="List Paragraph"/>
    <w:basedOn w:val="Normal"/>
    <w:uiPriority w:val="34"/>
    <w:qFormat/>
    <w:rsid w:val="00384025"/>
    <w:pPr>
      <w:ind w:left="720"/>
      <w:contextualSpacing/>
    </w:pPr>
  </w:style>
  <w:style w:type="character" w:styleId="IntenseEmphasis">
    <w:name w:val="Intense Emphasis"/>
    <w:basedOn w:val="DefaultParagraphFont"/>
    <w:uiPriority w:val="21"/>
    <w:qFormat/>
    <w:rsid w:val="00384025"/>
    <w:rPr>
      <w:i/>
      <w:iCs/>
      <w:color w:val="0F4761" w:themeColor="accent1" w:themeShade="BF"/>
    </w:rPr>
  </w:style>
  <w:style w:type="paragraph" w:styleId="IntenseQuote">
    <w:name w:val="Intense Quote"/>
    <w:basedOn w:val="Normal"/>
    <w:next w:val="Normal"/>
    <w:link w:val="IntenseQuoteChar"/>
    <w:uiPriority w:val="30"/>
    <w:qFormat/>
    <w:rsid w:val="00384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025"/>
    <w:rPr>
      <w:i/>
      <w:iCs/>
      <w:color w:val="0F4761" w:themeColor="accent1" w:themeShade="BF"/>
    </w:rPr>
  </w:style>
  <w:style w:type="character" w:styleId="IntenseReference">
    <w:name w:val="Intense Reference"/>
    <w:basedOn w:val="DefaultParagraphFont"/>
    <w:uiPriority w:val="32"/>
    <w:qFormat/>
    <w:rsid w:val="00384025"/>
    <w:rPr>
      <w:b/>
      <w:bCs/>
      <w:smallCaps/>
      <w:color w:val="0F4761" w:themeColor="accent1" w:themeShade="BF"/>
      <w:spacing w:val="5"/>
    </w:rPr>
  </w:style>
  <w:style w:type="character" w:styleId="Hyperlink">
    <w:name w:val="Hyperlink"/>
    <w:basedOn w:val="DefaultParagraphFont"/>
    <w:uiPriority w:val="99"/>
    <w:unhideWhenUsed/>
    <w:rsid w:val="00384025"/>
    <w:rPr>
      <w:color w:val="467886" w:themeColor="hyperlink"/>
      <w:u w:val="single"/>
    </w:rPr>
  </w:style>
  <w:style w:type="character" w:styleId="UnresolvedMention">
    <w:name w:val="Unresolved Mention"/>
    <w:basedOn w:val="DefaultParagraphFont"/>
    <w:uiPriority w:val="99"/>
    <w:semiHidden/>
    <w:unhideWhenUsed/>
    <w:rsid w:val="003840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s_!84Ln!,f_auto,q_auto:good,fl_progressive:steep/https%3A%2F%2Fsubstack-post-media.s3.amazonaws.com%2Fpublic%2Fimages%2Fb1a50b32-9066-49a1-9d17-d72cf5072d6d_3240x2247.png" TargetMode="Externa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ubstackcdn.com/image/fetch/$s_!Q_1L!,f_auto,q_auto:good,fl_progressive:steep/https%3A%2F%2Fsubstack-post-media.s3.amazonaws.com%2Fpublic%2Fimages%2F7f16ff5d-2693-4ddf-8ce9-cdb47cceee08_624x700.png" TargetMode="External"/><Relationship Id="rId11" Type="http://schemas.openxmlformats.org/officeDocument/2006/relationships/theme" Target="theme/theme1.xml"/><Relationship Id="rId10" Type="http://schemas.openxmlformats.org/officeDocument/2006/relationships/fontTable" Target="fontTable.xml"/><Relationship Id="rId4" Type="http://schemas.openxmlformats.org/officeDocument/2006/relationships/hyperlink" Target="https://substackcdn.com/image/fetch/$s_!Vqv2!,f_auto,q_auto:good,fl_progressive:steep/https%3A%2F%2Fsubstack-post-media.s3.amazonaws.com%2Fpublic%2Fimages%2Fd722d8a5-fac1-43c5-b5f4-e3be134b561d_6008x3091.png" TargetMode="External"/><Relationship Id="rId25" Type="http://schemas.openxmlformats.org/officeDocument/2006/relationships/hyperlink" Target="https://yungmulababy.substack.com/p/how-a-login-timestamp-became-proof" TargetMode="External"/><Relationship Id="rId15" Type="http://schemas.openxmlformats.org/officeDocument/2006/relationships/hyperlink" Target="https://doi.org/10.1007/s44202-025-00387-8" TargetMode="External"/><Relationship Id="rId17" Type="http://schemas.openxmlformats.org/officeDocument/2006/relationships/hyperlink" Target="https://doi.org/10.1177/0002764220919147" TargetMode="External"/><Relationship Id="rId22" Type="http://schemas.openxmlformats.org/officeDocument/2006/relationships/comments" Target="comments.xml"/><Relationship Id="rId26" Type="http://schemas.openxmlformats.org/officeDocument/2006/relationships/image" Target="media/image7.png"/><Relationship Id="rId24" Type="http://schemas.openxmlformats.org/officeDocument/2006/relationships/hyperlink" Target="https://doi.org/10.3982/QE1404" TargetMode="External"/><Relationship Id="rId27" Type="http://schemas.openxmlformats.org/officeDocument/2006/relationships/hyperlink" Target="https://doi.org/10.1371/journal.pone.0197311" TargetMode="External"/><Relationship Id="rId28" Type="http://schemas.openxmlformats.org/officeDocument/2006/relationships/hyperlink" Target="https://doi.org/10.1371/journal.pone.0314270" TargetMode="External"/><Relationship Id="rId29" Type="http://schemas.openxmlformats.org/officeDocument/2006/relationships/hyperlink" Target="https://doi.org/10.1080/09332480.2025.2560279" TargetMode="External"/><Relationship Id="rId30" Type="http://schemas.openxmlformats.org/officeDocument/2006/relationships/hyperlink" Target="https://doi.org/10.1038/s41598-020-68069-0" TargetMode="External"/><Relationship Id="rId31" Type="http://schemas.openxmlformats.org/officeDocument/2006/relationships/hyperlink" Target="https://doi.org/10.3389/fpsyg.2023.1099254" TargetMode="External"/><Relationship Id="rId32" Type="http://schemas.openxmlformats.org/officeDocument/2006/relationships/hyperlink" Target="https://www.fide.com/judit-polgar-turns-50-celebrating-a-chess-legend/" TargetMode="External"/><Relationship Id="rId33" Type="http://schemas.openxmlformats.org/officeDocument/2006/relationships/hyperlink" Target="https://doi.org/10.1007/s11199-006-886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8821</Words>
  <Characters>52226</Characters>
  <Application>Microsoft Office Word</Application>
  <DocSecurity>0</DocSecurity>
  <Lines>791</Lines>
  <Paragraphs>209</Paragraphs>
  <ScaleCrop>false</ScaleCrop>
  <Company/>
  <LinksUpToDate>false</LinksUpToDate>
  <CharactersWithSpaces>60838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Chuck Denson</dc:creator>
  <cp:keywords/>
  <dc:description/>
  <cp:lastModifiedBy>Chuck Denson</cp:lastModifiedBy>
  <cp:revision>2</cp:revision>
  <dcterms:created xsi:type="dcterms:W3CDTF">2026-05-10T01:39:00Z</dcterms:created>
  <dcterms:modified xsi:type="dcterms:W3CDTF">2026-05-10T01:39:00Z</dcterms:modified>
</cp:coreProperties>
</file>