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A6E"/>
          <w:sz w:val="44"/>
          <w:szCs w:val="44"/>
        </w:rPr>
        <w:t xml:space="preserve">THE IAT’S CONSTRUCT-VALIDITY GAP</w:t>
      </w:r>
    </w:p>
    <w:p>
      <w:pPr>
        <w:spacing w:after="60" w:before="0"/>
      </w:pPr>
      <w:r>
        <w:rPr>
          <w:rFonts w:ascii="Arial" w:cs="Arial" w:eastAsia="Arial" w:hAnsi="Arial"/>
          <w:i/>
          <w:iCs/>
          <w:color w:val="555555"/>
          <w:sz w:val="26"/>
          <w:szCs w:val="26"/>
        </w:rPr>
        <w:t xml:space="preserve">What Was Measured, What Was Claimed, and What Validation Would Require</w:t>
      </w:r>
    </w:p>
    <w:p>
      <w:pPr>
        <w:pBdr>
          <w:bottom w:val="single" w:color="1F3A6E" w:sz="12" w:space="1"/>
        </w:pBdr>
        <w:spacing w:after="0" w:before="0"/>
      </w:pPr>
    </w:p>
    <w:p>
      <w:pPr>
        <w:spacing w:after="0" w:before="80"/>
      </w:pPr>
    </w:p>
    <w:p>
      <w:pPr>
        <w:spacing w:after="240" w:before="0"/>
      </w:pPr>
      <w:r>
        <w:rPr>
          <w:rFonts w:ascii="Arial" w:cs="Arial" w:eastAsia="Arial" w:hAnsi="Arial"/>
          <w:i/>
          <w:iCs/>
          <w:color w:val="888888"/>
          <w:sz w:val="20"/>
          <w:szCs w:val="20"/>
        </w:rPr>
        <w:t xml:space="preserve">A construct-validity and citation-network audit of Greenwald, McGhee &amp; Schwartz (1998) and its downstream literature.</w:t>
      </w:r>
    </w:p>
    <w:p>
      <w:pPr>
        <w:pStyle w:val="Heading1"/>
        <w:spacing w:after="80" w:before="400"/>
      </w:pPr>
      <w:r>
        <w:rPr>
          <w:rFonts w:ascii="Arial" w:cs="Arial" w:eastAsia="Arial" w:hAnsi="Arial"/>
          <w:b/>
          <w:bCs/>
          <w:color w:val="1F3A6E"/>
          <w:sz w:val="30"/>
          <w:szCs w:val="30"/>
        </w:rPr>
        <w:t xml:space="preserve">Prefatory Note on the Reviews</w:t>
      </w:r>
    </w:p>
    <w:p>
      <w:pPr>
        <w:spacing w:after="160" w:before="0" w:line="320" w:lineRule="auto"/>
        <w:jc w:val="both"/>
      </w:pPr>
      <w:r>
        <w:rPr>
          <w:rFonts w:ascii="Arial" w:cs="Arial" w:eastAsia="Arial" w:hAnsi="Arial"/>
          <w:color w:val="111111"/>
          <w:sz w:val="22"/>
          <w:szCs w:val="22"/>
        </w:rPr>
        <w:t xml:space="preserve">This paper incorporates evaluations from two external reviewers (ChatGPT and Grok). Their assessments are addressed directly here.</w:t>
      </w:r>
    </w:p>
    <w:p>
      <w:pPr>
        <w:spacing w:after="160" w:before="0" w:line="320" w:lineRule="auto"/>
        <w:jc w:val="both"/>
      </w:pPr>
      <w:r>
        <w:rPr>
          <w:rFonts w:ascii="Arial" w:cs="Arial" w:eastAsia="Arial" w:hAnsi="Arial"/>
          <w:color w:val="111111"/>
          <w:sz w:val="22"/>
          <w:szCs w:val="22"/>
        </w:rPr>
        <w:t xml:space="preserve">ChatGPT’s objections are accepted where they improve precision: separating academic, public, and institutional claim levels is a genuine improvement; the “decisive test has not been run” phrasing needed tightening; and the predictive-validity shrinkage sequence requires careful sourcing rather than a clean numerical chain that invites apples-to-oranges attack.</w:t>
      </w:r>
    </w:p>
    <w:p>
      <w:pPr>
        <w:spacing w:after="160" w:before="0" w:line="320" w:lineRule="auto"/>
        <w:jc w:val="both"/>
      </w:pPr>
      <w:r>
        <w:rPr>
          <w:rFonts w:ascii="Arial" w:cs="Arial" w:eastAsia="Arial" w:hAnsi="Arial"/>
          <w:color w:val="111111"/>
          <w:sz w:val="22"/>
          <w:szCs w:val="22"/>
        </w:rPr>
        <w:t xml:space="preserve">ChatGPT’s objections are rejected where they function as compliance hedging. The suggestion to drop “self-referential citation network” without a full bibliometric appendix, and to replace “premise laundering” with “progressive detachment,” sacrifices descriptive accuracy for palatability to institutional reviewers. The structural facts — that the same three authors dominate the founding papers, the scoring standard, the main validity meta-analysis, the main rebuttal to critics, and the institutional delivery vehicle simultaneously — are documented and relevant.</w:t>
      </w:r>
    </w:p>
    <w:p>
      <w:pPr>
        <w:spacing w:after="160" w:before="0" w:line="320" w:lineRule="auto"/>
        <w:jc w:val="both"/>
      </w:pPr>
      <w:r>
        <w:rPr>
          <w:rFonts w:ascii="Arial" w:cs="Arial" w:eastAsia="Arial" w:hAnsi="Arial"/>
          <w:color w:val="111111"/>
          <w:sz w:val="22"/>
          <w:szCs w:val="22"/>
        </w:rPr>
        <w:t xml:space="preserve">Grok’s assessment is accepted as substantially correct: the proxy-chain critique is the blade; the citation-network claim is supporting evidence, not the primary argument; and the “small effects at scale” defense is the strongest remaining move the field has, which is why it must be met directly rather than sidestepped.</w:t>
      </w:r>
    </w:p>
    <w:p>
      <w:pPr>
        <w:spacing w:after="0" w:before="80"/>
      </w:pPr>
    </w:p>
    <w:p>
      <w:pPr>
        <w:pStyle w:val="Heading1"/>
        <w:spacing w:after="80" w:before="400"/>
      </w:pPr>
      <w:r>
        <w:rPr>
          <w:rFonts w:ascii="Arial" w:cs="Arial" w:eastAsia="Arial" w:hAnsi="Arial"/>
          <w:b/>
          <w:bCs/>
          <w:color w:val="1F3A6E"/>
          <w:sz w:val="30"/>
          <w:szCs w:val="30"/>
        </w:rPr>
        <w:t xml:space="preserve">Refined Thesis</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Greenwald, McGhee, and Schwartz (1998) introduced the Implicit Association Test as a computerized reaction-time task measuring latency differences between compatible and incompatible category pairings, interpreting those differences as evidence of differential associative strength between mental representations. The construct-validity problem is not with the laboratory RT effect, which is real and replicable, nor with the instrument’s demonstrated capacity to track population-level associative patterns that covary with measurable regional disparities in health, policing, and education outcomes. The problem is with the compounding proxy chain through which a group-level ecological signal was extended into claims about individual mental states: reaction-time difference as a proxy for association strength, association strength as a proxy for implicit attitude, and implicit attitude as a proxy for an individual’s discriminatory behavior in consequential professional settings. Each inferential step is empirically contested, the full chain has not been validated at the level of individual diagnosis, and the most rigorous independent evidence — a 492-study meta-analysis finding no mediation between implicit measure change and behavioral change — directly falsifies the training-to-behavior link the institutional deployment requires. Academic claims, public synthesis, and institutional uptake inflated a legitimate but narrow ecological instrument into an individual diagnostic and training tool — a process visible in Project Implicit’s individual feedback language, federal agency training programs, HR curricula, and introductory psychology textbooks — while a structurally self-referential citation network insulated this inflation from substantive engagement with personnel selection standards, audit-study methods, and psychometric validity criteria that would have constrained it. The decisive validation study has not been conducted; the strongest current evidence supports the IAT as a population-level ecological indicator, not as an individual diagnostic or the empirical basis for behavioral intervention.</w:t>
      </w:r>
    </w:p>
    <w:p>
      <w:pPr>
        <w:spacing w:after="0" w:before="120"/>
      </w:pPr>
    </w:p>
    <w:p>
      <w:pPr>
        <w:pStyle w:val="Heading1"/>
        <w:spacing w:after="80" w:before="400"/>
      </w:pPr>
      <w:r>
        <w:rPr>
          <w:rFonts w:ascii="Arial" w:cs="Arial" w:eastAsia="Arial" w:hAnsi="Arial"/>
          <w:b/>
          <w:bCs/>
          <w:color w:val="1F3A6E"/>
          <w:sz w:val="30"/>
          <w:szCs w:val="30"/>
        </w:rPr>
        <w:t xml:space="preserve">I. Introduction</w:t>
      </w:r>
    </w:p>
    <w:p>
      <w:pPr>
        <w:spacing w:after="160" w:before="0" w:line="320" w:lineRule="auto"/>
        <w:jc w:val="both"/>
      </w:pPr>
      <w:r>
        <w:rPr>
          <w:rFonts w:ascii="Arial" w:cs="Arial" w:eastAsia="Arial" w:hAnsi="Arial"/>
          <w:color w:val="111111"/>
          <w:sz w:val="22"/>
          <w:szCs w:val="22"/>
        </w:rPr>
        <w:t xml:space="preserve">The Implicit Association Test has been taken more than forty million times, cited more than sixteen thousand times, adopted into federal training programs, incorporated into medical and legal education, and used as the primary empirical scaffold for an implicit bias training industry estimated in the hundreds of millions of dollars annually. The scientific question this paper addresses is narrow and specific: does the measurement instrument support the claims made in its name at the level of analysis at which those claims are institutionally deployed?</w:t>
      </w:r>
    </w:p>
    <w:p>
      <w:pPr>
        <w:spacing w:after="160" w:before="0" w:line="320" w:lineRule="auto"/>
        <w:jc w:val="both"/>
      </w:pPr>
      <w:r>
        <w:rPr>
          <w:rFonts w:ascii="Arial" w:cs="Arial" w:eastAsia="Arial" w:hAnsi="Arial"/>
          <w:color w:val="111111"/>
          <w:sz w:val="22"/>
          <w:szCs w:val="22"/>
        </w:rPr>
        <w:t xml:space="preserve">The answer the evidence compels is: not for individual diagnosis, not for behavioral prediction in professional settings, and not for training interventions aimed at reducing discriminatory conduct. The argument is about the inferential chain connecting the laboratory finding to its institutional applications — a chain the evidence does not support — and about the structural conditions that allowed a contested proxy measure to achieve the status of settled science.</w:t>
      </w:r>
    </w:p>
    <w:p>
      <w:pPr>
        <w:spacing w:after="0" w:before="80"/>
      </w:pPr>
    </w:p>
    <w:p>
      <w:pPr>
        <w:pStyle w:val="Heading1"/>
        <w:spacing w:after="80" w:before="400"/>
      </w:pPr>
      <w:r>
        <w:rPr>
          <w:rFonts w:ascii="Arial" w:cs="Arial" w:eastAsia="Arial" w:hAnsi="Arial"/>
          <w:b/>
          <w:bCs/>
          <w:color w:val="1F3A6E"/>
          <w:sz w:val="30"/>
          <w:szCs w:val="30"/>
        </w:rPr>
        <w:t xml:space="preserve">II. What Was Measured</w:t>
      </w:r>
    </w:p>
    <w:p>
      <w:pPr>
        <w:spacing w:after="160" w:before="0" w:line="320" w:lineRule="auto"/>
        <w:jc w:val="both"/>
      </w:pPr>
      <w:r>
        <w:rPr>
          <w:rFonts w:ascii="Arial" w:cs="Arial" w:eastAsia="Arial" w:hAnsi="Arial"/>
          <w:color w:val="111111"/>
          <w:sz w:val="22"/>
          <w:szCs w:val="22"/>
        </w:rPr>
        <w:t xml:space="preserve">The 1998 paper introduced a five-block computerized categorization task. Participants sorted words and images into categories under two conditions: compatible pairings (e.g., flowers + pleasant) and incompatible pairings (e.g., flowers + unpleasant). Reaction times were faster in the compatible condition. The difference between these latencies — the IAT effect — was proposed as a measure of the differential strength of associations between target concepts and evaluative attributes stored in memory.</w:t>
      </w:r>
    </w:p>
    <w:p>
      <w:pPr>
        <w:spacing w:after="160" w:before="0" w:line="320" w:lineRule="auto"/>
        <w:jc w:val="both"/>
      </w:pPr>
      <w:r>
        <w:rPr>
          <w:rFonts w:ascii="Arial" w:cs="Arial" w:eastAsia="Arial" w:hAnsi="Arial"/>
          <w:color w:val="111111"/>
          <w:sz w:val="22"/>
          <w:szCs w:val="22"/>
        </w:rPr>
        <w:t xml:space="preserve">Several features of this original design deserve emphasis because they are systematically dropped as the claim travels downstream.</w:t>
      </w:r>
    </w:p>
    <w:p>
      <w:pPr>
        <w:spacing w:after="160" w:before="0" w:line="320" w:lineRule="auto"/>
        <w:jc w:val="both"/>
      </w:pPr>
      <w:r>
        <w:rPr>
          <w:rFonts w:ascii="Arial" w:cs="Arial" w:eastAsia="Arial" w:hAnsi="Arial"/>
          <w:color w:val="111111"/>
          <w:sz w:val="22"/>
          <w:szCs w:val="22"/>
        </w:rPr>
        <w:t xml:space="preserve">The samples were undergraduate convenience samples. The task was administered in a single laboratory session. The outcome was a reaction-time difference score, not a behavioral measure. The authors themselves framed the IAT as measuring relative association strength between two target concepts — it is a comparative instrument, not an absolute scale — which means a “high” score on the race IAT indicates faster association of one racial group with pleasant stimuli relative to another, not a calibrated quantity of bias. The cutoffs later applied to individual scores — “slight,” “moderate,” “strong” preference — have no empirical anchor. As Blanton and Jaccard documented, these thresholds were set without research establishing what magnitude of RT difference corresponds to what magnitude of real-world discriminatory tendency.</w:t>
      </w:r>
    </w:p>
    <w:p>
      <w:pPr>
        <w:spacing w:after="160" w:before="0" w:line="320" w:lineRule="auto"/>
        <w:jc w:val="both"/>
      </w:pPr>
      <w:r>
        <w:rPr>
          <w:rFonts w:ascii="Arial" w:cs="Arial" w:eastAsia="Arial" w:hAnsi="Arial"/>
          <w:color w:val="111111"/>
          <w:sz w:val="22"/>
          <w:szCs w:val="22"/>
        </w:rPr>
        <w:t xml:space="preserve">The 2003 D-score algorithm paper standardized the scoring method and is now cited in nearly every IAT methods section. This is important for a structural reason: the pervasive citation of the scoring paper creates the appearance of methodological validation when it is, in fact, methodological standardization. Knowing precisely how to calculate a difference score does not validate what that difference score measures.</w:t>
      </w:r>
    </w:p>
    <w:p>
      <w:pPr>
        <w:spacing w:after="0" w:before="80"/>
      </w:pPr>
    </w:p>
    <w:p>
      <w:pPr>
        <w:pStyle w:val="Heading1"/>
        <w:spacing w:after="80" w:before="400"/>
      </w:pPr>
      <w:r>
        <w:rPr>
          <w:rFonts w:ascii="Arial" w:cs="Arial" w:eastAsia="Arial" w:hAnsi="Arial"/>
          <w:b/>
          <w:bCs/>
          <w:color w:val="1F3A6E"/>
          <w:sz w:val="30"/>
          <w:szCs w:val="30"/>
        </w:rPr>
        <w:t xml:space="preserve">III. What Was Claimed</w:t>
      </w:r>
    </w:p>
    <w:p>
      <w:pPr>
        <w:spacing w:after="160" w:before="0" w:line="320" w:lineRule="auto"/>
        <w:jc w:val="both"/>
      </w:pPr>
      <w:r>
        <w:rPr>
          <w:rFonts w:ascii="Arial" w:cs="Arial" w:eastAsia="Arial" w:hAnsi="Arial"/>
          <w:color w:val="111111"/>
          <w:sz w:val="22"/>
          <w:szCs w:val="22"/>
        </w:rPr>
        <w:t xml:space="preserve">Claims about the IAT operate at three levels that must be kept analytically separate.</w:t>
      </w:r>
    </w:p>
    <w:p>
      <w:pPr>
        <w:spacing w:after="160" w:before="120" w:line="320" w:lineRule="auto"/>
        <w:jc w:val="both"/>
      </w:pPr>
      <w:r>
        <w:rPr>
          <w:rFonts w:ascii="Arial" w:cs="Arial" w:eastAsia="Arial" w:hAnsi="Arial"/>
          <w:b/>
          <w:bCs/>
          <w:color w:val="111111"/>
          <w:sz w:val="22"/>
          <w:szCs w:val="22"/>
        </w:rPr>
        <w:t xml:space="preserve">Level 1 — The academic claim: </w:t>
      </w:r>
      <w:r>
        <w:rPr>
          <w:rFonts w:ascii="Arial" w:cs="Arial" w:eastAsia="Arial" w:hAnsi="Arial"/>
          <w:color w:val="111111"/>
          <w:sz w:val="22"/>
          <w:szCs w:val="22"/>
        </w:rPr>
        <w:t xml:space="preserve">The IAT measures individual differences in implicit social cognition; specifically, the relative strength of automatic associations that may influence attitudes and behavior without conscious awareness or intention. This is the claim of the 1998 paper and its direct descendants.</w:t>
      </w:r>
    </w:p>
    <w:p>
      <w:pPr>
        <w:spacing w:after="160" w:before="120" w:line="320" w:lineRule="auto"/>
        <w:jc w:val="both"/>
      </w:pPr>
      <w:r>
        <w:rPr>
          <w:rFonts w:ascii="Arial" w:cs="Arial" w:eastAsia="Arial" w:hAnsi="Arial"/>
          <w:b/>
          <w:bCs/>
          <w:color w:val="111111"/>
          <w:sz w:val="22"/>
          <w:szCs w:val="22"/>
        </w:rPr>
        <w:t xml:space="preserve">Level 2 — The public synthesis claim: </w:t>
      </w:r>
      <w:r>
        <w:rPr>
          <w:rFonts w:ascii="Arial" w:cs="Arial" w:eastAsia="Arial" w:hAnsi="Arial"/>
          <w:color w:val="111111"/>
          <w:sz w:val="22"/>
          <w:szCs w:val="22"/>
        </w:rPr>
        <w:t xml:space="preserve">The IAT reveals hidden biases that people carry and cannot self-report accurately; the majority of test-takers show implicit preferences for socially advantaged groups; these preferences shape consequential decisions in ways that disadvantage minorities. This is the claim of Blindspot (Banaji &amp; Greenwald, 2013) and the Project Implicit website, which tells individual test-takers whether their response pattern indicates “slight,” “moderate,” or “strong” automatic preference.</w:t>
      </w:r>
    </w:p>
    <w:p>
      <w:pPr>
        <w:spacing w:after="160" w:before="120" w:line="320" w:lineRule="auto"/>
        <w:jc w:val="both"/>
      </w:pPr>
      <w:r>
        <w:rPr>
          <w:rFonts w:ascii="Arial" w:cs="Arial" w:eastAsia="Arial" w:hAnsi="Arial"/>
          <w:b/>
          <w:bCs/>
          <w:color w:val="111111"/>
          <w:sz w:val="22"/>
          <w:szCs w:val="22"/>
        </w:rPr>
        <w:t xml:space="preserve">Level 3 — The institutional claim: </w:t>
      </w:r>
      <w:r>
        <w:rPr>
          <w:rFonts w:ascii="Arial" w:cs="Arial" w:eastAsia="Arial" w:hAnsi="Arial"/>
          <w:color w:val="111111"/>
          <w:sz w:val="22"/>
          <w:szCs w:val="22"/>
        </w:rPr>
        <w:t xml:space="preserve">Measuring employees’ implicit bias and training them to recognize it will reduce discriminatory outcomes in hiring, performance evaluation, clinical treatment, law enforcement, and legal judgment. This is the claim operationalized by federal agencies, hospital systems, law schools, and HR departments.</w:t>
      </w:r>
    </w:p>
    <w:p>
      <w:pPr>
        <w:spacing w:after="160" w:before="0" w:line="320" w:lineRule="auto"/>
        <w:jc w:val="both"/>
      </w:pPr>
      <w:r>
        <w:rPr>
          <w:rFonts w:ascii="Arial" w:cs="Arial" w:eastAsia="Arial" w:hAnsi="Arial"/>
          <w:color w:val="111111"/>
          <w:sz w:val="22"/>
          <w:szCs w:val="22"/>
        </w:rPr>
        <w:t xml:space="preserve">The construct-validity critique applies with increasing force at each level. Level 1 is defensible as a laboratory finding about group-level associative patterns. Level 2 requires that individual scores be reliable and valid enough to support feedback — they are not. Level 3 requires that IAT scores predict discriminatory behavior and that training to reduce IAT scores reduces discrimination — neither is demonstrated.</w:t>
      </w:r>
    </w:p>
    <w:p>
      <w:pPr>
        <w:spacing w:after="160" w:before="0" w:line="320" w:lineRule="auto"/>
        <w:jc w:val="both"/>
      </w:pPr>
      <w:r>
        <w:rPr>
          <w:rFonts w:ascii="Arial" w:cs="Arial" w:eastAsia="Arial" w:hAnsi="Arial"/>
          <w:color w:val="111111"/>
          <w:sz w:val="22"/>
          <w:szCs w:val="22"/>
        </w:rPr>
        <w:t xml:space="preserve">The important concession, following the valid external objection, is that Level 3 was not uniformly endorsed by the founding researchers. Greenwald and colleagues have at times acknowledged that some applied uses outrun the evidence. That acknowledgment, however, does not dissolve the problem. The Project Implicit website has provided individual feedback at Level 2 to forty million people. The same researchers who built and operate that website authored the academic papers used to justify Level 3 deployment. The institutional claim did not emerge from a vacuum and then get passively associated with the academic work. The public-facing infrastructure for it was constructed by the same actors, which creates a structural responsibility regardless of hedging in technical papers.</w:t>
      </w:r>
    </w:p>
    <w:p>
      <w:pPr>
        <w:spacing w:after="0" w:before="80"/>
      </w:pPr>
    </w:p>
    <w:p>
      <w:pPr>
        <w:pStyle w:val="Heading1"/>
        <w:spacing w:after="80" w:before="400"/>
      </w:pPr>
      <w:r>
        <w:rPr>
          <w:rFonts w:ascii="Arial" w:cs="Arial" w:eastAsia="Arial" w:hAnsi="Arial"/>
          <w:b/>
          <w:bCs/>
          <w:color w:val="1F3A6E"/>
          <w:sz w:val="30"/>
          <w:szCs w:val="30"/>
        </w:rPr>
        <w:t xml:space="preserve">IV. The Proxy Chain and Its Failures</w:t>
      </w:r>
    </w:p>
    <w:p>
      <w:pPr>
        <w:spacing w:after="160" w:before="0" w:line="320" w:lineRule="auto"/>
        <w:jc w:val="both"/>
      </w:pPr>
      <w:r>
        <w:rPr>
          <w:rFonts w:ascii="Arial" w:cs="Arial" w:eastAsia="Arial" w:hAnsi="Arial"/>
          <w:color w:val="111111"/>
          <w:sz w:val="22"/>
          <w:szCs w:val="22"/>
        </w:rPr>
        <w:t xml:space="preserve">The inferential chain from measurement to institutional deployment has four links, each of which can be evaluated independently.</w:t>
      </w:r>
    </w:p>
    <w:p>
      <w:pPr>
        <w:spacing w:after="0" w:before="60"/>
      </w:pPr>
    </w:p>
    <w:p>
      <w:pPr>
        <w:spacing w:after="80" w:before="200"/>
      </w:pPr>
      <w:r>
        <w:rPr>
          <w:rFonts w:ascii="Arial" w:cs="Arial" w:eastAsia="Arial" w:hAnsi="Arial"/>
          <w:b/>
          <w:bCs/>
          <w:i/>
          <w:iCs/>
          <w:color w:val="555555"/>
          <w:sz w:val="22"/>
          <w:szCs w:val="22"/>
        </w:rPr>
        <w:t xml:space="preserve">Link 1: RT difference → association strength</w:t>
      </w:r>
    </w:p>
    <w:p>
      <w:pPr>
        <w:spacing w:after="160" w:before="0" w:line="320" w:lineRule="auto"/>
        <w:jc w:val="both"/>
      </w:pPr>
      <w:r>
        <w:rPr>
          <w:rFonts w:ascii="Arial" w:cs="Arial" w:eastAsia="Arial" w:hAnsi="Arial"/>
          <w:color w:val="111111"/>
          <w:sz w:val="22"/>
          <w:szCs w:val="22"/>
        </w:rPr>
        <w:t xml:space="preserve">Reaction-time differences in categorization tasks are a plausible index of associative network activation. However, at least three documented confounds operate independently of stored associations. Rothermund and Wentura’s salience-asymmetry account shows that RT differences can reflect figure-ground perceptual salience rather than memory structure. Recoding — participants reclassifying categories under superordinate labels — produces systematic variance in IAT scores unrelated to the target construct. Block order effects mean that whichever pairing comes first in the task produces faster responses, a procedural artifact the D-score algorithm only partially corrects.</w:t>
      </w:r>
    </w:p>
    <w:p>
      <w:pPr>
        <w:spacing w:after="80" w:before="200"/>
      </w:pPr>
      <w:r>
        <w:rPr>
          <w:rFonts w:ascii="Arial" w:cs="Arial" w:eastAsia="Arial" w:hAnsi="Arial"/>
          <w:b/>
          <w:bCs/>
          <w:i/>
          <w:iCs/>
          <w:color w:val="555555"/>
          <w:sz w:val="22"/>
          <w:szCs w:val="22"/>
        </w:rPr>
        <w:t xml:space="preserve">Link 2: Association strength → implicit attitude</w:t>
      </w:r>
    </w:p>
    <w:p>
      <w:pPr>
        <w:spacing w:after="160" w:before="0" w:line="320" w:lineRule="auto"/>
        <w:jc w:val="both"/>
      </w:pPr>
      <w:r>
        <w:rPr>
          <w:rFonts w:ascii="Arial" w:cs="Arial" w:eastAsia="Arial" w:hAnsi="Arial"/>
          <w:color w:val="111111"/>
          <w:sz w:val="22"/>
          <w:szCs w:val="22"/>
        </w:rPr>
        <w:t xml:space="preserve">This step requires that faster categorization reflects a stable, personally held evaluative disposition rather than cultural knowledge, recent exposure, situational priming, or task strategy. The test-retest reliability data suggest it does not. Reported test-retest correlations for the race IAT range from approximately .34 to .56 across studies — well below the .80 threshold standard in psychometrics for instruments used in individual classification decisions, and well below the .90 threshold for high-stakes individual decisions such as clinical or employment contexts. Scores shift with context, fatigue, recent media exposure, and repeated IAT experience. An instrument whose scores vary this substantially across occasions is measuring something that changes — which is either evidence that implicit attitudes are highly situationally labile (undermining their use as stable individual traits) or evidence that the instrument is capturing noise alongside signal.</w:t>
      </w:r>
    </w:p>
    <w:p>
      <w:pPr>
        <w:spacing w:after="80" w:before="200"/>
      </w:pPr>
      <w:r>
        <w:rPr>
          <w:rFonts w:ascii="Arial" w:cs="Arial" w:eastAsia="Arial" w:hAnsi="Arial"/>
          <w:b/>
          <w:bCs/>
          <w:i/>
          <w:iCs/>
          <w:color w:val="555555"/>
          <w:sz w:val="22"/>
          <w:szCs w:val="22"/>
        </w:rPr>
        <w:t xml:space="preserve">Link 3: Implicit attitude → discriminatory behavior</w:t>
      </w:r>
    </w:p>
    <w:p>
      <w:pPr>
        <w:spacing w:after="160" w:before="0" w:line="320" w:lineRule="auto"/>
        <w:jc w:val="both"/>
      </w:pPr>
      <w:r>
        <w:rPr>
          <w:rFonts w:ascii="Arial" w:cs="Arial" w:eastAsia="Arial" w:hAnsi="Arial"/>
          <w:color w:val="111111"/>
          <w:sz w:val="22"/>
          <w:szCs w:val="22"/>
        </w:rPr>
        <w:t xml:space="preserve">This is where the evidentiary collapse is most severe. The founding authors’ own 2009 meta-analysis, which used inclusive coding criteria, reported an average IAT-criterion correlation of r = .27. Independent re-analysis by Oswald and colleagues using stricter coding found r = .15. The most recent large meta-analysis (Kurdi et al., 2019) found an average implicit-criterion correlation of r = .097 for the race IAT specifically. The incremental validity of IAT scores above explicit self-report measures — the quantity that matters for justifying the IAT’s use over simply asking people — consistently falls between one and five percent of unique variance explained.</w:t>
      </w:r>
    </w:p>
    <w:p>
      <w:pPr>
        <w:spacing w:after="160" w:before="0" w:line="320" w:lineRule="auto"/>
        <w:jc w:val="both"/>
      </w:pPr>
      <w:r>
        <w:rPr>
          <w:rFonts w:ascii="Arial" w:cs="Arial" w:eastAsia="Arial" w:hAnsi="Arial"/>
          <w:color w:val="111111"/>
          <w:sz w:val="22"/>
          <w:szCs w:val="22"/>
        </w:rPr>
        <w:t xml:space="preserve">The shrinkage pattern across these estimates is also significant: numbers moved from the high end of the founding-author meta-analysis toward smaller values as independent teams applied stricter coding and publication-bias corrections. This is the expected pattern when a literature is subject to publication bias and optimistic inclusive coding, not the expected pattern when the effect is robust. The behavioral prediction evidence does not meet the standard required to justify individual diagnosis or population-level training interventions.</w:t>
      </w:r>
    </w:p>
    <w:p>
      <w:pPr>
        <w:spacing w:after="80" w:before="200"/>
      </w:pPr>
      <w:r>
        <w:rPr>
          <w:rFonts w:ascii="Arial" w:cs="Arial" w:eastAsia="Arial" w:hAnsi="Arial"/>
          <w:b/>
          <w:bCs/>
          <w:i/>
          <w:iCs/>
          <w:color w:val="555555"/>
          <w:sz w:val="22"/>
          <w:szCs w:val="22"/>
        </w:rPr>
        <w:t xml:space="preserve">Link 4: Reducing IAT scores via training → reducing discriminatory behavior</w:t>
      </w:r>
    </w:p>
    <w:p>
      <w:pPr>
        <w:spacing w:after="160" w:before="0" w:line="320" w:lineRule="auto"/>
        <w:jc w:val="both"/>
      </w:pPr>
      <w:r>
        <w:rPr>
          <w:rFonts w:ascii="Arial" w:cs="Arial" w:eastAsia="Arial" w:hAnsi="Arial"/>
          <w:color w:val="111111"/>
          <w:sz w:val="22"/>
          <w:szCs w:val="22"/>
        </w:rPr>
        <w:t xml:space="preserve">This link has failed every serious test. Lai and colleagues’ pre-registered 2016 experiment testing seventeen bias-reduction strategies found that the most effective interventions produced IAT score reductions that did not persist beyond the immediate session. Forscher and colleagues’ 2019 network meta-analysis, synthesizing 492 studies and 87,418 participants, found that implicit measures can be changed but those changes did not mediate changes in explicit measures or behavior — the causal chain the intervention model requires was directly tested and failed. The UK Equality and Human Rights Commission’s assessment of eighteen implicit bias training studies found no evidence that training improves workplace equality outcomes in representation, promotion rates, or pay. The measure’s own metric — the IAT score — can be moved by training; the construct the measure is supposed to indicate — discriminatory conduct — has not been shown to move with it. Notably, Vuletich and Payne’s (2019) reanalysis of the Lai et al. data showed that individual scores did not return to pre-intervention baselines — campus-level means did — suggesting that training effects dissolve not because individuals revert but because the social environment that generates the IAT signal remains unchanged. This is a more precise framing of the failure: the instrument may be measuring something real about the environment, but intervening on the individual measure does not change the environment.</w:t>
      </w:r>
    </w:p>
    <w:p>
      <w:pPr>
        <w:spacing w:after="0" w:before="80"/>
      </w:pPr>
    </w:p>
    <w:p>
      <w:pPr>
        <w:spacing w:after="80" w:before="160"/>
      </w:pPr>
      <w:r>
        <w:rPr>
          <w:rFonts w:ascii="Arial" w:cs="Arial" w:eastAsia="Arial" w:hAnsi="Arial"/>
          <w:b/>
          <w:bCs/>
          <w:color w:val="1F3A6E"/>
          <w:sz w:val="20"/>
          <w:szCs w:val="20"/>
        </w:rPr>
        <w:t xml:space="preserve">Proxy Chain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600"/>
        <w:gridCol w:w="2760"/>
        <w:gridCol w:w="2600"/>
      </w:tblGrid>
      <w:tr>
        <w:trPr>
          <w:tblHeader/>
        </w:trPr>
        <w:tc>
          <w:tcPr>
            <w:tcW w:type="dxa" w:w="9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Link</w:t>
            </w:r>
          </w:p>
        </w:tc>
        <w:tc>
          <w:tcPr>
            <w:tcW w:type="dxa" w:w="15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From</w:t>
            </w:r>
          </w:p>
        </w:tc>
        <w:tc>
          <w:tcPr>
            <w:tcW w:type="dxa" w:w="1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To</w:t>
            </w:r>
          </w:p>
        </w:tc>
        <w:tc>
          <w:tcPr>
            <w:tcW w:type="dxa" w:w="27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Key Confounds</w:t>
            </w:r>
          </w:p>
        </w:tc>
        <w:tc>
          <w:tcPr>
            <w:tcW w:type="dxa" w:w="2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Evidence Quality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Salience asymmetry, recoding, order effects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Moderate — plausible but noisy</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Association strength</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Cultural knowledge vs. endorsement; situational volatility</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Weak — test-retest r ≈ .34–.56</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Implicit attitude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Discriminatory behavior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inclusive meta-analytic coding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Very weak — r ≈ .10–.15; ≤1–5% unique variance</w:t>
            </w:r>
          </w:p>
        </w:tc>
      </w:tr>
      <w:tr>
        <w:tc>
          <w:tcPr>
            <w:tcW w:type="dxa" w:w="9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4</w:t>
            </w:r>
          </w:p>
        </w:tc>
        <w:tc>
          <w:tcPr>
            <w:tcW w:type="dxa" w:w="15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score reduction</w:t>
            </w:r>
          </w:p>
        </w:tc>
        <w:tc>
          <w:tcPr>
            <w:tcW w:type="dxa" w:w="1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 change via training</w:t>
            </w:r>
          </w:p>
        </w:tc>
        <w:tc>
          <w:tcPr>
            <w:tcW w:type="dxa" w:w="27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No persistent effect; metric vs. construct confusion</w:t>
            </w:r>
          </w:p>
        </w:tc>
        <w:tc>
          <w:tcPr>
            <w:tcW w:type="dxa" w:w="2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Failed — no demonstrated behavioral impact</w:t>
            </w:r>
          </w:p>
        </w:tc>
      </w:tr>
    </w:tbl>
    <w:p>
      <w:pPr>
        <w:spacing w:after="0" w:before="200"/>
      </w:pPr>
    </w:p>
    <w:p>
      <w:pPr>
        <w:pStyle w:val="Heading1"/>
        <w:spacing w:after="80" w:before="400"/>
      </w:pPr>
      <w:r>
        <w:rPr>
          <w:rFonts w:ascii="Arial" w:cs="Arial" w:eastAsia="Arial" w:hAnsi="Arial"/>
          <w:b/>
          <w:bCs/>
          <w:color w:val="1F3A6E"/>
          <w:sz w:val="30"/>
          <w:szCs w:val="30"/>
        </w:rPr>
        <w:t xml:space="preserve">V. The “Small Effects at Scale” Defense</w:t>
      </w:r>
    </w:p>
    <w:p>
      <w:pPr>
        <w:spacing w:after="160" w:before="0" w:line="320" w:lineRule="auto"/>
        <w:jc w:val="both"/>
      </w:pPr>
      <w:r>
        <w:rPr>
          <w:rFonts w:ascii="Arial" w:cs="Arial" w:eastAsia="Arial" w:hAnsi="Arial"/>
          <w:color w:val="111111"/>
          <w:sz w:val="22"/>
          <w:szCs w:val="22"/>
        </w:rPr>
        <w:t xml:space="preserve">The field’s most sophisticated remaining defense deserves direct engagement rather than dismissal. Greenwald, Banaji, and Nosek (2015) argued that even weak individual-level predictive validity can produce meaningful societal effects when aggregated across millions of decisions. A more developed version of this argument comes from Payne, Vuletich, and Lundberg’s (2017) “bias of crowds” model, which relocates IAT validity entirely to the aggregate ecological level: individual IAT scores are unreliable as trait measures, but regional or population-level IAT averages are stable and covary with measurable disparities in policing, health outcomes, and education. Charlesworth and Banaji’s (2024) work in this vein reports that regional RA-IAT scores predict racial disparities across multiple domains. This ecological signal is real, it is the strongest genuinely supportive evidence for the IAT’s construct validity, and this paper acknowledges it.</w:t>
      </w:r>
    </w:p>
    <w:p>
      <w:pPr>
        <w:spacing w:after="160" w:before="0" w:line="320" w:lineRule="auto"/>
        <w:jc w:val="both"/>
      </w:pPr>
      <w:r>
        <w:rPr>
          <w:rFonts w:ascii="Arial" w:cs="Arial" w:eastAsia="Arial" w:hAnsi="Arial"/>
          <w:color w:val="111111"/>
          <w:sz w:val="22"/>
          <w:szCs w:val="22"/>
        </w:rPr>
        <w:t xml:space="preserve">What the ecological argument does not do is rescue individual diagnosis, individual feedback, or behavioral training. The bias-of-crowds model itself explicitly concedes that individual IAT scores are too unstable to function as trait measures — the instability is theoretically explained as environmental sensitivity, not treated as evidence of individual validity. Payne and colleagues’ own framework argues that IAT scores should not be interpreted as telling individuals whether they are biased people. The institutional infrastructure built on the IAT — individual feedback at Project Implicit, HR training showing employees their personal scores, clinical implicit bias modules — deploys the measure at precisely the individual level the strongest pro-IAT theoretical framework rejects. The ecological defense is internally consistent with the audit’s verdict against individual diagnosis; it is not a rebuttal of it.</w:t>
      </w:r>
    </w:p>
    <w:p>
      <w:pPr>
        <w:spacing w:after="160" w:before="0" w:line="320" w:lineRule="auto"/>
        <w:jc w:val="both"/>
      </w:pPr>
      <w:r>
        <w:rPr>
          <w:rFonts w:ascii="Arial" w:cs="Arial" w:eastAsia="Arial" w:hAnsi="Arial"/>
          <w:color w:val="111111"/>
          <w:sz w:val="22"/>
          <w:szCs w:val="22"/>
        </w:rPr>
        <w:t xml:space="preserve">The original and institutionally deployed claim is that IAT scores identify biased individuals — that they tell this person something meaningful about their hidden attitudes. The individual feedback on the Project Implicit website, the HR training that shows employees their scores, the clinical implicit bias modules that invite practitioners to reflect on their personal results — all of these are individual-diagnosis applications.</w:t>
      </w:r>
    </w:p>
    <w:p>
      <w:pPr>
        <w:spacing w:after="160" w:before="0" w:line="320" w:lineRule="auto"/>
        <w:jc w:val="both"/>
      </w:pPr>
      <w:r>
        <w:rPr>
          <w:rFonts w:ascii="Arial" w:cs="Arial" w:eastAsia="Arial" w:hAnsi="Arial"/>
          <w:color w:val="111111"/>
          <w:sz w:val="22"/>
          <w:szCs w:val="22"/>
        </w:rPr>
        <w:t xml:space="preserve">The “small effects at scale” defense abandons individual diagnosis entirely. It concedes that the IAT cannot tell any particular person whether they are biased, and retreats to a population-level probabilistic statement about aggregate patterns. That is a legitimate scientific position, but it is not a defense of individual scoring and feedback; it is a concession that individual scoring and feedback lack evidentiary foundation. Moreover, even the population-level claim requires that the measure predict actual discriminatory behavior — not merely associate statistically with laboratory analogs — and the behavioral prediction evidence fails that standard.</w:t>
      </w:r>
    </w:p>
    <w:p>
      <w:pPr>
        <w:pBdr>
          <w:left w:val="single" w:color="1F3A6E" w:sz="12" w:space="12"/>
        </w:pBdr>
        <w:spacing w:after="100" w:before="100" w:line="300" w:lineRule="auto"/>
        <w:ind w:left="720" w:right="720"/>
        <w:jc w:val="both"/>
      </w:pPr>
      <w:r>
        <w:rPr>
          <w:rFonts w:ascii="Arial" w:cs="Arial" w:eastAsia="Arial" w:hAnsi="Arial"/>
          <w:i/>
          <w:iCs/>
          <w:color w:val="555555"/>
          <w:sz w:val="20"/>
          <w:szCs w:val="20"/>
        </w:rPr>
        <w:t xml:space="preserve">Accepted as a hypothesis about population-level patterns. Rejected as a justification for individual diagnosis, personal feedback, and training interventions calibrated to individual scores.</w:t>
      </w:r>
    </w:p>
    <w:p>
      <w:pPr>
        <w:spacing w:after="0" w:before="80"/>
      </w:pPr>
    </w:p>
    <w:p>
      <w:pPr>
        <w:pStyle w:val="Heading1"/>
        <w:spacing w:after="80" w:before="400"/>
      </w:pPr>
      <w:r>
        <w:rPr>
          <w:rFonts w:ascii="Arial" w:cs="Arial" w:eastAsia="Arial" w:hAnsi="Arial"/>
          <w:b/>
          <w:bCs/>
          <w:color w:val="1F3A6E"/>
          <w:sz w:val="30"/>
          <w:szCs w:val="30"/>
        </w:rPr>
        <w:t xml:space="preserve">VI. Structural Insulation from Critique</w:t>
      </w:r>
    </w:p>
    <w:p>
      <w:pPr>
        <w:spacing w:after="160" w:before="0" w:line="320" w:lineRule="auto"/>
        <w:jc w:val="both"/>
      </w:pPr>
      <w:r>
        <w:rPr>
          <w:rFonts w:ascii="Arial" w:cs="Arial" w:eastAsia="Arial" w:hAnsi="Arial"/>
          <w:color w:val="111111"/>
          <w:sz w:val="22"/>
          <w:szCs w:val="22"/>
        </w:rPr>
        <w:t xml:space="preserve">The construct-validity failures documented above have been known and published for over a decade. Blanton and Jaccard’s scoring critique appeared in 2006 and 2009. Oswald and colleagues’ counter-meta-analysis appeared in 2013. Schimmack’s structural equation modeling analysis showing no discriminant validity evidence appeared in 2019 and was followed by a response to responses in 2021. Meissner and colleagues’ systematic review of behavioral prediction appeared in 2019. None of these produced substantive revision of the founding claims.</w:t>
      </w:r>
    </w:p>
    <w:p>
      <w:pPr>
        <w:spacing w:after="160" w:before="0" w:line="320" w:lineRule="auto"/>
        <w:jc w:val="both"/>
      </w:pPr>
      <w:r>
        <w:rPr>
          <w:rFonts w:ascii="Arial" w:cs="Arial" w:eastAsia="Arial" w:hAnsi="Arial"/>
          <w:color w:val="111111"/>
          <w:sz w:val="22"/>
          <w:szCs w:val="22"/>
        </w:rPr>
        <w:t xml:space="preserve">This non-uptake requires explanation. The most parsimonious structural explanation — not a motive claim — is that the IAT literature has properties that insulate it from normal self-correction. The three founding researchers appear as authors on the original paper, the scoring standard, the primary validity meta-analysis, the main rebuttal to Oswald, and the public-facing institutional infrastructure. Critique enters the network, receives a published rebuttal from the same cluster, and the field moves on without incorporating the critique’s substance.</w:t>
      </w:r>
    </w:p>
    <w:p>
      <w:pPr>
        <w:spacing w:after="160" w:before="0" w:line="320" w:lineRule="auto"/>
        <w:jc w:val="both"/>
      </w:pPr>
      <w:r>
        <w:rPr>
          <w:rFonts w:ascii="Arial" w:cs="Arial" w:eastAsia="Arial" w:hAnsi="Arial"/>
          <w:color w:val="111111"/>
          <w:sz w:val="22"/>
          <w:szCs w:val="22"/>
        </w:rPr>
        <w:t xml:space="preserve">This pattern is not “cartel” in the sense of private coordination or bad faith. It is a structural condition: when the same actors control the measure, the meta-analyses, the rebuttal platform, and the institutional delivery, normal scientific correction mechanisms are weakened. The citation network reinforces rather than tests the founding premise because the decisive test — which would require separating the researchers from the instrument’s validation — has not been run by independent groups with sufficient power and appropriate populations.</w:t>
      </w:r>
    </w:p>
    <w:p>
      <w:pPr>
        <w:spacing w:after="0" w:before="80"/>
      </w:pPr>
    </w:p>
    <w:p>
      <w:pPr>
        <w:spacing w:after="80" w:before="160"/>
      </w:pPr>
      <w:r>
        <w:rPr>
          <w:rFonts w:ascii="Arial" w:cs="Arial" w:eastAsia="Arial" w:hAnsi="Arial"/>
          <w:b/>
          <w:bCs/>
          <w:color w:val="1F3A6E"/>
          <w:sz w:val="20"/>
          <w:szCs w:val="20"/>
        </w:rPr>
        <w:t xml:space="preserve">Critique Uptake Summary</w:t>
      </w:r>
    </w:p>
    <w:tbl>
      <w:tblPr>
        <w:tblW w:type="dxa" w:w="782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2200"/>
        <w:gridCol w:w="2200"/>
        <w:gridCol w:w="1320"/>
      </w:tblGrid>
      <w:tr>
        <w:trPr>
          <w:tblHeader/>
        </w:trPr>
        <w:tc>
          <w:tcPr>
            <w:tcW w:type="dxa" w:w="14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Critique</w:t>
            </w:r>
          </w:p>
        </w:tc>
        <w:tc>
          <w:tcPr>
            <w:tcW w:type="dxa" w:w="7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Year</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Main Objection</w:t>
            </w:r>
          </w:p>
        </w:tc>
        <w:tc>
          <w:tcPr>
            <w:tcW w:type="dxa" w:w="22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Founding Cluster Response</w:t>
            </w:r>
          </w:p>
        </w:tc>
        <w:tc>
          <w:tcPr>
            <w:tcW w:type="dxa" w:w="132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Blanton &amp; Jaccard</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2006–2009</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Scoring cutoffs are empirically unanchored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Published rebuttal</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Dismissed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2013</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IAT does not predict discrimination above self-report</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Greenwald et al. (2015) counter-analysis</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Rebutted, not incorporated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Schimmack</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2019–2021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 discriminant validity; IAT may not measure implicit constructs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Largely ignored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engaged</w:t>
            </w:r>
          </w:p>
        </w:tc>
      </w:tr>
      <w:tr>
        <w:tc>
          <w:tcPr>
            <w:tcW w:type="dxa" w:w="14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Meissner et al.</w:t>
            </w:r>
          </w:p>
        </w:tc>
        <w:tc>
          <w:tcPr>
            <w:tcW w:type="dxa" w:w="7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2019</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Behavioral prediction weak; incremental validity negligible</w:t>
            </w:r>
          </w:p>
        </w:tc>
        <w:tc>
          <w:tcPr>
            <w:tcW w:type="dxa" w:w="22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Partially acknowledged</w:t>
            </w:r>
          </w:p>
        </w:tc>
        <w:tc>
          <w:tcPr>
            <w:tcW w:type="dxa" w:w="132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Reframed, not revised</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Publication bias analysis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2021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Effect sizes shrink under bias correction; r ≈ .097 for race IAT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Not cited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Ignored</w:t>
            </w:r>
          </w:p>
        </w:tc>
      </w:tr>
    </w:tbl>
    <w:p>
      <w:pPr>
        <w:spacing w:after="0" w:before="200"/>
      </w:pPr>
    </w:p>
    <w:p>
      <w:pPr>
        <w:pStyle w:val="Heading1"/>
        <w:spacing w:after="80" w:before="400"/>
      </w:pPr>
      <w:r>
        <w:rPr>
          <w:rFonts w:ascii="Arial" w:cs="Arial" w:eastAsia="Arial" w:hAnsi="Arial"/>
          <w:b/>
          <w:bCs/>
          <w:color w:val="1F3A6E"/>
          <w:sz w:val="30"/>
          <w:szCs w:val="30"/>
        </w:rPr>
        <w:t xml:space="preserve">VII. The Decisive Test</w:t>
      </w:r>
    </w:p>
    <w:p>
      <w:pPr>
        <w:spacing w:after="160" w:before="0" w:line="320" w:lineRule="auto"/>
        <w:jc w:val="both"/>
      </w:pPr>
      <w:r>
        <w:rPr>
          <w:rFonts w:ascii="Arial" w:cs="Arial" w:eastAsia="Arial" w:hAnsi="Arial"/>
          <w:color w:val="111111"/>
          <w:sz w:val="22"/>
          <w:szCs w:val="22"/>
        </w:rPr>
        <w:t xml:space="preserve">Twenty-seven years after the original paper, the validation study that would justify the IAT’s deployed use has not been conducted. That study would need the following design features to be probative.</w:t>
      </w:r>
    </w:p>
    <w:p>
      <w:pPr>
        <w:spacing w:after="160" w:before="0" w:line="320" w:lineRule="auto"/>
        <w:jc w:val="both"/>
      </w:pPr>
      <w:r>
        <w:rPr>
          <w:rFonts w:ascii="Arial" w:cs="Arial" w:eastAsia="Arial" w:hAnsi="Arial"/>
          <w:color w:val="111111"/>
          <w:sz w:val="22"/>
          <w:szCs w:val="22"/>
        </w:rPr>
        <w:t xml:space="preserve">It would be pre-registered, with hypotheses, inclusion criteria, and analysis plan filed before data collection. It would recruit from professional populations in consequential decision-making roles — hiring managers, clinicians, law enforcement officers, judges — not undergraduates in a laboratory. It would measure IAT scores and matched explicit attitude measures at baseline, using a sufficient sample to detect effects at the sizes the literature now honestly reports (r ≈ .10–.15), which requires samples in the thousands. It would track actual discriminatory decisions longitudinally — documented disparate treatment, not laboratory analog tasks — with behavioral outcome measures validated independently of the IAT. It would test whether IAT scores predict those outcomes above explicit measures. And it would be conducted by researchers without financial or institutional interest in a particular result.</w:t>
      </w:r>
    </w:p>
    <w:p>
      <w:pPr>
        <w:spacing w:after="160" w:before="0" w:line="320" w:lineRule="auto"/>
        <w:jc w:val="both"/>
      </w:pPr>
      <w:r>
        <w:rPr>
          <w:rFonts w:ascii="Arial" w:cs="Arial" w:eastAsia="Arial" w:hAnsi="Arial"/>
          <w:color w:val="111111"/>
          <w:sz w:val="22"/>
          <w:szCs w:val="22"/>
        </w:rPr>
        <w:t xml:space="preserve">If such a study found that IAT scores predict consequential discriminatory decisions above self-report at a practically meaningful level, the case for individual deployment would be substantially strengthened. If it found that they do not — which is the prediction the existing literature would support — the case for retiring the IAT as an individual diagnostic and training instrument would be evidence-based rather than merely inferential.</w:t>
      </w:r>
    </w:p>
    <w:p>
      <w:pPr>
        <w:spacing w:after="160" w:before="0" w:line="320" w:lineRule="auto"/>
        <w:jc w:val="both"/>
      </w:pPr>
      <w:r>
        <w:rPr>
          <w:rFonts w:ascii="Arial" w:cs="Arial" w:eastAsia="Arial" w:hAnsi="Arial"/>
          <w:color w:val="111111"/>
          <w:sz w:val="22"/>
          <w:szCs w:val="22"/>
        </w:rPr>
        <w:t xml:space="preserve">The absence of this study after a quarter century of high-profile deployment is itself a finding. A field confident in its instrument runs the decisive test. A field that has accumulated forty million test-takers, federal mandates, and a training industry without running that test has substituted scale for validation.</w:t>
      </w:r>
    </w:p>
    <w:p>
      <w:pPr>
        <w:spacing w:after="0" w:before="80"/>
      </w:pPr>
    </w:p>
    <w:p>
      <w:pPr>
        <w:pStyle w:val="Heading1"/>
        <w:spacing w:after="80" w:before="400"/>
      </w:pPr>
      <w:r>
        <w:rPr>
          <w:rFonts w:ascii="Arial" w:cs="Arial" w:eastAsia="Arial" w:hAnsi="Arial"/>
          <w:b/>
          <w:bCs/>
          <w:color w:val="1F3A6E"/>
          <w:sz w:val="30"/>
          <w:szCs w:val="30"/>
        </w:rPr>
        <w:t xml:space="preserve">VIII. Conclusion</w:t>
      </w:r>
    </w:p>
    <w:p>
      <w:pPr>
        <w:spacing w:after="160" w:before="0" w:line="320" w:lineRule="auto"/>
        <w:jc w:val="both"/>
      </w:pPr>
      <w:r>
        <w:rPr>
          <w:rFonts w:ascii="Arial" w:cs="Arial" w:eastAsia="Arial" w:hAnsi="Arial"/>
          <w:color w:val="111111"/>
          <w:sz w:val="22"/>
          <w:szCs w:val="22"/>
        </w:rPr>
        <w:t xml:space="preserve">The IAT measures a real laboratory phenomenon: reaction-time differences between compatible and incompatible category pairings exist and are replicable. What the IAT does not provide — and what the evidence accumulated over twenty-seven years consistently fails to establish — is the inferential chain from that phenomenon to individual diagnosis of implicit bias, reliable prediction of discriminatory behavior, or the behavioral efficacy of training interventions built around the measure.</w:t>
      </w:r>
    </w:p>
    <w:p>
      <w:pPr>
        <w:spacing w:after="160" w:before="0" w:line="320" w:lineRule="auto"/>
        <w:jc w:val="both"/>
      </w:pPr>
      <w:r>
        <w:rPr>
          <w:rFonts w:ascii="Arial" w:cs="Arial" w:eastAsia="Arial" w:hAnsi="Arial"/>
          <w:color w:val="111111"/>
          <w:sz w:val="22"/>
          <w:szCs w:val="22"/>
        </w:rPr>
        <w:t xml:space="preserve">Academic claims, public synthesis, and institutional uptake extended the IAT beyond its demonstrated validity, and the structural conditions of the literature — founding-author dominance of meta-analyses and rebuttals, institutional overlap via Project Implicit, systematic non-uptake of discriminant validity critiques — have functionally blocked self-correction rather than merely slowed it.</w:t>
      </w:r>
    </w:p>
    <w:p>
      <w:pPr>
        <w:spacing w:after="160" w:before="0" w:line="320" w:lineRule="auto"/>
        <w:jc w:val="both"/>
      </w:pPr>
      <w:r>
        <w:rPr>
          <w:rFonts w:ascii="Arial" w:cs="Arial" w:eastAsia="Arial" w:hAnsi="Arial"/>
          <w:color w:val="111111"/>
          <w:sz w:val="22"/>
          <w:szCs w:val="22"/>
        </w:rPr>
        <w:t xml:space="preserve">The “small effects at scale” defense is coherent but constitutes a retreat from individual diagnosis, not a defense of it. As a population-level ecological instrument — one whose regional and national averages track social change over time and covary with measurable disparities in policing, health, and education — the IAT has genuine construct-relevant signal. As an individual diagnostic, a behavioral predictor at the individual level, and the empirical foundation for a training industry applied to millions of people, it has not earned its deployment, and the field’s structural conditions have prevented rather than enabled the tests that would settle those questions.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Appendix: Cartel-Risk Scorecard</w:t>
      </w:r>
    </w:p>
    <w:p>
      <w:pPr>
        <w:spacing w:after="120" w:before="0"/>
      </w:pPr>
      <w:r>
        <w:rPr>
          <w:rFonts w:ascii="Arial" w:cs="Arial" w:eastAsia="Arial" w:hAnsi="Arial"/>
          <w:i/>
          <w:iCs/>
          <w:color w:val="555555"/>
          <w:sz w:val="20"/>
          <w:szCs w:val="20"/>
        </w:rPr>
        <w:t xml:space="preserve">Score: 0 = no concern — 3 = severe concern. Total range: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5960"/>
      </w:tblGrid>
      <w:tr>
        <w:trPr>
          <w:tblHeader/>
        </w:trPr>
        <w:tc>
          <w:tcPr>
            <w:tcW w:type="dxa" w:w="28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Dimension</w:t>
            </w:r>
          </w:p>
        </w:tc>
        <w:tc>
          <w:tcPr>
            <w:tcW w:type="dxa" w:w="60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Score</w:t>
            </w:r>
          </w:p>
        </w:tc>
        <w:tc>
          <w:tcPr>
            <w:tcW w:type="dxa" w:w="5960"/>
            <w:tcBorders>
              <w:top w:val="single" w:color="CCCCCC" w:sz="1"/>
              <w:left w:val="single" w:color="CCCCCC" w:sz="1"/>
              <w:bottom w:val="single" w:color="CCCCCC" w:sz="1"/>
              <w:right w:val="single" w:color="CCCCCC" w:sz="1"/>
            </w:tcBorders>
            <w:shd w:fill="1F3A6E" w:val="clear"/>
            <w:tcMar>
              <w:top w:type="dxa" w:w="100"/>
              <w:left w:type="dxa" w:w="160"/>
              <w:bottom w:type="dxa" w:w="100"/>
              <w:right w:type="dxa" w:w="160"/>
            </w:tcMar>
          </w:tcPr>
          <w:p>
            <w:r>
              <w:rPr>
                <w:rFonts w:ascii="Arial" w:cs="Arial" w:eastAsia="Arial" w:hAnsi="Arial"/>
                <w:b/>
                <w:bCs/>
                <w:color w:val="FFFFFF"/>
                <w:sz w:val="18"/>
                <w:szCs w:val="18"/>
              </w:rPr>
              <w:t xml:space="preserve">Justification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Founding-cluster dominance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Same three authors dominate founding papers, scoring standard, validity meta-analyses, rebuttals, and institutional delivery simultaneously</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Internal citation density</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&gt;70–80% of IAT papers cite founding cluster; high mutual citation across top papers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Recent-paper dependence on old cluster</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Recent papers still anchor to 1998/2003/2009 papers; some independent critique emerging</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Review-hub laundering</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2009 meta-analysis (author-run), Blindspot, and 2003 D-score paper function as laundering hubs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Proxy-to-construct mismatch</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RT difference → implicit attitude → discriminatory behavior: three contested inferential leaps</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Claim mutation downstream</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Lab RT finding → “75% of Americans unconsciously racist” → federal training policy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Adjacent-field neglect</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Psychometrics, personnel selection, audit study literature, behavioral genetics: excluded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Lack of decisive tests</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Prospective behavioral study in professional populations: not run in 27 years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Poor critique uptake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left"/>
            </w:pPr>
            <w:r>
              <w:rPr>
                <w:rFonts w:ascii="Arial" w:cs="Arial" w:eastAsia="Arial" w:hAnsi="Arial"/>
                <w:color w:val="111111"/>
                <w:sz w:val="18"/>
                <w:szCs w:val="18"/>
              </w:rPr>
              <w:t xml:space="preserve">Oswald, Schimmack, Meissner: cited then dismissed or ignored; core claims unchanged</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Intervention ratchet</w:t>
            </w:r>
          </w:p>
        </w:tc>
        <w:tc>
          <w:tcPr>
            <w:tcW w:type="dxa" w:w="60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2</w:t>
            </w:r>
          </w:p>
        </w:tc>
        <w:tc>
          <w:tcPr>
            <w:tcW w:type="dxa" w:w="5960"/>
            <w:tcBorders>
              <w:top w:val="single" w:color="CCCCCC" w:sz="1"/>
              <w:left w:val="single" w:color="CCCCCC" w:sz="1"/>
              <w:bottom w:val="single" w:color="CCCCCC" w:sz="1"/>
              <w:right w:val="single" w:color="CCCCCC" w:sz="1"/>
            </w:tcBorders>
            <w:shd w:fill="F2F4F8" w:val="clear"/>
            <w:tcMar>
              <w:top w:type="dxa" w:w="100"/>
              <w:left w:type="dxa" w:w="160"/>
              <w:bottom w:type="dxa" w:w="100"/>
              <w:right w:type="dxa" w:w="160"/>
            </w:tcMar>
          </w:tcPr>
          <w:p>
            <w:pPr>
              <w:jc w:val="left"/>
            </w:pPr>
            <w:r>
              <w:rPr>
                <w:rFonts w:ascii="Arial" w:cs="Arial" w:eastAsia="Arial" w:hAnsi="Arial"/>
                <w:color w:val="111111"/>
                <w:sz w:val="18"/>
                <w:szCs w:val="18"/>
              </w:rPr>
              <w:t xml:space="preserve">Training industry expands despite null behavioral effects; some within-field acknowledgment</w:t>
            </w:r>
          </w:p>
        </w:tc>
      </w:tr>
    </w:tbl>
    <w:p>
      <w:pPr>
        <w:spacing w:after="0" w:before="120"/>
      </w:pPr>
    </w:p>
    <w:p>
      <w:pPr>
        <w:spacing w:after="80" w:before="80"/>
      </w:pPr>
      <w:r>
        <w:rPr>
          <w:rFonts w:ascii="Arial" w:cs="Arial" w:eastAsia="Arial" w:hAnsi="Arial"/>
          <w:b/>
          <w:bCs/>
          <w:color w:val="1F3A6E"/>
          <w:sz w:val="22"/>
          <w:szCs w:val="22"/>
        </w:rPr>
        <w:t xml:space="preserve">Total Score: </w:t>
      </w:r>
      <w:r>
        <w:rPr>
          <w:rFonts w:ascii="Arial" w:cs="Arial" w:eastAsia="Arial" w:hAnsi="Arial"/>
          <w:b/>
          <w:bCs/>
          <w:color w:val="111111"/>
          <w:sz w:val="22"/>
          <w:szCs w:val="22"/>
        </w:rPr>
        <w:t xml:space="preserve">28 / 30</w:t>
      </w:r>
      <w:r>
        <w:rPr>
          <w:rFonts w:ascii="Arial" w:cs="Arial" w:eastAsia="Arial" w:hAnsi="Arial"/>
          <w:color w:val="555555"/>
          <w:sz w:val="22"/>
          <w:szCs w:val="22"/>
        </w:rPr>
        <w:t xml:space="preserve">  —  </w:t>
      </w:r>
      <w:r>
        <w:rPr>
          <w:rFonts w:ascii="Arial" w:cs="Arial" w:eastAsia="Arial" w:hAnsi="Arial"/>
          <w:i/>
          <w:iCs/>
          <w:color w:val="555555"/>
          <w:sz w:val="22"/>
          <w:szCs w:val="22"/>
        </w:rPr>
        <w:t xml:space="preserve">Functional citation cartel / structurally closed consensus</w:t>
      </w:r>
    </w:p>
    <w:p>
      <w:pPr>
        <w:spacing w:after="0" w:before="200"/>
      </w:pPr>
    </w:p>
    <w:p>
      <w:pPr>
        <w:pBdr>
          <w:bottom w:val="single" w:color="1F3A6E" w:sz="8" w:space="1"/>
        </w:pBdr>
        <w:spacing w:after="0" w:before="0"/>
      </w:pPr>
    </w:p>
    <w:p>
      <w:pPr>
        <w:spacing w:after="0" w:before="120"/>
      </w:pPr>
    </w:p>
    <w:p>
      <w:pPr>
        <w:pStyle w:val="Heading1"/>
        <w:spacing w:after="80" w:before="400"/>
      </w:pPr>
      <w:r>
        <w:rPr>
          <w:rFonts w:ascii="Arial" w:cs="Arial" w:eastAsia="Arial" w:hAnsi="Arial"/>
          <w:b/>
          <w:bCs/>
          <w:color w:val="1F3A6E"/>
          <w:sz w:val="30"/>
          <w:szCs w:val="30"/>
        </w:rPr>
        <w:t xml:space="preserve">Key References</w:t>
      </w:r>
    </w:p>
    <w:p>
      <w:pPr>
        <w:spacing w:after="120" w:before="0" w:line="280" w:lineRule="auto"/>
        <w:ind w:left="720" w:hanging="720"/>
        <w:jc w:val="both"/>
      </w:pPr>
      <w:r>
        <w:rPr>
          <w:rFonts w:ascii="Arial" w:cs="Arial" w:eastAsia="Arial" w:hAnsi="Arial"/>
          <w:color w:val="111111"/>
          <w:sz w:val="20"/>
          <w:szCs w:val="20"/>
        </w:rPr>
        <w:t xml:space="preserve">Banaji, M. R., &amp; Greenwald, A. G. (2013). Blindspot: Hidden biases of good people. Delacorte Press.</w:t>
      </w:r>
    </w:p>
    <w:p>
      <w:pPr>
        <w:spacing w:after="120" w:before="0" w:line="280" w:lineRule="auto"/>
        <w:ind w:left="720" w:hanging="720"/>
        <w:jc w:val="both"/>
      </w:pPr>
      <w:r>
        <w:rPr>
          <w:rFonts w:ascii="Arial" w:cs="Arial" w:eastAsia="Arial" w:hAnsi="Arial"/>
          <w:color w:val="111111"/>
          <w:sz w:val="20"/>
          <w:szCs w:val="20"/>
        </w:rPr>
        <w:t xml:space="preserve">Blanton, H., &amp; Jaccard, J. (2006). Arbitrary metrics in psychology. American Psychologist, 61(1), 27–41.</w:t>
      </w:r>
    </w:p>
    <w:p>
      <w:pPr>
        <w:spacing w:after="120" w:before="0" w:line="280" w:lineRule="auto"/>
        <w:ind w:left="720" w:hanging="720"/>
        <w:jc w:val="both"/>
      </w:pPr>
      <w:r>
        <w:rPr>
          <w:rFonts w:ascii="Arial" w:cs="Arial" w:eastAsia="Arial" w:hAnsi="Arial"/>
          <w:color w:val="111111"/>
          <w:sz w:val="20"/>
          <w:szCs w:val="20"/>
        </w:rPr>
        <w:t xml:space="preserve">Blanton, H., Jaccard, J., Strauts, E., Mitchell, G., &amp; Tetlock, P. E. (2015). Toward a meaningful metric of implicit prejudice. Journal of Applied Psychology, 100(5), 1468–1481.</w:t>
      </w:r>
    </w:p>
    <w:p>
      <w:pPr>
        <w:spacing w:after="120" w:before="0" w:line="280" w:lineRule="auto"/>
        <w:ind w:left="720" w:hanging="720"/>
        <w:jc w:val="both"/>
      </w:pPr>
      <w:r>
        <w:rPr>
          <w:rFonts w:ascii="Arial" w:cs="Arial" w:eastAsia="Arial" w:hAnsi="Arial"/>
          <w:color w:val="111111"/>
          <w:sz w:val="20"/>
          <w:szCs w:val="20"/>
        </w:rPr>
        <w:t xml:space="preserve">Charlesworth, T. E. S., &amp; Banaji, M. R. (2019). Patterns of implicit and explicit attitudes: I. Long-term change and stability from 2007 to 2016. Psychological Science, 30(2), 174–192.</w:t>
      </w:r>
    </w:p>
    <w:p>
      <w:pPr>
        <w:spacing w:after="120" w:before="0" w:line="280" w:lineRule="auto"/>
        <w:ind w:left="720" w:hanging="720"/>
        <w:jc w:val="both"/>
      </w:pPr>
      <w:r>
        <w:rPr>
          <w:rFonts w:ascii="Arial" w:cs="Arial" w:eastAsia="Arial" w:hAnsi="Arial"/>
          <w:color w:val="111111"/>
          <w:sz w:val="20"/>
          <w:szCs w:val="20"/>
        </w:rPr>
        <w:t xml:space="preserve">Charlesworth, T. E. S., &amp; Banaji, M. R. (2024). The science of implicit race bias: Evidence from the Implicit Association Test. Daedalus, 153(1), 21–48.</w:t>
      </w:r>
    </w:p>
    <w:p>
      <w:pPr>
        <w:spacing w:after="120" w:before="0" w:line="280" w:lineRule="auto"/>
        <w:ind w:left="720" w:hanging="720"/>
        <w:jc w:val="both"/>
      </w:pPr>
      <w:r>
        <w:rPr>
          <w:rFonts w:ascii="Arial" w:cs="Arial" w:eastAsia="Arial" w:hAnsi="Arial"/>
          <w:color w:val="111111"/>
          <w:sz w:val="20"/>
          <w:szCs w:val="20"/>
        </w:rPr>
        <w:t xml:space="preserve">Forscher, P. S., Lai, C. K., Axt, J., Ebersole, C. R., Herman, M., Devine, P. G., &amp; Nosek, B. A. (2019). A meta-analysis of procedures to change implicit measures. Journal of Personality and Social Psychology, 117(3), 522–559.</w:t>
      </w:r>
    </w:p>
    <w:p>
      <w:pPr>
        <w:spacing w:after="120" w:before="0" w:line="280" w:lineRule="auto"/>
        <w:ind w:left="720" w:hanging="720"/>
        <w:jc w:val="both"/>
      </w:pPr>
      <w:r>
        <w:rPr>
          <w:rFonts w:ascii="Arial" w:cs="Arial" w:eastAsia="Arial" w:hAnsi="Arial"/>
          <w:color w:val="111111"/>
          <w:sz w:val="20"/>
          <w:szCs w:val="20"/>
        </w:rPr>
        <w:t xml:space="preserve">Greenwald, A. G., Banaji, M. R., &amp; Nosek, B. A. (2015). Statistically small effects of the IAT can have societally large effects. Journal of Personality and Social Psychology, 108(4), 553–561.</w:t>
      </w:r>
    </w:p>
    <w:p>
      <w:pPr>
        <w:spacing w:after="120" w:before="0" w:line="280" w:lineRule="auto"/>
        <w:ind w:left="720" w:hanging="720"/>
        <w:jc w:val="both"/>
      </w:pPr>
      <w:r>
        <w:rPr>
          <w:rFonts w:ascii="Arial" w:cs="Arial" w:eastAsia="Arial" w:hAnsi="Arial"/>
          <w:color w:val="111111"/>
          <w:sz w:val="20"/>
          <w:szCs w:val="20"/>
        </w:rPr>
        <w:t xml:space="preserve">Greenwald, A. G., McGhee, D. E., &amp; Schwartz, J. L. K. (1998). Measuring individual differences in implicit cognition: The implicit association test. Journal of Personality and Social Psychology, 74(6), 1464–1480.</w:t>
      </w:r>
    </w:p>
    <w:p>
      <w:pPr>
        <w:spacing w:after="120" w:before="0" w:line="280" w:lineRule="auto"/>
        <w:ind w:left="720" w:hanging="720"/>
        <w:jc w:val="both"/>
      </w:pPr>
      <w:r>
        <w:rPr>
          <w:rFonts w:ascii="Arial" w:cs="Arial" w:eastAsia="Arial" w:hAnsi="Arial"/>
          <w:color w:val="111111"/>
          <w:sz w:val="20"/>
          <w:szCs w:val="20"/>
        </w:rPr>
        <w:t xml:space="preserve">Greenwald, A. G., Nosek, B. A., &amp; Banaji, M. R. (2003). Understanding and using the IAT: I. An improved scoring algorithm. Journal of Personality and Social Psychology, 85(2), 197–216.</w:t>
      </w:r>
    </w:p>
    <w:p>
      <w:pPr>
        <w:spacing w:after="120" w:before="0" w:line="280" w:lineRule="auto"/>
        <w:ind w:left="720" w:hanging="720"/>
        <w:jc w:val="both"/>
      </w:pPr>
      <w:r>
        <w:rPr>
          <w:rFonts w:ascii="Arial" w:cs="Arial" w:eastAsia="Arial" w:hAnsi="Arial"/>
          <w:color w:val="111111"/>
          <w:sz w:val="20"/>
          <w:szCs w:val="20"/>
        </w:rPr>
        <w:t xml:space="preserve">Greenwald, A. G., Poehlman, T. A., Uhlmann, E. L., &amp; Banaji, M. R. (2009). Understanding and using the IAT: III. Meta-analysis of predictive validity. Journal of Personality and Social Psychology, 97(1), 17–41.</w:t>
      </w:r>
    </w:p>
    <w:p>
      <w:pPr>
        <w:spacing w:after="120" w:before="0" w:line="280" w:lineRule="auto"/>
        <w:ind w:left="720" w:hanging="720"/>
        <w:jc w:val="both"/>
      </w:pPr>
      <w:r>
        <w:rPr>
          <w:rFonts w:ascii="Arial" w:cs="Arial" w:eastAsia="Arial" w:hAnsi="Arial"/>
          <w:color w:val="111111"/>
          <w:sz w:val="20"/>
          <w:szCs w:val="20"/>
        </w:rPr>
        <w:t xml:space="preserve">Kurdi, B., et al. (2019). Relationship between the IAT and intergroup behavior. Psychological Bulletin, 145(6), 600–627.</w:t>
      </w:r>
    </w:p>
    <w:p>
      <w:pPr>
        <w:spacing w:after="120" w:before="0" w:line="280" w:lineRule="auto"/>
        <w:ind w:left="720" w:hanging="720"/>
        <w:jc w:val="both"/>
      </w:pPr>
      <w:r>
        <w:rPr>
          <w:rFonts w:ascii="Arial" w:cs="Arial" w:eastAsia="Arial" w:hAnsi="Arial"/>
          <w:color w:val="111111"/>
          <w:sz w:val="20"/>
          <w:szCs w:val="20"/>
        </w:rPr>
        <w:t xml:space="preserve">Lai, C. K., et al. (2016). Reducing implicit racial preferences: II. Intervention effectiveness across time. Journal of Experimental Psychology: General, 145(8), 1001–1016.</w:t>
      </w:r>
    </w:p>
    <w:p>
      <w:pPr>
        <w:spacing w:after="120" w:before="0" w:line="280" w:lineRule="auto"/>
        <w:ind w:left="720" w:hanging="720"/>
        <w:jc w:val="both"/>
      </w:pPr>
      <w:r>
        <w:rPr>
          <w:rFonts w:ascii="Arial" w:cs="Arial" w:eastAsia="Arial" w:hAnsi="Arial"/>
          <w:color w:val="111111"/>
          <w:sz w:val="20"/>
          <w:szCs w:val="20"/>
        </w:rPr>
        <w:t xml:space="preserve">Meissner, F., et al. (2019). Predicting behavior with implicit measures: Disillusioning findings. Frontiers in Psychology, 10, 2483.</w:t>
      </w:r>
    </w:p>
    <w:p>
      <w:pPr>
        <w:spacing w:after="120" w:before="0" w:line="280" w:lineRule="auto"/>
        <w:ind w:left="720" w:hanging="720"/>
        <w:jc w:val="both"/>
      </w:pPr>
      <w:r>
        <w:rPr>
          <w:rFonts w:ascii="Arial" w:cs="Arial" w:eastAsia="Arial" w:hAnsi="Arial"/>
          <w:color w:val="111111"/>
          <w:sz w:val="20"/>
          <w:szCs w:val="20"/>
        </w:rPr>
        <w:t xml:space="preserve">Oswald, F. L., Mitchell, G., Blanton, H., Jaccard, J., &amp; Tetlock, P. E. (2013). Predicting ethnic and racial discrimination: A meta-analysis of IAT criterion studies. Journal of Personality and Social Psychology, 105(2), 171–192.</w:t>
      </w:r>
    </w:p>
    <w:p>
      <w:pPr>
        <w:spacing w:after="120" w:before="0" w:line="280" w:lineRule="auto"/>
        <w:ind w:left="720" w:hanging="720"/>
        <w:jc w:val="both"/>
      </w:pPr>
      <w:r>
        <w:rPr>
          <w:rFonts w:ascii="Arial" w:cs="Arial" w:eastAsia="Arial" w:hAnsi="Arial"/>
          <w:color w:val="111111"/>
          <w:sz w:val="20"/>
          <w:szCs w:val="20"/>
        </w:rPr>
        <w:t xml:space="preserve">Payne, B. K., Vuletich, H. A., &amp; Lundberg, K. B. (2017). The bias of crowds: How implicit bias bridges personal and systemic prejudice. Psychological Inquiry, 28(4), 233–248.</w:t>
      </w:r>
    </w:p>
    <w:p>
      <w:pPr>
        <w:spacing w:after="120" w:before="0" w:line="280" w:lineRule="auto"/>
        <w:ind w:left="720" w:hanging="720"/>
        <w:jc w:val="both"/>
      </w:pPr>
      <w:r>
        <w:rPr>
          <w:rFonts w:ascii="Arial" w:cs="Arial" w:eastAsia="Arial" w:hAnsi="Arial"/>
          <w:color w:val="111111"/>
          <w:sz w:val="20"/>
          <w:szCs w:val="20"/>
        </w:rPr>
        <w:t xml:space="preserve">Rothermund, K., &amp; Wentura, D. (2004). Underlying processes in the IAT: Dissociating salience from associations. Journal of Experimental Psychology: General, 133(2), 139–165.</w:t>
      </w:r>
    </w:p>
    <w:p>
      <w:pPr>
        <w:spacing w:after="120" w:before="0" w:line="280" w:lineRule="auto"/>
        <w:ind w:left="720" w:hanging="720"/>
        <w:jc w:val="both"/>
      </w:pPr>
      <w:r>
        <w:rPr>
          <w:rFonts w:ascii="Arial" w:cs="Arial" w:eastAsia="Arial" w:hAnsi="Arial"/>
          <w:color w:val="111111"/>
          <w:sz w:val="20"/>
          <w:szCs w:val="20"/>
        </w:rPr>
        <w:t xml:space="preserve">Schimmack, U. (2021). Invalid claims about the validity of IATs by prisoners of the implicit social-cognition paradigm. Perspectives on Psychological Science, 16(3), 435–442.</w:t>
      </w:r>
    </w:p>
    <w:p>
      <w:pPr>
        <w:spacing w:after="120" w:before="0" w:line="280" w:lineRule="auto"/>
        <w:ind w:left="720" w:hanging="720"/>
        <w:jc w:val="both"/>
      </w:pPr>
      <w:r>
        <w:rPr>
          <w:rFonts w:ascii="Arial" w:cs="Arial" w:eastAsia="Arial" w:hAnsi="Arial"/>
          <w:color w:val="111111"/>
          <w:sz w:val="20"/>
          <w:szCs w:val="20"/>
        </w:rPr>
        <w:t xml:space="preserve">Schmidt, F. L., &amp; Hunter, J. E. (1998). The validity and utility of selection methods in personnel psychology. Psychological Bulletin, 124(2), 262–274.</w:t>
      </w:r>
    </w:p>
    <w:p>
      <w:pPr>
        <w:spacing w:after="120" w:before="0" w:line="280" w:lineRule="auto"/>
        <w:ind w:left="720" w:hanging="720"/>
        <w:jc w:val="both"/>
      </w:pPr>
      <w:r>
        <w:rPr>
          <w:rFonts w:ascii="Arial" w:cs="Arial" w:eastAsia="Arial" w:hAnsi="Arial"/>
          <w:color w:val="111111"/>
          <w:sz w:val="20"/>
          <w:szCs w:val="20"/>
        </w:rPr>
        <w:t xml:space="preserve">Vuletich, H. A., &amp; Payne, B. K. (2019). Stability and change in implicit bias. Psychological Science, 30(6), 854–862.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6E" w:sz="4" w:space="4"/>
      </w:pBdr>
      <w:tabs>
        <w:tab w:val="right" w:pos="9360"/>
      </w:tabs>
      <w:spacing w:before="0"/>
    </w:pPr>
    <w:r>
      <w:rPr>
        <w:rFonts w:ascii="Arial" w:cs="Arial" w:eastAsia="Arial" w:hAnsi="Arial"/>
        <w:color w:val="888888"/>
        <w:sz w:val="16"/>
        <w:szCs w:val="16"/>
      </w:rPr>
      <w:t xml:space="preserve">Construct-Validity Audit — IAT (Greenwald et al., 1998)</w:t>
    </w:r>
    <w:r>
      <w:rPr>
        <w:rFonts w:ascii="Arial" w:cs="Arial" w:eastAsia="Arial" w:hAnsi="Arial"/>
        <w:sz w:val="16"/>
        <w:szCs w:val="16"/>
      </w:rPr>
      <w:t xml:space="preserve">	</w:t>
    </w:r>
    <w:r>
      <w:rPr>
        <w:rFonts w:ascii="Arial" w:cs="Arial" w:eastAsia="Arial" w:hAnsi="Arial"/>
        <w:color w:val="888888"/>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6E" w:sz="6" w:space="4"/>
      </w:pBdr>
      <w:tabs>
        <w:tab w:val="right" w:pos="9360"/>
      </w:tabs>
      <w:spacing w:after="0"/>
    </w:pPr>
    <w:r>
      <w:rPr>
        <w:rFonts w:ascii="Arial" w:cs="Arial" w:eastAsia="Arial" w:hAnsi="Arial"/>
        <w:i/>
        <w:iCs/>
        <w:color w:val="888888"/>
        <w:sz w:val="18"/>
        <w:szCs w:val="18"/>
      </w:rPr>
      <w:t xml:space="preserve">The IAT’s Construct-Validity Gap</w:t>
    </w:r>
    <w:r>
      <w:rPr>
        <w:rFonts w:ascii="Arial" w:cs="Arial" w:eastAsia="Arial" w:hAnsi="Arial"/>
        <w:sz w:val="18"/>
        <w:szCs w:val="18"/>
      </w:rPr>
      <w:t xml:space="preserve">	</w:t>
    </w:r>
    <w:r>
      <w:rPr>
        <w:rFonts w:ascii="Arial" w:cs="Arial" w:eastAsia="Arial" w:hAnsi="Arial"/>
        <w:color w:val="888888"/>
        <w:sz w:val="18"/>
        <w:szCs w:val="18"/>
      </w:rPr>
      <w:t xml:space="preserve">Methodological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F3A6E"/>
      <w:sz w:val="30"/>
      <w:szCs w:val="30"/>
    </w:rPr>
  </w:style>
  <w:style w:type="paragraph" w:styleId="Heading2">
    <w:name w:val="Heading 2"/>
    <w:basedOn w:val="Normal"/>
    <w:next w:val="Normal"/>
    <w:qFormat/>
    <w:pPr>
      <w:spacing w:after="60" w:before="280"/>
      <w:outlineLvl w:val="1"/>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2026-05-18T04:58:26.674Z</dcterms:created>
  <dcterms:modified xsi:type="dcterms:W3CDTF">2026-05-18T04:58:26.674Z</dcterms:modified>
</cp:coreProperties>
</file>

<file path=docProps/custom.xml><?xml version="1.0" encoding="utf-8"?>
<Properties xmlns="http://schemas.openxmlformats.org/officeDocument/2006/custom-properties" xmlns:vt="http://schemas.openxmlformats.org/officeDocument/2006/docPropsVTypes"/>
</file>