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석탄발전 조기폐지 NBV 보전방안 검토의견 — 규정 대조 검토</w:t>
      </w:r>
    </w:p>
    <w:p/>
    <w:p>
      <w:pPr>
        <w:pStyle w:val="Heading2"/>
      </w:pPr>
      <w:r>
        <w:t>I. 검토 범위 및 전제</w:t>
      </w:r>
    </w:p>
    <w:p>
      <w:r>
        <w:t>본 검토는 귀사로부터 제공받은 초안 검토의견서(이하 "초안")를 (i) 전력시장운영규칙(2024. 2., 이하 "운영규칙"), (ii) 비용평가 세부운영규정(2024. 7., 이하 "비용규정") 및 (iii) 관련 회계기준(K-IFRS IAS 16, K-IFRS 제1008호)에 대조하여, 논리적 흠결·조문 오류·누락된 쟁점을 정리하고 수정 권고안을 제시하는 것을 목적으로 합니다. 초안의 전체적인 구성과 논리 방향은 타당하며, 이하에서는 보완이 필요한 사항을 항목별로 기술합니다.</w:t>
      </w:r>
    </w:p>
    <w:p>
      <w:pPr>
        <w:pStyle w:val="Heading2"/>
      </w:pPr>
      <w:r>
        <w:t>II. 검토 의견</w:t>
      </w:r>
    </w:p>
    <w:p>
      <w:pPr>
        <w:pStyle w:val="Heading3"/>
      </w:pPr>
      <w:r>
        <w:t>1. ❸ 정산조정계수 관련 — 조문 인용 정확도 및 구조 이해</w:t>
      </w:r>
    </w:p>
    <w:p>
      <w:pPr>
        <w:pStyle w:val="Heading4"/>
      </w:pPr>
      <w:r>
        <w:t>가. 정산조정계수(π) 범위 — 조문 확인</w:t>
      </w:r>
    </w:p>
    <w:p>
      <w:r>
        <w:t>초안은 "π의 범위는 0 &lt; π ≤ 1로 한정되어 있어 시장정산금을 '삭감'하는 방향으로만 작동한다"고 기술합니다. 이는 아래 두 조문으로 이중 확인됩니다.</w:t>
      </w:r>
    </w:p>
    <w:p>
      <w:pPr>
        <w:pStyle w:val="ListBullet"/>
      </w:pPr>
      <w:r>
        <w:rPr>
          <w:b/>
        </w:rPr>
        <w:t>비용규정 제8.3.1조</w:t>
      </w:r>
      <w:r>
        <w:t>: "조정계수의 연간 적용범위(0 &lt; 정산조정계수 ≤ 1)내에서 …"</w:t>
      </w:r>
    </w:p>
    <w:p>
      <w:pPr>
        <w:pStyle w:val="ListBullet"/>
      </w:pPr>
      <w:r>
        <w:rPr>
          <w:b/>
        </w:rPr>
        <w:t>운영규칙 별표 23 제5.2.1조</w:t>
      </w:r>
      <w:r>
        <w:t xml:space="preserve">: "πi: … 정산조정계수이며, </w:t>
      </w:r>
      <w:r>
        <w:rPr>
          <w:b/>
        </w:rPr>
        <w:t>1보다 작거나 같다</w:t>
      </w:r>
      <w:r>
        <w:t>"</w:t>
      </w:r>
    </w:p>
    <w:p>
      <w:r>
        <w:t>따라서 π ≤ 1 제약은 정확한 서술입니다. 다만 한 가지 누락된 사항이 있습니다. 운영규칙 별표 23 제7.0조는 [신설 2020.12.1] "정산조정계수 연간 적용범위(0 &lt; π ≤ 1) 내에서의 정산금 조정"이라는 표제 하에, 당해연도 4/4분기에 재산정된 계수(이하 "재조정계수")가 이론상 1을 초과하거나 0 이하인 경우에도 1을 상한으로 하여 이전 기간 차액을 소급 정산할 수 있는 메커니즘을 두고 있습니다(별표 23 제7.1조, 제7.1.1조). 이 조항은 π가 1을 초과하는 지급을 허용하는 것이 아니라, 어디까지나 상한 1의 범위 안에서 연간 정산 오차를 조정하는 것에 불과합니다. 그러나 초안이 이 조항을 전혀 언급하지 않으면 독자(감사원·기재부)가 "이미 별표 23 제7.0조로 유연한 조정이 가능한 것 아닌가"라는 반론을 제기할 수 있습니다.</w:t>
      </w:r>
    </w:p>
    <w:p>
      <w:pPr>
        <w:ind w:left="576" w:right="576"/>
      </w:pPr>
      <w:r>
        <w:rPr>
          <w:b/>
          <w:color w:val="1F497D"/>
        </w:rPr>
        <w:t xml:space="preserve">【추가 권고 문구】 </w:t>
      </w:r>
      <w:r>
        <w:t>"운영규칙 별표 23 제7.0조는 연간 4/4분기 재산정 시 이전 기간의 정산 차액을 소급 조정하는 메커니즘을 규정하고 있으나, 동 조항 역시 π의 연간 적용 상한값('1')을 전제로 한 차액 정산에 불과하여, NBV에 상응하는 추가 지급(π &gt; 1 효과)을 허용하는 근거가 될 수 없다."</w:t>
      </w:r>
    </w:p>
    <w:p>
      <w:pPr>
        <w:pStyle w:val="Heading4"/>
      </w:pPr>
      <w:r>
        <w:t>나. 발전공기업과 민간석탄의 적용 대상 조문 구분</w:t>
      </w:r>
    </w:p>
    <w:p>
      <w:r>
        <w:t>초안은 운영규칙 제18.10조 제1항 제1호를 발전공기업의 근거로, 비용규정 제17.1.2.3조를 민간석탄의 미회수 보전 근거로 적절히 구분하고 있습니다. 이는 규정에 부합합니다. 다만, 운영규칙 제18.10조 제1항 제3호 ("제1호에 해당되지 않는 중앙급전 석탄발전")도 별표 23에 따른 조정 대상임을 언급할 필요가 있습니다. 제3호 민간석탄에 비용규정 제17장이 적용되는 구조임을 명시함으로써, 발전공기업에게 민간석탄과 같은 총괄원가 기준 보전이 현재 불가능한 이유를 규정 체계 차원에서 정확히 설명할 수 있습니다.</w:t>
      </w:r>
    </w:p>
    <w:p>
      <w:pPr>
        <w:pStyle w:val="Heading4"/>
      </w:pPr>
      <w:r>
        <w:t>다. 규정 내부 조문번호 불일치 — 법률의견서에서 명시 필요</w:t>
      </w:r>
    </w:p>
    <w:p>
      <w:r>
        <w:t>비용규정 제8장(정산조정계수 산정기준) 제8.1.1조는 "규칙 제14.10조에 의한 별표 23"을 참조하고, 비용규정 제17.1.1.1조는 "규칙 제15.10조(전력가격 안정 등에 대한 조치)"를 참조합니다. 그러나 현행 운영규칙(2024. 2.)은 해당 조항을 제18.10조로 두고 있습니다. 이는 비용규정(2024. 7.)과 운영규칙(2024. 2.) 간의 내부 조문 번호 불일치로서, 상대방이 "규정이 상충된다"는 반론을 제기할 수 있으므로 아래와 같은 주석 추가를 권고합니다.</w:t>
      </w:r>
    </w:p>
    <w:p>
      <w:pPr>
        <w:ind w:left="576"/>
      </w:pPr>
      <w:r>
        <w:rPr>
          <w:b/>
          <w:color w:val="1F497D"/>
        </w:rPr>
        <w:t xml:space="preserve">【권고 주석】 </w:t>
      </w:r>
      <w:r>
        <w:t>"비용규정 제8.1.1조 및 제17.1.1.1조는 각각 운영규칙 제14.10조 및 제15.10조를 참조하고 있으나, 현행 운영규칙(2024. 2.)에서는 해당 조항이 제18.10조로 존치되어 있는바, 내부 조문번호 불일치가 존재한다. 본 의견서는 현행 운영규칙 제18.10조를 실질적 근거로 삼아 검토한다."</w:t>
      </w:r>
    </w:p>
    <w:p>
      <w:pPr>
        <w:pStyle w:val="Heading3"/>
      </w:pPr>
      <w:r>
        <w:t>2. ❹ CP(기준용량가격) 관련 — 기준 설비 명칭 오류</w:t>
      </w:r>
    </w:p>
    <w:p>
      <w:r>
        <w:t>초안은 CP가 "신규 CCGT 가스터빈을 기준 설비로 하여 건설투자비·운전유지비에서 기대이익을 차감하는 방식으로 산정된다"고 기술합니다. 그러나 비용규정 제5.3.1.1조는 다음과 같이 규정합니다.</w:t>
      </w:r>
    </w:p>
    <w:p>
      <w:pPr>
        <w:ind w:left="576"/>
      </w:pPr>
      <w:r>
        <w:t xml:space="preserve">"발전기의 기준용량가격은 </w:t>
      </w:r>
      <w:r>
        <w:rPr>
          <w:b/>
        </w:rPr>
        <w:t>신인천가스복합발전기의 가스터빈발전기</w:t>
      </w:r>
      <w:r>
        <w:t xml:space="preserve">를 기준으로 발전기의 </w:t>
      </w:r>
      <w:r>
        <w:rPr>
          <w:b/>
        </w:rPr>
        <w:t>진입연도별로 다르게</w:t>
      </w:r>
      <w:r>
        <w:t xml:space="preserve"> 적용한다."</w:t>
      </w:r>
    </w:p>
    <w:p>
      <w:r>
        <w:t>초안의 기술은 두 가지 점에서 수정이 필요합니다.</w:t>
      </w:r>
    </w:p>
    <w:p>
      <w:pPr>
        <w:pStyle w:val="ListNumber"/>
      </w:pPr>
      <w:r>
        <w:rPr>
          <w:b/>
        </w:rPr>
        <w:t xml:space="preserve">명칭 오류: </w:t>
      </w:r>
      <w:r>
        <w:t>"신규 CCGT" → "신인천가스복합발전기의 가스터빈발전기" (비용규정 제5.3.1.1조). CP 기준값이 해당 발전기의 실제 건설단가와 연결된 특정 수치임을 뜻하므로 정확성이 요구됩니다.</w:t>
      </w:r>
    </w:p>
    <w:p>
      <w:pPr>
        <w:pStyle w:val="ListNumber"/>
      </w:pPr>
      <w:r>
        <w:rPr>
          <w:b/>
        </w:rPr>
        <w:t xml:space="preserve">진입연도별 차등 누락: </w:t>
      </w:r>
      <w:r>
        <w:t>CP는 진입연도별 물가지수를 적용하여 달리 산정됩니다(비용규정 제5.3.2.1.1조~제5.3.2.1.1.3조). 조기폐지 대상 구형 석탄발전기의 적용 CP는 현재 기준 CP보다 낮을 수 있어 실제 보전 범위에 직접적 영향을 미칩니다.</w:t>
      </w:r>
    </w:p>
    <w:p>
      <w:pPr>
        <w:pStyle w:val="Heading3"/>
      </w:pPr>
      <w:r>
        <w:t>3. ❷ 가속감가상각 관련 — K-IFRS 제1008호 공시 의무 누락</w:t>
      </w:r>
    </w:p>
    <w:p>
      <w:r>
        <w:t>초안은 K-IFRS IAS 16 제51조를 근거로 가속감가상각의 현행법상 실행가능성을 논증합니다. 이는 타당합니다. 그러나 회계추정의 변경에 수반되는 K-IFRS 제1008호(회계정책, 회계추정의 변경 및 오류)의 공시 의무가 누락되어 있습니다. 동 기준 제38조~제40조에 따르면 다음 사항을 재무제표 주석에 공시하여야 합니다.</w:t>
      </w:r>
    </w:p>
    <w:p>
      <w:pPr>
        <w:pStyle w:val="ListBullet"/>
      </w:pPr>
      <w:r>
        <w:t>변경의 성격 및 내용</w:t>
      </w:r>
    </w:p>
    <w:p>
      <w:pPr>
        <w:pStyle w:val="ListBullet"/>
      </w:pPr>
      <w:r>
        <w:rPr>
          <w:b/>
        </w:rPr>
        <w:t>당기 및 미래기간에 미치는 영향 금액</w:t>
      </w:r>
      <w:r>
        <w:t xml:space="preserve"> (추정이 불가능한 경우 그 사실)</w:t>
      </w:r>
    </w:p>
    <w:p>
      <w:r>
        <w:t>감사원은 이 공시가 누락·불충분한 경우 "경영진의 자의적 회계처리"로 지적할 수 있습니다. "외부감사인 사전 협의 및 동의 확보" 요건에 더하여, K-IFRS 제1008호 제38조에 따른 주석 공시 내용의 사전 설계를 안전장치 목록에 포함하여야 합니다.</w:t>
      </w:r>
    </w:p>
    <w:p>
      <w:pPr>
        <w:pStyle w:val="Heading3"/>
      </w:pPr>
      <w:r>
        <w:t>4. ❶ + ❷ 병행 시 이중 보전(과보상) 리스크 — 미검토 사항</w:t>
      </w:r>
    </w:p>
    <w:p>
      <w:r>
        <w:t>초안은 혼합전략(❷ 단기 → ❸·❹ 중기 → ❶ 장기)을 권고하면서도, 복수 방안 병행 시 발생하는 이중 보전(과보상) 리스크를 명시적으로 검토하지 않습니다. 이는 감사원이 가장 먼저 지적할 수 있는 핵심 쟁점입니다.</w:t>
      </w:r>
    </w:p>
    <w:p>
      <w:pPr>
        <w:ind w:left="576"/>
      </w:pPr>
      <w:r>
        <w:rPr>
          <w:b/>
        </w:rPr>
        <w:t xml:space="preserve">【예시】 </w:t>
      </w:r>
      <w:r>
        <w:t>귀사가 가속감가상각(❷)으로 NBV를 500억 원 → 200억 원으로 축소한 후, 현금보전(❶) 협상 시 "원래 NBV 500억 원"을 기준으로 보상을 요구하면 이미 회계적으로 처리된 300억 원을 이중으로 보전받는 결과가 됩니다.</w:t>
      </w:r>
    </w:p>
    <w:p>
      <w:r>
        <w:t>이에 아래 사항을 초안에 명시적으로 추가할 것을 권고합니다.</w:t>
      </w:r>
    </w:p>
    <w:p>
      <w:pPr>
        <w:pStyle w:val="ListNumber"/>
      </w:pPr>
      <w:r>
        <w:rPr>
          <w:b/>
        </w:rPr>
        <w:t xml:space="preserve">기준 시점 명확화: </w:t>
      </w:r>
      <w:r>
        <w:t>보전 협상의 기준 NBV를 가속감가상각 적용 이전의 원장부가액으로 할 것인지, 적용 이후 잔액으로 할 것인지를 정부와의 협약서 또는 특별법 조항에 명시.</w:t>
      </w:r>
    </w:p>
    <w:p>
      <w:pPr>
        <w:pStyle w:val="ListNumber"/>
      </w:pPr>
      <w:r>
        <w:rPr>
          <w:b/>
        </w:rPr>
        <w:t xml:space="preserve">상계(차감) 조항 설계: </w:t>
      </w:r>
      <w:r>
        <w:t>❷ 실행 후 ❶·❸·❹ 보전 금액 산정 시 법인세 이연 이익을 차감하는 과보상 방지 조항 포함.</w:t>
      </w:r>
    </w:p>
    <w:p>
      <w:pPr>
        <w:pStyle w:val="ListNumber"/>
      </w:pPr>
      <w:r>
        <w:rPr>
          <w:b/>
        </w:rPr>
        <w:t xml:space="preserve">독립 검증기관 확인: </w:t>
      </w:r>
      <w:r>
        <w:t>복수 방안 병행 시 총 보전 합계가 원장부가액을 초과하지 않음을 독립 외부평가보고서에서 확인.</w:t>
      </w:r>
    </w:p>
    <w:p>
      <w:pPr>
        <w:pStyle w:val="Heading3"/>
      </w:pPr>
      <w:r>
        <w:t>5. Option B (신속 트랙) — 전기사업법 제25조 수권 범위 검증 필요</w:t>
      </w:r>
    </w:p>
    <w:p>
      <w:r>
        <w:t>초안 Option B는 "전기사업법 제25조의 위임에 따라 시행령 또는 산업부 고시에 공익적 조기폐지 시 적정비용 보전 근거를 삽입"하는 방식을 제시합니다. 그러나 전기사업법 제25조는 "전력수급기본계획의 수립"에 관한 조항으로서, 발전사업자에 대한 비용 보전을 직접 수권하는 내용을 담고 있지 않습니다. 이를 근거로 시행령·고시에 비용 보전 조항을 삽입하면 헌법 제75조의 포괄위임금지 원칙 위반 논란이 제기될 수 있습니다. 전기사업법 제25조 단독 인용 대신, 전기사업법 제7조(허가 조건)·제48조(허가 취소) 등의 손실보상 관련 조항, 또는 별도 보상 조항 신설 경로를 검토하고, 구체적 수권 조항의 특정이 선행되어야 한다는 조건을 부기하여야 합니다.</w:t>
      </w:r>
    </w:p>
    <w:p>
      <w:pPr>
        <w:pStyle w:val="Heading3"/>
      </w:pPr>
      <w:r>
        <w:t>6. ❸·❹ 개정 절차 — 비용평가위원회와 규칙개정위원회의 구분 명확화</w:t>
      </w:r>
    </w:p>
    <w:p>
      <w:r>
        <w:t>초안은 "산업부·전력거래소·비용평가위원회 심의·의결 경로"라고 기술하나, 두 규정의 개정 절차는 아래와 같이 구분됩니다.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개정 대상</w:t>
            </w:r>
          </w:p>
        </w:tc>
        <w:tc>
          <w:tcPr>
            <w:tcW w:type="dxa" w:w="2880"/>
          </w:tcPr>
          <w:p>
            <w:r>
              <w:rPr>
                <w:b/>
              </w:rPr>
              <w:t>소관 위원회</w:t>
            </w:r>
          </w:p>
        </w:tc>
        <w:tc>
          <w:tcPr>
            <w:tcW w:type="dxa" w:w="2880"/>
          </w:tcPr>
          <w:p>
            <w:r>
              <w:rPr>
                <w:b/>
              </w:rPr>
              <w:t>최종 승인권자</w:t>
            </w:r>
          </w:p>
        </w:tc>
      </w:tr>
      <w:tr>
        <w:tc>
          <w:tcPr>
            <w:tcW w:type="dxa" w:w="2880"/>
          </w:tcPr>
          <w:p>
            <w:r>
              <w:t>전력시장운영규칙 (π 상한 변경, 별표 23 개정)</w:t>
            </w:r>
          </w:p>
        </w:tc>
        <w:tc>
          <w:tcPr>
            <w:tcW w:type="dxa" w:w="2880"/>
          </w:tcPr>
          <w:p>
            <w:r>
              <w:t>규칙개정위원회 (운영규칙 제9장)</w:t>
            </w:r>
          </w:p>
        </w:tc>
        <w:tc>
          <w:tcPr>
            <w:tcW w:type="dxa" w:w="2880"/>
          </w:tcPr>
          <w:p>
            <w:r>
              <w:t>산업통상자원부장관</w:t>
            </w:r>
          </w:p>
        </w:tc>
      </w:tr>
      <w:tr>
        <w:tc>
          <w:tcPr>
            <w:tcW w:type="dxa" w:w="2880"/>
          </w:tcPr>
          <w:p>
            <w:r>
              <w:t>비용평가세부운영규정 (제8장, 제17장 준용 조항)</w:t>
            </w:r>
          </w:p>
        </w:tc>
        <w:tc>
          <w:tcPr>
            <w:tcW w:type="dxa" w:w="2880"/>
          </w:tcPr>
          <w:p>
            <w:r>
              <w:t>비용평가위원회 (운영규칙 제2장, 비용규정 제1장)</w:t>
            </w:r>
          </w:p>
        </w:tc>
        <w:tc>
          <w:tcPr>
            <w:tcW w:type="dxa" w:w="2880"/>
          </w:tcPr>
          <w:p>
            <w:r>
              <w:t>비용평가위원회 의결</w:t>
            </w:r>
          </w:p>
        </w:tc>
      </w:tr>
    </w:tbl>
    <w:p/>
    <w:p>
      <w:r>
        <w:t>두 절차는 별개로 진행되며, 특히 운영규칙 개정은 규칙개정위원회 심의·의결 후 산업통상자원부장관의 최종 승인을 요합니다. 각 개정의 선후 관계와 소요 기간을 명시할 것을 권고합니다.</w:t>
      </w:r>
    </w:p>
    <w:p>
      <w:pPr>
        <w:pStyle w:val="Heading2"/>
      </w:pPr>
      <w:r>
        <w:t>III. 종합 정리 — 수정 권고사항 요약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해당 항목</w:t>
            </w:r>
          </w:p>
        </w:tc>
        <w:tc>
          <w:tcPr>
            <w:tcW w:type="dxa" w:w="2160"/>
          </w:tcPr>
          <w:p>
            <w:r>
              <w:rPr>
                <w:b/>
              </w:rPr>
              <w:t>흠결 유형</w:t>
            </w:r>
          </w:p>
        </w:tc>
        <w:tc>
          <w:tcPr>
            <w:tcW w:type="dxa" w:w="2160"/>
          </w:tcPr>
          <w:p>
            <w:r>
              <w:rPr>
                <w:b/>
              </w:rPr>
              <w:t>수정 방향</w:t>
            </w:r>
          </w:p>
        </w:tc>
      </w:tr>
      <w:tr>
        <w:tc>
          <w:tcPr>
            <w:tcW w:type="dxa" w:w="2160"/>
          </w:tcPr>
          <w:p>
            <w:r>
              <w:t>1</w:t>
            </w:r>
          </w:p>
        </w:tc>
        <w:tc>
          <w:tcPr>
            <w:tcW w:type="dxa" w:w="2160"/>
          </w:tcPr>
          <w:p>
            <w:r>
              <w:t>❸ 정산조정계수</w:t>
            </w:r>
          </w:p>
        </w:tc>
        <w:tc>
          <w:tcPr>
            <w:tcW w:type="dxa" w:w="2160"/>
          </w:tcPr>
          <w:p>
            <w:r>
              <w:t>별표 23 제7.0조 미언급 → 반론 대응 취약</w:t>
            </w:r>
          </w:p>
        </w:tc>
        <w:tc>
          <w:tcPr>
            <w:tcW w:type="dxa" w:w="2160"/>
          </w:tcPr>
          <w:p>
            <w:r>
              <w:t>해당 조항이 π&gt;1 허용이 아님을 선제 논증</w:t>
            </w:r>
          </w:p>
        </w:tc>
      </w:tr>
      <w:tr>
        <w:tc>
          <w:tcPr>
            <w:tcW w:type="dxa" w:w="2160"/>
          </w:tcPr>
          <w:p>
            <w:r>
              <w:t>2</w:t>
            </w:r>
          </w:p>
        </w:tc>
        <w:tc>
          <w:tcPr>
            <w:tcW w:type="dxa" w:w="2160"/>
          </w:tcPr>
          <w:p>
            <w:r>
              <w:t>❸ 정산조정계수</w:t>
            </w:r>
          </w:p>
        </w:tc>
        <w:tc>
          <w:tcPr>
            <w:tcW w:type="dxa" w:w="2160"/>
          </w:tcPr>
          <w:p>
            <w:r>
              <w:t>제18.10조 제1항 제3호(민간석탄) 미언급</w:t>
            </w:r>
          </w:p>
        </w:tc>
        <w:tc>
          <w:tcPr>
            <w:tcW w:type="dxa" w:w="2160"/>
          </w:tcPr>
          <w:p>
            <w:r>
              <w:t>발전공기업·민간석탄 적용 체계 구분 명시</w:t>
            </w:r>
          </w:p>
        </w:tc>
      </w:tr>
      <w:tr>
        <w:tc>
          <w:tcPr>
            <w:tcW w:type="dxa" w:w="2160"/>
          </w:tcPr>
          <w:p>
            <w:r>
              <w:t>3</w:t>
            </w:r>
          </w:p>
        </w:tc>
        <w:tc>
          <w:tcPr>
            <w:tcW w:type="dxa" w:w="2160"/>
          </w:tcPr>
          <w:p>
            <w:r>
              <w:t>❸ 정산조정계수</w:t>
            </w:r>
          </w:p>
        </w:tc>
        <w:tc>
          <w:tcPr>
            <w:tcW w:type="dxa" w:w="2160"/>
          </w:tcPr>
          <w:p>
            <w:r>
              <w:t>비용규정·운영규칙 조문번호 불일치 미언급</w:t>
            </w:r>
          </w:p>
        </w:tc>
        <w:tc>
          <w:tcPr>
            <w:tcW w:type="dxa" w:w="2160"/>
          </w:tcPr>
          <w:p>
            <w:r>
              <w:t>현행 제18.10조 기준임을 주석으로 명기</w:t>
            </w:r>
          </w:p>
        </w:tc>
      </w:tr>
      <w:tr>
        <w:tc>
          <w:tcPr>
            <w:tcW w:type="dxa" w:w="2160"/>
          </w:tcPr>
          <w:p>
            <w:r>
              <w:t>4</w:t>
            </w:r>
          </w:p>
        </w:tc>
        <w:tc>
          <w:tcPr>
            <w:tcW w:type="dxa" w:w="2160"/>
          </w:tcPr>
          <w:p>
            <w:r>
              <w:t>❹ CP 가산</w:t>
            </w:r>
          </w:p>
        </w:tc>
        <w:tc>
          <w:tcPr>
            <w:tcW w:type="dxa" w:w="2160"/>
          </w:tcPr>
          <w:p>
            <w:r>
              <w:t>기준 설비 "신규 CCGT" → 조문과 불일치</w:t>
            </w:r>
          </w:p>
        </w:tc>
        <w:tc>
          <w:tcPr>
            <w:tcW w:type="dxa" w:w="2160"/>
          </w:tcPr>
          <w:p>
            <w:r>
              <w:t>"신인천가스복합발전기" + 진입연도별 차등 명시</w:t>
            </w:r>
          </w:p>
        </w:tc>
      </w:tr>
      <w:tr>
        <w:tc>
          <w:tcPr>
            <w:tcW w:type="dxa" w:w="2160"/>
          </w:tcPr>
          <w:p>
            <w:r>
              <w:t>5</w:t>
            </w:r>
          </w:p>
        </w:tc>
        <w:tc>
          <w:tcPr>
            <w:tcW w:type="dxa" w:w="2160"/>
          </w:tcPr>
          <w:p>
            <w:r>
              <w:t>❷ 가속감가상각</w:t>
            </w:r>
          </w:p>
        </w:tc>
        <w:tc>
          <w:tcPr>
            <w:tcW w:type="dxa" w:w="2160"/>
          </w:tcPr>
          <w:p>
            <w:r>
              <w:t>K-IFRS 제1008호 주석 공시 의무 누락</w:t>
            </w:r>
          </w:p>
        </w:tc>
        <w:tc>
          <w:tcPr>
            <w:tcW w:type="dxa" w:w="2160"/>
          </w:tcPr>
          <w:p>
            <w:r>
              <w:t>제38조 공시 요건 및 외부감사인 서면 동의 추가</w:t>
            </w:r>
          </w:p>
        </w:tc>
      </w:tr>
      <w:tr>
        <w:tc>
          <w:tcPr>
            <w:tcW w:type="dxa" w:w="2160"/>
          </w:tcPr>
          <w:p>
            <w:r>
              <w:t>6</w:t>
            </w:r>
          </w:p>
        </w:tc>
        <w:tc>
          <w:tcPr>
            <w:tcW w:type="dxa" w:w="2160"/>
          </w:tcPr>
          <w:p>
            <w:r>
              <w:t>❶+❷ 병행</w:t>
            </w:r>
          </w:p>
        </w:tc>
        <w:tc>
          <w:tcPr>
            <w:tcW w:type="dxa" w:w="2160"/>
          </w:tcPr>
          <w:p>
            <w:r>
              <w:t>이중 보전 리스크 미검토</w:t>
            </w:r>
          </w:p>
        </w:tc>
        <w:tc>
          <w:tcPr>
            <w:tcW w:type="dxa" w:w="2160"/>
          </w:tcPr>
          <w:p>
            <w:r>
              <w:t>기준 시점 명확화, 상계 조항, 독립검증 포함</w:t>
            </w:r>
          </w:p>
        </w:tc>
      </w:tr>
      <w:tr>
        <w:tc>
          <w:tcPr>
            <w:tcW w:type="dxa" w:w="2160"/>
          </w:tcPr>
          <w:p>
            <w:r>
              <w:t>7</w:t>
            </w:r>
          </w:p>
        </w:tc>
        <w:tc>
          <w:tcPr>
            <w:tcW w:type="dxa" w:w="2160"/>
          </w:tcPr>
          <w:p>
            <w:r>
              <w:t>❶ 현금보전 Option B</w:t>
            </w:r>
          </w:p>
        </w:tc>
        <w:tc>
          <w:tcPr>
            <w:tcW w:type="dxa" w:w="2160"/>
          </w:tcPr>
          <w:p>
            <w:r>
              <w:t>전기사업법 제25조 수권 근거 불명확</w:t>
            </w:r>
          </w:p>
        </w:tc>
        <w:tc>
          <w:tcPr>
            <w:tcW w:type="dxa" w:w="2160"/>
          </w:tcPr>
          <w:p>
            <w:r>
              <w:t>구체적 수권 조항 특정 또는 별도 근거 제시</w:t>
            </w:r>
          </w:p>
        </w:tc>
      </w:tr>
      <w:tr>
        <w:tc>
          <w:tcPr>
            <w:tcW w:type="dxa" w:w="2160"/>
          </w:tcPr>
          <w:p>
            <w:r>
              <w:t>8</w:t>
            </w:r>
          </w:p>
        </w:tc>
        <w:tc>
          <w:tcPr>
            <w:tcW w:type="dxa" w:w="2160"/>
          </w:tcPr>
          <w:p>
            <w:r>
              <w:t>❸·❹ 개정 절차</w:t>
            </w:r>
          </w:p>
        </w:tc>
        <w:tc>
          <w:tcPr>
            <w:tcW w:type="dxa" w:w="2160"/>
          </w:tcPr>
          <w:p>
            <w:r>
              <w:t>비용평가위원회·규칙개정위원회 혼용</w:t>
            </w:r>
          </w:p>
        </w:tc>
        <w:tc>
          <w:tcPr>
            <w:tcW w:type="dxa" w:w="2160"/>
          </w:tcPr>
          <w:p>
            <w:r>
              <w:t>두 위원회의 역할·절차 분리 명기</w:t>
            </w:r>
          </w:p>
        </w:tc>
      </w:tr>
    </w:tbl>
    <w:p/>
    <w:p>
      <w:r>
        <w:t>이상의 수정 사항을 반영하면 초안의 논리적 흠결이 해소되고, 감사원·기획재정부의 잠재적 반론에 대한 방어 논거가 한층 강화될 것으로 판단됩니다.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