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  <w:jc w:val="left"/>
      </w:pPr>
      <w:r>
        <w:rPr>
          <w:rFonts w:ascii="Aptos" w:hAnsi="Aptos" w:eastAsia="Microsoft YaHei"/>
          <w:b/>
          <w:color w:val="16324F"/>
          <w:sz w:val="60"/>
        </w:rPr>
        <w:t>ProvTimeRAG</w:t>
      </w:r>
    </w:p>
    <w:p>
      <w:pPr>
        <w:spacing w:after="200"/>
      </w:pPr>
      <w:r>
        <w:rPr>
          <w:rFonts w:ascii="Aptos" w:hAnsi="Aptos" w:eastAsia="Microsoft YaHei"/>
          <w:b/>
          <w:color w:val="2F6B9A"/>
          <w:sz w:val="32"/>
        </w:rPr>
        <w:t>面向时间敏感检索增强生成的发布者身份与出处状态路由</w:t>
      </w:r>
    </w:p>
    <w:p>
      <w:pPr>
        <w:spacing w:after="200"/>
        <w:ind w:firstLine="0"/>
      </w:pPr>
      <w:r>
        <w:rPr>
          <w:rFonts w:ascii="Aptos" w:hAnsi="Aptos" w:eastAsia="Microsoft YaHei"/>
          <w:i/>
          <w:color w:val="5C6770"/>
          <w:sz w:val="18"/>
        </w:rPr>
        <w:t>Anonymous Authors  ·  WSDM 2027 Main Track Chinese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24"/>
            <w:shd w:fill="EAF2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b/>
                <w:color w:val="2A8C82"/>
                <w:sz w:val="15"/>
              </w:rPr>
              <w:t>核心任务</w:t>
              <w:br/>
            </w:r>
            <w:r>
              <w:rPr>
                <w:rFonts w:ascii="Aptos" w:hAnsi="Aptos" w:eastAsia="Microsoft YaHei"/>
                <w:b/>
                <w:color w:val="16324F"/>
                <w:sz w:val="18"/>
              </w:rPr>
              <w:t>Publisher-visible provenance routing</w:t>
            </w:r>
          </w:p>
        </w:tc>
        <w:tc>
          <w:tcPr>
            <w:tcW w:type="dxa" w:w="3024"/>
            <w:shd w:fill="DDEFE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b/>
                <w:color w:val="2A8C82"/>
                <w:sz w:val="15"/>
              </w:rPr>
              <w:t>主结果</w:t>
              <w:br/>
            </w:r>
            <w:r>
              <w:rPr>
                <w:rFonts w:ascii="Aptos" w:hAnsi="Aptos" w:eastAsia="Microsoft YaHei"/>
                <w:b/>
                <w:color w:val="16324F"/>
                <w:sz w:val="18"/>
              </w:rPr>
              <w:t>FinFact Top-1 93.83% ± 0.59%</w:t>
            </w:r>
          </w:p>
        </w:tc>
        <w:tc>
          <w:tcPr>
            <w:tcW w:type="dxa" w:w="3024"/>
            <w:shd w:fill="EAF2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b/>
                <w:color w:val="2A8C82"/>
                <w:sz w:val="15"/>
              </w:rPr>
              <w:t>下游价值</w:t>
              <w:br/>
            </w:r>
            <w:r>
              <w:rPr>
                <w:rFonts w:ascii="Aptos" w:hAnsi="Aptos" w:eastAsia="Microsoft YaHei"/>
                <w:b/>
                <w:color w:val="16324F"/>
                <w:sz w:val="18"/>
              </w:rPr>
              <w:t>Citation recall 0.892 → 0.940</w:t>
            </w:r>
          </w:p>
        </w:tc>
      </w:tr>
    </w:tbl>
    <w:p>
      <w:pPr>
        <w:spacing w:before="240" w:after="60"/>
        <w:ind w:firstLine="0"/>
      </w:pPr>
      <w:r>
        <w:rPr>
          <w:rFonts w:ascii="Aptos" w:hAnsi="Aptos" w:eastAsia="Microsoft YaHei"/>
          <w:b/>
          <w:color w:val="16324F"/>
          <w:sz w:val="20"/>
        </w:rPr>
        <w:t>摘要</w:t>
      </w:r>
    </w:p>
    <w:p>
      <w:pPr>
        <w:spacing w:after="120"/>
        <w:ind w:firstLine="0" w:left="200" w:right="200"/>
      </w:pPr>
      <w:r>
        <w:t>检索增强生成通常把证据选择建模为语义相关性排序，但真实 Web 证据还具有发布者、访问入口、文档版本、有效时间与可支持性等状态。同一段文字在被镜像、归档、转引或跨版本复用后，可能与问题高度相关，却不再来自目标发布者或目标时间状态。本文提出 ProvTimeRAG，将时间敏感 RAG 的证据控制形式化为出处状态路由。我们首先建立可观测发布者身份契约，将访问 URL 与内容发布者分离，并通过平衡 donor 的 Source-Swap 构造困难负例；随后训练一个多任务 cross-encoder，同时学习发布者身份、时间/版本选择和证据不足拒答；在此基础上，使用冻结的保守结构化解码器进行 bundle 级一致性校正，并在固定生成器与公平候选顺序下评估引用质量。三随机种子实验表明，C2 在泄漏受控的 clean blind 上取得 88.81%±0.60% Top-1，在 FinFact 跨数据集 11,164 个原子组上取得93.83%±0.59%，显著优于 Qwen3-Reranker-0.6B 等冻结强基线。移除 URL/domain 观察会在三个评测域下降15.16–20.17 个百分点。端到端实验中，C3 将引用精确率由 0.500 提升到 0.547、召回率由 0.892 提升到 0.940，而答案 F1 的差异不显著。结果说明：对时间敏感 Web RAG，显式出处状态建模能够弥补通用相关性排序器的系统性盲点，其最稳定的下游收益是更可验证的引用，而非无条件提高答案得分。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8FA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ind w:firstLine="0"/>
            </w:pPr>
            <w:r>
              <w:rPr>
                <w:rFonts w:ascii="Aptos" w:hAnsi="Aptos" w:eastAsia="Microsoft YaHei"/>
                <w:b/>
                <w:color w:val="2F6B9A"/>
                <w:sz w:val="17"/>
              </w:rPr>
              <w:t>关键词：时间敏感 RAG；出处路由；发布者身份；证据版本；结构化解码；引用可验证性</w:t>
            </w:r>
          </w:p>
        </w:tc>
      </w:tr>
    </w:tbl>
    <w:p>
      <w:pPr>
        <w:pStyle w:val="Heading1"/>
        <w:keepNext/>
      </w:pPr>
      <w:r>
        <w:t>1  引言</w:t>
      </w:r>
    </w:p>
    <w:p>
      <w:r>
        <w:rPr>
          <w:rFonts w:ascii="Aptos" w:hAnsi="Aptos" w:eastAsia="Microsoft YaHei"/>
        </w:rPr>
        <w:t>检索增强生成（RAG）通过外部语料缓解参数知识陈旧和不可追溯问题[1]。然而，标准检索与重排序通常只回答“这段文本是否与问题相关”，没有回答“这段文本现在由谁发布、属于哪个文档版本、在目标时间是否有效、是否真的能够支持该原子结论”。在开放 Web 中，镜像、网页归档、转载、聚合页、社交媒体转引和 PDF 版本共存，使语义相似性与正确出处逐渐分离。对于事实核验、新闻检索和时效性问答，这种分离会把看似合理的错误证据送入生成器。</w:t>
      </w:r>
    </w:p>
    <w:p>
      <w:r>
        <w:rPr>
          <w:rFonts w:ascii="Aptos" w:hAnsi="Aptos" w:eastAsia="Microsoft YaHei"/>
        </w:rPr>
        <w:t>已有 RAG 改进工作主要关注是否检索、检索质量评价、检索后的自我反思或事实修订[6–9]；出处基准则强调证据与回答之间的可追溯性[2,5]。这些方向十分重要，但仍缺少一个面向真实 Web 发布者身份、文档状态和时间状态的统一路由契约。尤其当访问地址是 web.archive.org，而内容发布者是原站点时，直接把 URL host 当作 source 会制造标签错误；当同一文本被换上错误发布者 URL 时，通用 cross-encoder 也可能继续依赖语义捷径。</w:t>
      </w:r>
    </w:p>
    <w:p>
      <w:r>
        <w:rPr>
          <w:rFonts w:ascii="Aptos" w:hAnsi="Aptos" w:eastAsia="Microsoft YaHei"/>
        </w:rPr>
        <w:t>本文提出 ProvTimeRAG。核心观点是：相关性检索之后还需要一个可审计的 provenance-state router。该路由器读取 atomic claim、候选文本、publisher-visible URL/domain、文档元数据和时间线索，联合预测发布者匹配、时间/版本匹配和证据不足。为避免只在内部数据上成立，我们构造 leakage-controlled clean blind，并将冻结模型一次性迁移到 AVerImaTeC 与 FinFact 风格的外部发布者 Source-Swap。</w:t>
      </w:r>
    </w:p>
    <w:p>
      <w:r>
        <w:rPr>
          <w:rFonts w:ascii="Aptos" w:hAnsi="Aptos" w:eastAsia="Microsoft YaHei"/>
        </w:rPr>
        <w:t>本文贡献如下：</w:t>
      </w:r>
    </w:p>
    <w:p>
      <w:pPr>
        <w:pStyle w:val="ListBullet"/>
        <w:ind w:left="360" w:hanging="180"/>
      </w:pPr>
      <w:r>
        <w:rPr>
          <w:rFonts w:ascii="Aptos" w:hAnsi="Aptos" w:eastAsia="Microsoft YaHei"/>
        </w:rPr>
        <w:t>定义 publisher-visible provenance-state routing，并给出访问 URL、实际发布者、文档版本、时间状态和拒答的可复现数据契约。</w:t>
      </w:r>
    </w:p>
    <w:p>
      <w:pPr>
        <w:pStyle w:val="ListBullet"/>
        <w:ind w:left="360" w:hanging="180"/>
      </w:pPr>
      <w:r>
        <w:rPr>
          <w:rFonts w:ascii="Aptos" w:hAnsi="Aptos" w:eastAsia="Microsoft YaHei"/>
        </w:rPr>
        <w:t>提出多任务 C2 路由器，在 clean blind 达到 88.81%±0.60%，在 FinFact 达到 93.83%±0.59%，显著优于四个冻结强 reranker。</w:t>
      </w:r>
    </w:p>
    <w:p>
      <w:pPr>
        <w:pStyle w:val="ListBullet"/>
        <w:ind w:left="360" w:hanging="180"/>
      </w:pPr>
      <w:r>
        <w:rPr>
          <w:rFonts w:ascii="Aptos" w:hAnsi="Aptos" w:eastAsia="Microsoft YaHei"/>
        </w:rPr>
        <w:t>通过 URL/domain、source-only、多任务与外部数据消融识别真正的因果性工程因素，并报告不支持强结论的 C3 与 C1 结果。</w:t>
      </w:r>
    </w:p>
    <w:p>
      <w:pPr>
        <w:pStyle w:val="ListBullet"/>
        <w:ind w:left="360" w:hanging="180"/>
      </w:pPr>
      <w:r>
        <w:rPr>
          <w:rFonts w:ascii="Aptos" w:hAnsi="Aptos" w:eastAsia="Microsoft YaHei"/>
        </w:rPr>
        <w:t>在固定生成器和公平候选顺序下证明，出处路由的稳定收益是引用精确率与召回率，而非无条件提高答案 F1。</w:t>
      </w:r>
    </w:p>
    <w:p>
      <w:pPr>
        <w:spacing w:before="100" w:after="60"/>
        <w:ind w:firstLine="0"/>
      </w:pPr>
      <w:r>
        <w:rPr>
          <w:rFonts w:ascii="Aptos" w:hAnsi="Aptos" w:eastAsia="Microsoft YaHei"/>
          <w:b/>
          <w:color w:val="5C6770"/>
          <w:sz w:val="17"/>
        </w:rPr>
        <w:t>图 1  ProvTimeRAG 的冻结式研究流程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656"/>
            <w:tcMar>
              <w:top w:w="110" w:type="dxa"/>
              <w:start w:w="50" w:type="dxa"/>
              <w:bottom w:w="110" w:type="dxa"/>
              <w:end w:w="50" w:type="dxa"/>
            </w:tcMar>
            <w:vAlign w:val="center"/>
            <w:shd w:fill="EAF2F7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2A8C82"/>
                <w:sz w:val="22"/>
              </w:rPr>
              <w:t>C1</w:t>
              <w:br/>
            </w:r>
            <w:r>
              <w:rPr>
                <w:rFonts w:ascii="Aptos" w:hAnsi="Aptos" w:eastAsia="Microsoft YaHei"/>
                <w:b/>
                <w:color w:val="16324F"/>
                <w:sz w:val="16"/>
              </w:rPr>
              <w:t>元数据恢复</w:t>
              <w:br/>
              <w:t>人工仲裁</w:t>
            </w:r>
          </w:p>
        </w:tc>
        <w:tc>
          <w:tcPr>
            <w:tcW w:type="dxa" w:w="461"/>
            <w:tcMar>
              <w:top w:w="110" w:type="dxa"/>
              <w:start w:w="50" w:type="dxa"/>
              <w:bottom w:w="110" w:type="dxa"/>
              <w:end w:w="5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C79A3B"/>
                <w:sz w:val="32"/>
              </w:rPr>
              <w:t>→</w:t>
            </w:r>
          </w:p>
        </w:tc>
        <w:tc>
          <w:tcPr>
            <w:tcW w:type="dxa" w:w="1944"/>
            <w:tcMar>
              <w:top w:w="110" w:type="dxa"/>
              <w:start w:w="50" w:type="dxa"/>
              <w:bottom w:w="110" w:type="dxa"/>
              <w:end w:w="50" w:type="dxa"/>
            </w:tcMar>
            <w:vAlign w:val="center"/>
            <w:shd w:fill="DDEFE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2A8C82"/>
                <w:sz w:val="22"/>
              </w:rPr>
              <w:t>C2</w:t>
              <w:br/>
            </w:r>
            <w:r>
              <w:rPr>
                <w:rFonts w:ascii="Aptos" w:hAnsi="Aptos" w:eastAsia="Microsoft YaHei"/>
                <w:b/>
                <w:color w:val="16324F"/>
                <w:sz w:val="16"/>
              </w:rPr>
              <w:t>多任务出处</w:t>
              <w:br/>
              <w:t>状态路由</w:t>
            </w:r>
          </w:p>
        </w:tc>
        <w:tc>
          <w:tcPr>
            <w:tcW w:type="dxa" w:w="461"/>
            <w:tcMar>
              <w:top w:w="110" w:type="dxa"/>
              <w:start w:w="50" w:type="dxa"/>
              <w:bottom w:w="110" w:type="dxa"/>
              <w:end w:w="5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C79A3B"/>
                <w:sz w:val="32"/>
              </w:rPr>
              <w:t>→</w:t>
            </w:r>
          </w:p>
        </w:tc>
        <w:tc>
          <w:tcPr>
            <w:tcW w:type="dxa" w:w="1944"/>
            <w:tcMar>
              <w:top w:w="110" w:type="dxa"/>
              <w:start w:w="50" w:type="dxa"/>
              <w:bottom w:w="110" w:type="dxa"/>
              <w:end w:w="50" w:type="dxa"/>
            </w:tcMar>
            <w:vAlign w:val="center"/>
            <w:shd w:fill="EAF2F7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2A8C82"/>
                <w:sz w:val="22"/>
              </w:rPr>
              <w:t>C3</w:t>
              <w:br/>
            </w:r>
            <w:r>
              <w:rPr>
                <w:rFonts w:ascii="Aptos" w:hAnsi="Aptos" w:eastAsia="Microsoft YaHei"/>
                <w:b/>
                <w:color w:val="16324F"/>
                <w:sz w:val="16"/>
              </w:rPr>
              <w:t>保守全局</w:t>
              <w:br/>
              <w:t>一致性解码</w:t>
            </w:r>
          </w:p>
        </w:tc>
        <w:tc>
          <w:tcPr>
            <w:tcW w:type="dxa" w:w="461"/>
            <w:tcMar>
              <w:top w:w="110" w:type="dxa"/>
              <w:start w:w="50" w:type="dxa"/>
              <w:bottom w:w="110" w:type="dxa"/>
              <w:end w:w="5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C79A3B"/>
                <w:sz w:val="32"/>
              </w:rPr>
              <w:t>→</w:t>
            </w:r>
          </w:p>
        </w:tc>
        <w:tc>
          <w:tcPr>
            <w:tcW w:type="dxa" w:w="1800"/>
            <w:tcMar>
              <w:top w:w="110" w:type="dxa"/>
              <w:start w:w="50" w:type="dxa"/>
              <w:bottom w:w="110" w:type="dxa"/>
              <w:end w:w="50" w:type="dxa"/>
            </w:tcMar>
            <w:vAlign w:val="center"/>
            <w:shd w:fill="EAF2F7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2A8C82"/>
                <w:sz w:val="22"/>
              </w:rPr>
              <w:t>C4</w:t>
              <w:br/>
            </w:r>
            <w:r>
              <w:rPr>
                <w:rFonts w:ascii="Aptos" w:hAnsi="Aptos" w:eastAsia="Microsoft YaHei"/>
                <w:b/>
                <w:color w:val="16324F"/>
                <w:sz w:val="16"/>
              </w:rPr>
              <w:t>固定生成器</w:t>
              <w:br/>
              <w:t>引用评测</w:t>
            </w:r>
          </w:p>
        </w:tc>
      </w:tr>
    </w:tbl>
    <w:p>
      <w:pPr>
        <w:pStyle w:val="Heading1"/>
        <w:keepNext/>
      </w:pPr>
      <w:r>
        <w:t>2  相关工作</w:t>
      </w:r>
    </w:p>
    <w:p>
      <w:pPr>
        <w:pStyle w:val="Heading2"/>
        <w:keepNext/>
      </w:pPr>
      <w:r>
        <w:t>2.1  RAG 与出处可追溯性</w:t>
      </w:r>
    </w:p>
    <w:p>
      <w:r>
        <w:rPr>
          <w:rFonts w:ascii="Aptos" w:hAnsi="Aptos" w:eastAsia="Microsoft YaHei"/>
        </w:rPr>
        <w:t>RAG 将参数模型与非参数语料结合，并把 provenance 视为知识密集任务的重要能力[1]。KILT 进一步统一了多类知识密集任务的知识快照和 provenance 评价[2]。RARR 通过检索与修订为模型输出补充出处[6]；ALCE 系统评估长文本回答的正确性、流畅性和引用质量[7]。与这些工作不同，ProvTimeRAG 位于生成之前，解决候选证据“文本相关但发布者/版本不匹配”的路由问题。</w:t>
      </w:r>
    </w:p>
    <w:p>
      <w:pPr>
        <w:pStyle w:val="Heading2"/>
        <w:keepNext/>
      </w:pPr>
      <w:r>
        <w:t>2.2  自适应与纠错式检索</w:t>
      </w:r>
    </w:p>
    <w:p>
      <w:r>
        <w:rPr>
          <w:rFonts w:ascii="Aptos" w:hAnsi="Aptos" w:eastAsia="Microsoft YaHei"/>
        </w:rPr>
        <w:t>Self-RAG 使用反思 token 自适应决定检索与批判[8]，CRAG 使用检索评价器触发纠错动作[9]。这些方法说明检索结果不应被无条件信任，但其评价多聚焦 query–passage relevance 或生成事实性。ProvTimeRAG 把可观测发布者身份和时间/版本状态设为显式监督维度，从而补充相关性评价器的盲区。</w:t>
      </w:r>
    </w:p>
    <w:p>
      <w:pPr>
        <w:pStyle w:val="Heading2"/>
        <w:keepNext/>
      </w:pPr>
      <w:r>
        <w:t>2.3  时间知识与事实核验</w:t>
      </w:r>
    </w:p>
    <w:p>
      <w:r>
        <w:rPr>
          <w:rFonts w:ascii="Aptos" w:hAnsi="Aptos" w:eastAsia="Microsoft YaHei"/>
        </w:rPr>
        <w:t>StreamingQA 和 FreshQA 表明模型需要适应持续变化的新闻知识和快速更新事实[10,11]。FEVER 与 AVeriTeC 分别推动大规模证据核验和真实 Web 证据问答[3,4]。AVeriTeC 特别强调不得使用晚于 claim 的证据，这与本文的时间泄漏控制一致。本文进一步强调：即使证据文本内容正确，如果发布者或版本状态不匹配，系统仍缺少可审计的出处保证。</w:t>
      </w:r>
    </w:p>
    <w:p>
      <w:pPr>
        <w:pStyle w:val="Heading2"/>
        <w:keepNext/>
      </w:pPr>
      <w:r>
        <w:t>2.4  与通用 reranker 的关系</w:t>
      </w:r>
    </w:p>
    <w:p>
      <w:r>
        <w:rPr>
          <w:rFonts w:ascii="Aptos" w:hAnsi="Aptos" w:eastAsia="Microsoft YaHei"/>
        </w:rPr>
        <w:t>通用 cross-encoder 与指令 reranker 是强相关性基线。本文不将 backbone 本身作为创新，而是固定输入可见性、负例契约、任务组合、平局处理和外部冻结协议，并与 MiniLM、BGE、mxbai 与 Qwen3-Reranker-0.6B 在完全相同的 publisher-visible 输入上比较。</w:t>
      </w:r>
    </w:p>
    <w:p>
      <w:pPr>
        <w:pStyle w:val="Heading1"/>
        <w:keepNext/>
      </w:pPr>
      <w:r>
        <w:t>3  问题定义</w:t>
      </w:r>
    </w:p>
    <w:p>
      <w:r>
        <w:rPr>
          <w:rFonts w:ascii="Aptos" w:hAnsi="Aptos" w:eastAsia="Microsoft YaHei"/>
        </w:rPr>
        <w:t>给定问题 q 和原子 claim 集 C={c₁,…,cₙ}，每个 claim cᵢ 对应候选证据集合 Eᵢ。候选 e 包含文本 x、可见访问 URL u、解析后的发布者 p、文档标识 d、时间/版本元数据 τ 和来源角色 r。目标是对每个 cᵢ 选择 e*，或在没有充分证据时输出 abstain。多个 claim 构成 bundle，bundle-level 解码还需控制预测来源集合与跨 claim 一致性。</w:t>
      </w:r>
    </w:p>
    <w:p>
      <w:r>
        <w:rPr>
          <w:rFonts w:ascii="Aptos" w:hAnsi="Aptos" w:eastAsia="Microsoft YaHei"/>
        </w:rPr>
        <w:t>与标准相关性排序不同，正例要求候选同时满足：文本支持 claim；publisher 与目标来源一致；文档/版本状态与问题一致；时间证据不晚于允许边界。Source-Swap 困难负例保持证据文本不变，只替换为另一个合法发布者的 URL 与 publisher identity，因此迫使模型利用出处而不是语义捷径。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符号</w:t>
            </w:r>
          </w:p>
        </w:tc>
        <w:tc>
          <w:tcPr>
            <w:tcW w:type="dxa" w:w="4320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456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主要风险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q, c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问题与原子结论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问题拆分或 claim 泄漏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x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候选证据文本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语义捷径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u, p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访问 URL 与解析发布者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归档 host 冒充发布者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d, τ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文档/版本与时间状态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版本漂移、未来证据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A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拒答/证据不足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跨域阈值失配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B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多 claim bundle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来源合并或覆盖不足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  方法</w:t>
      </w:r>
    </w:p>
    <w:p>
      <w:pPr>
        <w:pStyle w:val="Heading2"/>
        <w:keepNext/>
      </w:pPr>
      <w:r>
        <w:t>4.1  C1：可观测元数据恢复与仲裁</w:t>
      </w:r>
    </w:p>
    <w:p>
      <w:r>
        <w:rPr>
          <w:rFonts w:ascii="Aptos" w:hAnsi="Aptos" w:eastAsia="Microsoft YaHei"/>
        </w:rPr>
        <w:t>C1 从当前页、URL、标题、站点名、署名、文档发行者和显式引文中恢复 publisher/actor 可观测性及其关系。流程保留 capture timestamp、metadata source URL 和 capture method，并允许 abstain。50 条独立样本和 100 条扩展开发样本由选择题式表格人工审核与二次仲裁。C1 的定位是建立数据契约和审计轨迹，而不是把提示式标注包装成高精度主模型。</w:t>
      </w:r>
    </w:p>
    <w:p>
      <w:pPr>
        <w:pStyle w:val="Heading2"/>
        <w:keepNext/>
      </w:pPr>
      <w:r>
        <w:t>4.2  C2：多任务出处状态路由器</w:t>
      </w:r>
    </w:p>
    <w:p>
      <w:r>
        <w:rPr>
          <w:rFonts w:ascii="Aptos" w:hAnsi="Aptos" w:eastAsia="Microsoft YaHei"/>
        </w:rPr>
        <w:t>C2 以 BGE-reranker-v2-m3 为 cross-encoder backbone。每个 candidate 的输入拼接问题、原子 claim、publisher-visible URL/domain、source role、文档元数据和证据文本。模型共享编码器并学习 route、source、temporal、version 与 abstention 目标。训练以 source、temporal/version 和 insufficient 三类组按任务配额采样；最终实验使用 seeds 42/43/44、固定最大长度与相同优化日程。</w:t>
      </w:r>
    </w:p>
    <w:p>
      <w:r>
        <w:rPr>
          <w:rFonts w:ascii="Aptos" w:hAnsi="Aptos" w:eastAsia="Microsoft YaHei"/>
        </w:rPr>
        <w:t>多任务价值不表述为“publisher 一定更高”。计算匹配的 source-only 模型在 publisher-only clean blind 上可略高，但其 temporal/version 能力降至约 0.59–0.76，insufficiency F1 为 0。C2 的目标是以单一 checkpoint 保留接近 source-only 的 publisher 性能，同时完整覆盖时间、版本和拒答。</w:t>
      </w:r>
    </w:p>
    <w:p>
      <w:pPr>
        <w:pStyle w:val="Heading2"/>
        <w:keepNext/>
      </w:pPr>
      <w:r>
        <w:t>4.3  C3：冻结的保守结构化解码</w:t>
      </w:r>
    </w:p>
    <w:p>
      <w:r>
        <w:rPr>
          <w:rFonts w:ascii="Aptos" w:hAnsi="Aptos" w:eastAsia="Microsoft YaHei"/>
        </w:rPr>
        <w:t>C3 在候选独立得分之上构造 bundle-level assignment，特征包括 route score 和、来源数量、多来源指示、同来源/同文档/同角色对数以及来源多样性增益。策略只在 train calibration 上拟合，并通过 max-regret 与 source-count-delta 约束选择保守校正。外部测试前冻结 policy ID，测试后不重新选择。</w:t>
      </w:r>
    </w:p>
    <w:p>
      <w:pPr>
        <w:pStyle w:val="Heading2"/>
        <w:keepNext/>
      </w:pPr>
      <w:r>
        <w:t>4.4  C4：固定生成与引用契约</w:t>
      </w:r>
    </w:p>
    <w:p>
      <w:r>
        <w:rPr>
          <w:rFonts w:ascii="Aptos" w:hAnsi="Aptos" w:eastAsia="Microsoft YaHei"/>
        </w:rPr>
        <w:t>Raw、C2 与 C3 使用相同 claim group、相同生成器、相同输出 schema 和 label-independent stable-hash 候选顺序。评价 answer token F1、citation precision/recall/hit、abstention、latency 和 token 数。一个供应商拒绝的请求在三种方法中一致排除，并保留原始失败记录。</w:t>
      </w:r>
    </w:p>
    <w:p>
      <w:pPr>
        <w:pStyle w:val="Heading1"/>
        <w:keepNext/>
      </w:pPr>
      <w:r>
        <w:t>5  实验设置</w:t>
      </w:r>
    </w:p>
    <w:p>
      <w:pPr>
        <w:pStyle w:val="Heading2"/>
        <w:keepNext/>
      </w:pPr>
      <w:r>
        <w:t>5.1  数据与泄漏控制</w:t>
      </w:r>
    </w:p>
    <w:p>
      <w:r>
        <w:rPr>
          <w:rFonts w:ascii="Aptos" w:hAnsi="Aptos" w:eastAsia="Microsoft YaHei"/>
        </w:rPr>
        <w:t>内部 publisher 数据经 v3 clean 合同过滤，train 含 6,655 个 source 组，development 含 460 组，clean blind 含 828 组。train 与 clean blind 的 query overlap 为 0，document overlap 仅 5（清洗后进一步控制），publisher overlap 单独拆分 seen/unseen 报告。FinFact 外部集在冻结前构建，含 2,365 bundles、11,164 groups、22,328 candidates 和 2,850 publishers；正负发布者直方图完全相等，每个 donor 只使用一次。</w:t>
      </w:r>
    </w:p>
    <w:p>
      <w:r>
        <w:rPr>
          <w:rFonts w:ascii="Aptos" w:hAnsi="Aptos" w:eastAsia="Microsoft YaHei"/>
        </w:rPr>
        <w:t>AVerImaTeC 的初版 donor 选择把 163/164 个负例集中到同一域名，因此其 v1 模型结果全部判为无效；v2 用确定性完美匹配平衡 donor。类似地，legacy Source-Swap 的 donor URL host 缺失，修复后才允许进行 URL-aware claim。所有修复都不改变标签、证据文本、group 成员或候选的 label-independent 顺序。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72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数据划分</w:t>
            </w:r>
          </w:p>
        </w:tc>
        <w:tc>
          <w:tcPr>
            <w:tcW w:type="dxa" w:w="1584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Bundles/Groups</w:t>
            </w:r>
          </w:p>
        </w:tc>
        <w:tc>
          <w:tcPr>
            <w:tcW w:type="dxa" w:w="2016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032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冻结规则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Publisher train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6,655 groups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C2 训练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query/document leakage controlled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Development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460 groups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模型开发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三 seed，同一日程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Clean blind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828 groups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内部盲测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checkpoint 冻结后一次评估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FinFact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2,365 / 11,164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跨数据集外部测试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balanced donors；测试前冻结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C4 fair-order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678 records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下游生成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同候选、同生成器、同顺序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 基线与实现</w:t>
      </w:r>
    </w:p>
    <w:p>
      <w:r>
        <w:rPr>
          <w:rFonts w:ascii="Aptos" w:hAnsi="Aptos" w:eastAsia="Microsoft YaHei"/>
        </w:rPr>
        <w:t>基线包括 random/BM25、MS MARCO MiniLM-L6-v2、BGE-reranker-v2-m3、mxbai-rerank-large-v1 和 Qwen3-Reranker-0.6B。所有强 reranker 不在测试集拟合、不做模型选择，使用相同 instruction、publisher-visible 输入和 label-independent tie rule。C2 以 FP32 评估，训练可使用 BF16。</w:t>
      </w:r>
    </w:p>
    <w:p>
      <w:pPr>
        <w:pStyle w:val="Heading2"/>
        <w:keepNext/>
      </w:pPr>
      <w:r>
        <w:t>5.3  指标与统计</w:t>
      </w:r>
    </w:p>
    <w:p>
      <w:r>
        <w:rPr>
          <w:rFonts w:ascii="Aptos" w:hAnsi="Aptos" w:eastAsia="Microsoft YaHei"/>
        </w:rPr>
        <w:t>原子组使用 Top-1 与 MRR；bundle 使用 exact match 和 publisher source-set exact/Jaccard；拒答报告 accuracy、precision、recall 和 F1。三 seed 报告均值与样本标准差，不把重复 seed 当独立样本合并。同一 seed 内使用 exact McNemar 检验与 paired bootstrap 95% CI[14,15]。</w:t>
      </w:r>
    </w:p>
    <w:p>
      <w:pPr>
        <w:pStyle w:val="Heading1"/>
        <w:keepNext/>
      </w:pPr>
      <w:r>
        <w:t>6  结果</w:t>
      </w:r>
    </w:p>
    <w:p>
      <w:pPr>
        <w:pStyle w:val="Heading2"/>
        <w:keepNext/>
      </w:pPr>
      <w:r>
        <w:t>6.1  主结果：跨域发布者路由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96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2088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Clean blind Top-1</w:t>
            </w:r>
          </w:p>
        </w:tc>
        <w:tc>
          <w:tcPr>
            <w:tcW w:type="dxa" w:w="1944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FinFact Top-1</w:t>
            </w:r>
          </w:p>
        </w:tc>
        <w:tc>
          <w:tcPr>
            <w:tcW w:type="dxa" w:w="2232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FinFact bundle exact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MiniLM-L6-v2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0.5399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0.5206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0.1167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BGE-reranker-v2-m3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0.5990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0.5962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0.1852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mxbai-rerank-large-v1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0.6087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0.6745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0.2837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Qwen3-Reranker-0.6B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0.7343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0.8793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0.5979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ProvTimeRAG C2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0.8881 ± 0.0060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0.9383 ± 0.0059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0.7686 ± 0.0210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C2 + frozen C3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—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0.9383（group）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0.7721 ± 0.0212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C2 在 clean blind 和 FinFact 上分别超过最强冻结 Qwen3 基线约 15.38 和 5.89 个百分点。FinFact 的 C2-versus-Qwen paired p-value 在三个 seed 上分别约为 9.21×10⁻⁷⁸、1.11×10⁻⁶⁴ 和 9.87×10⁻⁴⁹，bootstrap 区间均为正。unseen publisher 的 clean blind 均值为 0.8929±0.0112，说明改进不依赖只记忆训练域名。</w:t>
      </w:r>
    </w:p>
    <w:p>
      <w:pPr>
        <w:pStyle w:val="Heading2"/>
        <w:keepNext/>
      </w:pPr>
      <w:r>
        <w:t>6.2  URL/domain 可见性消融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48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划分</w:t>
            </w:r>
          </w:p>
        </w:tc>
        <w:tc>
          <w:tcPr>
            <w:tcW w:type="dxa" w:w="2376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完整 C2</w:t>
            </w:r>
          </w:p>
        </w:tc>
        <w:tc>
          <w:tcPr>
            <w:tcW w:type="dxa" w:w="2520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移除 URL/domain</w:t>
            </w:r>
          </w:p>
        </w:tc>
        <w:tc>
          <w:tcPr>
            <w:tcW w:type="dxa" w:w="1728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下降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Development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0.8638 ± 0.0082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0.6862 ± 0.0292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17.75 pp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Clean blind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0.8881 ± 0.0060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0.6864 ± 0.0135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20.17 pp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FinFact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0.9383 ± 0.0059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0.7866 ± 0.0391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15.16 pp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该消融是论文最直接的机制证据：保持训练框架和任务不变，仅移除 publisher-visible URL/domain 就在三个域稳定下降。FinFact 上 no-URL 模型还把约 97% 的可回答组误判为 abstain，暴露出跨域 calibration collapse。我们不在 FinFact 重校准阈值，因为那会污染冻结外部测试。</w:t>
      </w:r>
    </w:p>
    <w:p>
      <w:pPr>
        <w:pStyle w:val="Heading2"/>
        <w:keepNext/>
      </w:pPr>
      <w:r>
        <w:t>6.3  多任务与 source-only 对照</w:t>
      </w:r>
    </w:p>
    <w:p>
      <w:r>
        <w:rPr>
          <w:rFonts w:ascii="Aptos" w:hAnsi="Aptos" w:eastAsia="Microsoft YaHei"/>
        </w:rPr>
        <w:t>compute-matched source-only 三 seed 在 development 上约 0.8703，在 clean blind 上约 0.8961，在 FinFact 上约 0.9376；C2 对应为 0.8638、0.8881、0.9383。差异很小且方向随域变化，不能声称多任务显著提高 publisher。关键差别是 source-only 在 temporal/version 上明显退化、insufficiency F1=0，而 C2 的 temporal/version 接近 1.0、insufficiency F1=1.0。数据匹配而非计算匹配的 source-only 结果将在最终英文稿中作为补充稳定性检查；在其同步前不填写未知数值。</w:t>
      </w:r>
    </w:p>
    <w:p>
      <w:pPr>
        <w:pStyle w:val="Heading2"/>
        <w:keepNext/>
      </w:pPr>
      <w:r>
        <w:t>6.4  C3：小幅、保守但不显著</w:t>
      </w:r>
    </w:p>
    <w:p>
      <w:r>
        <w:rPr>
          <w:rFonts w:ascii="Aptos" w:hAnsi="Aptos" w:eastAsia="Microsoft YaHei"/>
        </w:rPr>
        <w:t>冻结 C3 将 FinFact bundle exact 从 0.7686 提升到 0.7721，三 seed 平均 +0.35 pp；McNemar p=0.233/0.280/0.280，paired bootstrap CI 均跨 0。publisher source-set Jaccard 有轻微改善，但 binary multi-source error 从 0.00747 上升到 0.00888。由此，C3 只作为可解释的保守解码器和消融，不作为主显著性结论。</w:t>
      </w:r>
    </w:p>
    <w:p>
      <w:pPr>
        <w:pStyle w:val="Heading2"/>
        <w:keepNext/>
      </w:pPr>
      <w:r>
        <w:t>6.5  C4：下游引用质量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728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输入策略</w:t>
            </w:r>
          </w:p>
        </w:tc>
        <w:tc>
          <w:tcPr>
            <w:tcW w:type="dxa" w:w="1656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Answer F1</w:t>
            </w:r>
          </w:p>
        </w:tc>
        <w:tc>
          <w:tcPr>
            <w:tcW w:type="dxa" w:w="1728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Citation P</w:t>
            </w:r>
          </w:p>
        </w:tc>
        <w:tc>
          <w:tcPr>
            <w:tcW w:type="dxa" w:w="1728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Citation R</w:t>
            </w:r>
          </w:p>
        </w:tc>
        <w:tc>
          <w:tcPr>
            <w:tcW w:type="dxa" w:w="1728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Citation hit</w:t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Raw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0.6192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0.4998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0.8916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0.9071</w:t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C2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0.6162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0.5302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0.9028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0.9189</w:t>
            </w:r>
          </w:p>
        </w:tc>
      </w:tr>
      <w:t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C3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0.6143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0.5470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0.9400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0.9543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C3 相对 Raw 的 citation precision、recall 与 hit 提升的 paired bootstrap 95% CI 均完全大于 0；answer F1 差异区间跨 0。更细的错误分析显示，单证据问题上的答案 F1 基本持平，而多证据问题仍是主要困难。这支持“出处路由改善可验证引用”的结论，也说明未来不应通过更激进裁剪牺牲多证据覆盖。</w:t>
      </w:r>
    </w:p>
    <w:p>
      <w:pPr>
        <w:pStyle w:val="Heading1"/>
        <w:keepNext/>
      </w:pPr>
      <w:r>
        <w:t>7  分析与讨论</w:t>
      </w:r>
    </w:p>
    <w:p>
      <w:pPr>
        <w:pStyle w:val="Heading2"/>
        <w:keepNext/>
      </w:pPr>
      <w:r>
        <w:t>7.1  为什么通用 reranker 不够</w:t>
      </w:r>
    </w:p>
    <w:p>
      <w:r>
        <w:rPr>
          <w:rFonts w:ascii="Aptos" w:hAnsi="Aptos" w:eastAsia="Microsoft YaHei"/>
        </w:rPr>
        <w:t>Source-Swap 保持文本不变，只改变发布者身份；因此只依赖 claim–text 语义的模型接近二选一。Qwen3-Reranker 能利用 instruction 和元数据，FinFact 达到 0.8793，但仍落后于显式 publisher 监督的 C2。该差距不是 backbone 大小本身，而是监督目标、输入可见性与困难负例共同作用。</w:t>
      </w:r>
    </w:p>
    <w:p>
      <w:pPr>
        <w:pStyle w:val="Heading2"/>
        <w:keepNext/>
      </w:pPr>
      <w:r>
        <w:t>7.2  C1 的真实作用</w:t>
      </w:r>
    </w:p>
    <w:p>
      <w:r>
        <w:rPr>
          <w:rFonts w:ascii="Aptos" w:hAnsi="Aptos" w:eastAsia="Microsoft YaHei"/>
        </w:rPr>
        <w:t>C1 独立 50 条人工金标的最佳 row exact 为 0.48，字段准确率分布不均。该数值不足以支撑“自动元数据标注已解决”，但它揭示 publisher/actor relation 和 attribution link 的歧义，并提供了固定选项、仲裁和捕获来源的审计机制。论文应把 C1 放在数据治理与可行性分析中，而非主结果表。</w:t>
      </w:r>
    </w:p>
    <w:p>
      <w:pPr>
        <w:pStyle w:val="Heading2"/>
        <w:keepNext/>
      </w:pPr>
      <w:r>
        <w:t>7.3  失败模式</w:t>
      </w:r>
    </w:p>
    <w:p>
      <w:pPr>
        <w:pStyle w:val="ListBullet"/>
        <w:ind w:left="360" w:hanging="180"/>
      </w:pPr>
      <w:r>
        <w:rPr>
          <w:rFonts w:ascii="Aptos" w:hAnsi="Aptos" w:eastAsia="Microsoft YaHei"/>
        </w:rPr>
        <w:t>归档与镜像：访问 host 与真实发布者不一致，必须显式解包或拒绝。</w:t>
      </w:r>
    </w:p>
    <w:p>
      <w:pPr>
        <w:pStyle w:val="ListBullet"/>
        <w:ind w:left="360" w:hanging="180"/>
      </w:pPr>
      <w:r>
        <w:rPr>
          <w:rFonts w:ascii="Aptos" w:hAnsi="Aptos" w:eastAsia="Microsoft YaHei"/>
        </w:rPr>
        <w:t>多证据问题：激进路由提高引用精确率时可能降低证据覆盖和答案 F1。</w:t>
      </w:r>
    </w:p>
    <w:p>
      <w:pPr>
        <w:pStyle w:val="ListBullet"/>
        <w:ind w:left="360" w:hanging="180"/>
      </w:pPr>
      <w:r>
        <w:rPr>
          <w:rFonts w:ascii="Aptos" w:hAnsi="Aptos" w:eastAsia="Microsoft YaHei"/>
        </w:rPr>
        <w:t>跨域拒答：没有 publisher 可见性时，abstention logit 可能发生大幅分布漂移。</w:t>
      </w:r>
    </w:p>
    <w:p>
      <w:pPr>
        <w:pStyle w:val="ListBullet"/>
        <w:ind w:left="360" w:hanging="180"/>
      </w:pPr>
      <w:r>
        <w:rPr>
          <w:rFonts w:ascii="Aptos" w:hAnsi="Aptos" w:eastAsia="Microsoft YaHei"/>
        </w:rPr>
        <w:t>结构化策略：即使平均 bundle exact 为正，也可能增加来源数量错误，必须多指标约束。</w:t>
      </w:r>
    </w:p>
    <w:p>
      <w:pPr>
        <w:pStyle w:val="Heading1"/>
        <w:keepNext/>
      </w:pPr>
      <w:r>
        <w:t>8  局限性</w:t>
      </w:r>
    </w:p>
    <w:p>
      <w:r>
        <w:rPr>
          <w:rFonts w:ascii="Aptos" w:hAnsi="Aptos" w:eastAsia="Microsoft YaHei"/>
        </w:rPr>
        <w:t>第一，Publisher identity 是 operational identity，不等同于法律责任主体或事实可信度；模型判断“来源匹配”不代表来源真实。第二，外部集来自事实核验数据的文本证据，图像本身不进入模型，因此不覆盖多模态出处。第三，C1 人工金标规模有限，且 relation 标签存在主观边界。第四，C4 使用一个冻结 API 生成器，结论主要关于引用行为，未证明对所有 LLM 泛化。第五，FinFact 构造虽严格平衡 donor，但仍可能保留主题或站点风格线索；未来应加入跨语言、跨时间和对抗式 publisher spoofing。</w:t>
      </w:r>
    </w:p>
    <w:p>
      <w:pPr>
        <w:pStyle w:val="Heading1"/>
        <w:keepNext/>
      </w:pPr>
      <w:r>
        <w:t>9  伦理考虑与可复现性</w:t>
      </w:r>
    </w:p>
    <w:p>
      <w:r>
        <w:rPr>
          <w:rFonts w:ascii="Aptos" w:hAnsi="Aptos" w:eastAsia="Microsoft YaHei"/>
        </w:rPr>
        <w:t>本研究处理公开 Web 证据和事实核验数据，不发布 API 密钥、私人注释、原始抓取缓存或受许可约束的模型权重。公开仓库只提供代码、小型结果摘要、哈希和构建说明。URL 与网页文本可能包含个人信息或已删除内容，数据发布应遵守原许可、robots/服务条款和必要的最小化原则。系统可能因错误 publisher 解析而误归因，不应直接用于法律、新闻发布或高风险自动裁决。所有外部结果在测试前冻结构造与 policy；失败请求按预先声明规则一致处理。</w:t>
      </w:r>
    </w:p>
    <w:p>
      <w:pPr>
        <w:pStyle w:val="Heading1"/>
        <w:keepNext/>
      </w:pPr>
      <w:r>
        <w:t>10  结论</w:t>
      </w:r>
    </w:p>
    <w:p>
      <w:r>
        <w:rPr>
          <w:rFonts w:ascii="Aptos" w:hAnsi="Aptos" w:eastAsia="Microsoft YaHei"/>
        </w:rPr>
        <w:t>ProvTimeRAG 将时间敏感 RAG 的证据选择从纯相关性排序推进到 publisher-visible provenance-state routing。严格的数据修复、泄漏控制、平衡 Source-Swap、三 seed 外部评测和强 reranker 对比表明，显式发布者身份是稳定且可泛化的信号。多任务 C2 以一个 checkpoint 联合覆盖 publisher、时间/版本和拒答；C3 的外部增益小且不显著，但 C4 显示其能够显著改善引用精确率与召回率。整体证据支持一项克制但重要的结论：在开放 Web RAG 中，可靠出处需要被建模，而不能假设语义相关性会自动携带 provenance。</w:t>
      </w:r>
    </w:p>
    <w:p>
      <w:pPr>
        <w:pStyle w:val="Heading1"/>
        <w:keepNext/>
      </w:pPr>
      <w:r>
        <w:t>参考文献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[1] Lewis, P. et al. Retrieval-Augmented Generation for Knowledge-Intensive NLP Tasks. NeurIPS, 2020.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[2] Petroni, F. et al. KILT: a Benchmark for Knowledge Intensive Language Tasks. NAACL, 2021.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[3] Thorne, J. et al. FEVER: a Large-scale Dataset for Fact Extraction and Verification. NAACL, 2018.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[4] Schlichtkrull, M., Guo, Z., and Vlachos, A. AVeriTeC: A Dataset for Real-world Claim Verification with Evidence from the Web. NeurIPS Datasets and Benchmarks, 2023.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[5] Gao, T., Yen, H., Yu, J., and Chen, D. Enabling Large Language Models to Generate Text with Citations. EMNLP, 2023.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[6] Gao, L. et al. RARR: Researching and Revising What Language Models Say, Using Language Models. ACL, 2023.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[7] Huang, C. et al. Training Language Models to Generate Text with Citations via Fine-grained Rewards. ACL, 2024.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[8] Asai, A. et al. Self-RAG: Learning to Retrieve, Generate, and Critique through Self-Reflection. ICLR, 2024.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[9] Yan, S.-Q., Gu, J.-C., Zhu, Y., and Ling, Z.-H. Corrective Retrieval Augmented Generation. arXiv:2401.15884, 2024.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[10] Liska, A. et al. StreamingQA: A Benchmark for Adaptation to New Knowledge over Time in Question Answering Models. ICML, 2022.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[11] Vu, T. et al. FreshLLMs: Refreshing Large Language Models with Search Engine Augmentation. arXiv:2310.03214, 2023.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[12] Chen, J. et al. BGE M3-Embedding: Multi-Lingual, Multi-Functionality, Multi-Granularity Text Embeddings Through Self-Knowledge Distillation. arXiv:2402.03216, 2024.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[13] Zhang, Y. et al. Qwen3 Embedding: Advancing Text Embedding and Reranking Through Foundation Models. arXiv:2506.05176, 2025.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[14] McNemar, Q. Note on the Sampling Error of the Difference Between Correlated Proportions or Percentages. Psychometrika, 1947.</w:t>
      </w:r>
    </w:p>
    <w:p>
      <w:pPr>
        <w:spacing w:after="40"/>
        <w:ind w:left="320" w:hanging="320"/>
      </w:pPr>
      <w:r>
        <w:rPr>
          <w:rFonts w:ascii="Aptos" w:hAnsi="Aptos" w:eastAsia="Microsoft YaHei"/>
          <w:sz w:val="16"/>
        </w:rPr>
        <w:t>[15] Efron, B. Bootstrap Methods: Another Look at the Jackknife. The Annals of Statistics, 1979.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1008" w:left="1123" w:header="403" w:footer="432" w:gutter="0"/>
          <w:cols w:space="720"/>
          <w:docGrid w:linePitch="360"/>
        </w:sectPr>
      </w:pPr>
    </w:p>
    <w:p>
      <w:pPr>
        <w:pStyle w:val="Heading1"/>
        <w:keepNext/>
      </w:pPr>
      <w:r>
        <w:t>附录 A  投稿迁移与剩余核验清单</w:t>
      </w:r>
    </w:p>
    <w:p>
      <w:r>
        <w:rPr>
          <w:rFonts w:ascii="Aptos" w:hAnsi="Aptos" w:eastAsia="Microsoft YaHei"/>
        </w:rPr>
        <w:t>本 Word 是中文研究初稿，不是最终投稿格式。正式 WSDM 2027 主会稿须翻译为英文，使用 ACM sigconf,anonymous,review 模板，正文（含图表和附录）不超过 9 页，参考文献与伦理声明不受同一页数限制。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592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744"/>
            <w:shd w:fill="16324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写作处理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C2 三 seed + 外部强基线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已完成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主表与显著性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URL/domain 消融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已完成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核心机制表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compute-matched source-only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已完成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克制表述多任务价值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data-matched source-only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服务器结果待同步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仅补充稳定性检查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C3 frozen external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已完成；不显著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次要分析，不夸大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C4 fair-order 678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已完成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引用质量主证据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C1 人工仲裁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已完成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可行性/数据治理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left"/>
            </w:pPr>
            <w:r>
              <w:rPr>
                <w:rFonts w:ascii="Aptos" w:hAnsi="Aptos" w:eastAsia="Microsoft YaHei"/>
                <w:sz w:val="16"/>
              </w:rPr>
              <w:t>GitHub remote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尚未配置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shd w:fill="F5F8FA"/>
          </w:tcPr>
          <w:p>
            <w:pPr>
              <w:ind w:firstLine="0"/>
              <w:jc w:val="center"/>
            </w:pPr>
            <w:r>
              <w:rPr>
                <w:rFonts w:ascii="Aptos" w:hAnsi="Aptos" w:eastAsia="Microsoft YaHei"/>
                <w:sz w:val="16"/>
              </w:rPr>
              <w:t>本地提交后绑定并推送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  推荐优先阅读</w:t>
      </w:r>
    </w:p>
    <w:p>
      <w:r>
        <w:rPr>
          <w:rFonts w:ascii="Aptos" w:hAnsi="Aptos" w:eastAsia="Microsoft YaHei"/>
        </w:rPr>
        <w:t>为了快速进入英文写作，建议按以下顺序阅读：AVeriTeC（真实 Web 事实核验和时间泄漏）；KILT（provenance 评价）；ALCE（引用指标与实验写法）；RARR（归因与修订）；Self-RAG/CRAG（检索质量与自适应路由）；StreamingQA/FreshLLMs（时间变化）。阅读时重点模仿问题动机、评测合同和 limitation 写法，而不是机械复制方法结构。</w:t>
      </w:r>
    </w:p>
    <w:sectPr w:rsidR="00FC693F" w:rsidRPr="0006063C" w:rsidSect="00034616">
      <w:pgSz w:w="12240" w:h="15840"/>
      <w:pgMar w:top="1037" w:right="1123" w:bottom="1008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 w:eastAsia="Microsoft YaHei"/>
        <w:color w:val="5C6770"/>
        <w:sz w:val="15"/>
      </w:rPr>
      <w:t xml:space="preserve">匿名稿  |  2026-08-10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Microsoft YaHei"/>
        <w:b/>
        <w:color w:val="5C6770"/>
        <w:sz w:val="15"/>
      </w:rPr>
      <w:t>PROVTIMERAG  ·  WSDM 2027 中文研究初稿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70"/>
      <w:ind w:firstLine="360"/>
    </w:pPr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6B9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A8C8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ProvTimeRAG：面向时间敏感检索增强生成的发布者身份与出处状态路由</dc:title>
  <dc:subject>WSDM 2027 Chinese research draft</dc:subject>
  <dc:creator>Anonymous Authors</dc:creator>
  <cp:keywords>RAG, provenance, publisher identity, temporal routing, citations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