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蓝湾科技 · 差旅与报销制度（节选）</w:t>
      </w:r>
    </w:p>
    <w:p>
      <w:r>
        <w:t>一、适用范围</w:t>
      </w:r>
    </w:p>
    <w:p>
      <w:r>
        <w:t>本制度适用于公司全体正式员工。实习生、外包人员的差旅管理另见《实习生管理办法》，本制度中涉及补贴的部分不适用于实习生。</w:t>
      </w:r>
    </w:p>
    <w:p>
      <w:r>
        <w:t>二、住宿标准</w:t>
      </w:r>
    </w:p>
    <w:p>
      <w:r>
        <w:t>1. 一线城市（北京、上海、广州、深圳）：每人每晚不超过 450 元。</w:t>
      </w:r>
    </w:p>
    <w:p>
      <w:r>
        <w:t>2. 二线城市（省会城市及计划单列市）：每人每晚不超过 320 元。</w:t>
      </w:r>
    </w:p>
    <w:p>
      <w:r>
        <w:t>3. 其他城市：每人每晚不超过 260 元。</w:t>
      </w:r>
    </w:p>
    <w:p>
      <w:r>
        <w:t>4. 同性别同事同行出差，原则上应合住标准间。</w:t>
      </w:r>
    </w:p>
    <w:p>
      <w:r>
        <w:t>5. 超标部分由个人承担；因会议指定酒店导致超标的，凭会议通知实报实销。</w:t>
      </w:r>
    </w:p>
    <w:p>
      <w:r>
        <w:t>三、市内交通</w:t>
      </w:r>
    </w:p>
    <w:p>
      <w:r>
        <w:t>1. 出差期间市内交通凭票报销，每人每日上限 80 元。</w:t>
      </w:r>
    </w:p>
    <w:p>
      <w:r>
        <w:t>2. 晚上 22:00 以后因工作产生的打车费用，不受上述每日上限限制，凭票实报实销。</w:t>
      </w:r>
    </w:p>
    <w:p>
      <w:r>
        <w:t>3. 机场、火车站与驻地之间的往返交通，凭票实报实销，不计入每日上限。</w:t>
      </w:r>
    </w:p>
    <w:p>
      <w:r>
        <w:t>四、出差补贴</w:t>
      </w:r>
    </w:p>
    <w:p>
      <w:r>
        <w:t>1. 出差补贴标准为每人每天 100 元，按实际出差天数计算，出发和返回当天各计半天。</w:t>
      </w:r>
    </w:p>
    <w:p>
      <w:r>
        <w:t>2. 补贴随差旅费一并报销，无需提供发票。</w:t>
      </w:r>
    </w:p>
    <w:p>
      <w:r>
        <w:t>3. 当天往返且出差时长不足 6 小时的，不发放出差补贴。</w:t>
      </w:r>
    </w:p>
    <w:p>
      <w:r>
        <w:t>五、审批权限</w:t>
      </w:r>
    </w:p>
    <w:p>
      <w:r>
        <w:t>1. 单笔报销金额在 2000 元以内的，由部门经理审批。</w:t>
      </w:r>
    </w:p>
    <w:p>
      <w:r>
        <w:t>2. 单笔报销金额超过 2000 元的，须由部门总监与财务总监双签。</w:t>
      </w:r>
    </w:p>
    <w:p>
      <w:r>
        <w:t>3. 单笔报销金额超过 10000 元的，另需总经理审批。</w:t>
      </w:r>
    </w:p>
    <w:p>
      <w:r>
        <w:t>六、报销时限与流程</w:t>
      </w:r>
    </w:p>
    <w:p>
      <w:r>
        <w:t>1. 应在出差结束后 15 个工作日内提交报销单，逾期不予受理；确有特殊原因的，须提前书面说明。</w:t>
      </w:r>
    </w:p>
    <w:p>
      <w:r>
        <w:t>2. 报销单编号统一使用前缀 LW-TR-，由系统自动生成，手工填写无效。</w:t>
      </w:r>
    </w:p>
    <w:p>
      <w:r>
        <w:t>3. 报销单须附出差申请单、发票原件及行程单。</w:t>
      </w:r>
    </w:p>
    <w:p>
      <w:r>
        <w:t>七、常见问题</w:t>
      </w:r>
    </w:p>
    <w:p>
      <w:r>
        <w:t>问：出差期间请了事假，还发补贴吗？答：事假期间不计发出差补贴。</w:t>
      </w:r>
    </w:p>
    <w:p>
      <w:r>
        <w:t>问：发票丢失怎么办？答：需提供发票存根复印件并由两名同事签字证明。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