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心理诊疗系统量表问题与完整诊疗差距分析</w:t>
      </w:r>
    </w:p>
    <w:p>
      <w:pPr>
        <w:spacing w:after="280"/>
      </w:pPr>
      <w:r>
        <w:rPr>
          <w:rFonts w:ascii="Microsoft YaHei" w:hAnsi="Microsoft YaHei" w:eastAsia="Microsoft YaHei"/>
          <w:color w:val="53627A"/>
          <w:sz w:val="19"/>
        </w:rPr>
        <w:t>面向当前 L1 至 L5 原型的设计复盘  2026年9月10日</w:t>
      </w:r>
    </w:p>
    <w:p>
      <w:pPr>
        <w:spacing w:after="20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核心结论  </w:t>
      </w:r>
      <w:r>
        <w:rPr>
          <w:rFonts w:ascii="Microsoft YaHei" w:hAnsi="Microsoft YaHei" w:eastAsia="Microsoft YaHei"/>
          <w:color w:val="000000"/>
          <w:sz w:val="21"/>
        </w:rPr>
        <w:t>当前原型已经形成安全分诊、MI评估、画像确认、鉴别诊断、疗法匹配、治疗回复和输出审核的主链路，但仍不是可独立承担完整心理诊疗责任的临床系统。当前最直接的交互问题不是量表数量，而是模型提出的量表候选过早进入规则触发，使临床访谈被问卷打断。改进方向应是访谈优先、量表辅助、风险例外，并补齐临床治理、医学排查、共享决策、疗程管理、长期随访和人工转介。</w:t>
      </w:r>
    </w:p>
    <w:p>
      <w:pPr>
        <w:spacing w:after="2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交互式流程图  </w:t>
      </w:r>
      <w:hyperlink r:id="rId10">
        <w:r>
          <w:rPr>
            <w:rFonts w:ascii="Microsoft YaHei" w:hAnsi="Microsoft YaHei" w:eastAsia="Microsoft YaHei"/>
            <w:color w:val="1F5E9C"/>
            <w:u w:val="single"/>
          </w:rPr>
          <w:t>打开完整心理诊疗系统流程图</w:t>
        </w:r>
      </w:hyperlink>
      <w:r>
        <w:rPr>
          <w:rFonts w:ascii="Microsoft YaHei" w:hAnsi="Microsoft YaHei" w:eastAsia="Microsoft YaHei"/>
          <w:color w:val="53627A"/>
          <w:sz w:val="19"/>
        </w:rPr>
        <w:t xml:space="preserve">  与本 Word 文件保存在同一文件夹；如 Word 弹出安全提示，请选择允许打开本地文件。</w:t>
      </w:r>
    </w:p>
    <w:p>
      <w:pPr>
        <w:pStyle w:val="Heading1"/>
      </w:pPr>
      <w:r>
        <w:t>一 量表问题</w:t>
      </w:r>
    </w:p>
    <w:p>
      <w:pPr>
        <w:pStyle w:val="Heading2"/>
      </w:pPr>
      <w:r>
        <w:t>当前现象</w:t>
      </w:r>
    </w:p>
    <w:p>
      <w:r>
        <w:t>患者只描述一至两轮低落、焦虑或失眠，系统就可能邀请 PHQ-9、GAD-7 或 ISI。这会在治疗联盟、主诉确认、病程和功能影响尚未充分建立时，把对话重心从理解患者转向完成问卷。</w:t>
      </w:r>
    </w:p>
    <w:p>
      <w:pPr>
        <w:pStyle w:val="Heading2"/>
      </w:pPr>
      <w:r>
        <w:t>现有实现为什么会过早触发</w:t>
      </w:r>
    </w:p>
    <w:p>
      <w:pPr>
        <w:pStyle w:val="ListNumber"/>
        <w:spacing w:after="14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阶段推进过快。</w:t>
      </w:r>
      <w:r>
        <w:rPr>
          <w:rFonts w:ascii="Microsoft YaHei" w:hAnsi="Microsoft YaHei" w:eastAsia="Microsoft YaHei"/>
          <w:color w:val="000000"/>
          <w:sz w:val="21"/>
        </w:rPr>
        <w:t>第一轮提取到症状或关键叙述后，L2 即可从参与阶段进入聚焦阶段。</w:t>
      </w:r>
    </w:p>
    <w:p>
      <w:pPr>
        <w:pStyle w:val="ListNumber"/>
        <w:spacing w:after="14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量表许可门槛过低。</w:t>
      </w:r>
      <w:r>
        <w:rPr>
          <w:rFonts w:ascii="Microsoft YaHei" w:hAnsi="Microsoft YaHei" w:eastAsia="Microsoft YaHei"/>
          <w:color w:val="000000"/>
          <w:sz w:val="21"/>
        </w:rPr>
        <w:t>模型只要输出 possible_scale_domains，规则主要检查当前阶段和是否存在 focus_topics，就可将量表置为等待同意。</w:t>
      </w:r>
    </w:p>
    <w:p>
      <w:pPr>
        <w:pStyle w:val="ListNumber"/>
        <w:spacing w:after="14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量表邀请会抢占普通访谈。</w:t>
      </w:r>
      <w:r>
        <w:rPr>
          <w:rFonts w:ascii="Microsoft YaHei" w:hAnsi="Microsoft YaHei" w:eastAsia="Microsoft YaHei"/>
          <w:color w:val="000000"/>
          <w:sz w:val="21"/>
        </w:rPr>
        <w:t>一旦进入 pending_consent，下一条回复首先解释量表并请求同意。</w:t>
      </w:r>
    </w:p>
    <w:p>
      <w:pPr>
        <w:pStyle w:val="ListNumber"/>
        <w:spacing w:after="14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缺少优先级与节奏管理。</w:t>
      </w:r>
      <w:r>
        <w:rPr>
          <w:rFonts w:ascii="Microsoft YaHei" w:hAnsi="Microsoft YaHei" w:eastAsia="Microsoft YaHei"/>
          <w:color w:val="000000"/>
          <w:sz w:val="21"/>
        </w:rPr>
        <w:t>当前没有主诉确认、证据深度、访谈追问、量表队列、拒绝保护、冷却期和复测周期等统一规则。</w:t>
      </w:r>
    </w:p>
    <w:p>
      <w:pPr>
        <w:pStyle w:val="Heading2"/>
      </w:pPr>
      <w:r>
        <w:t>建议的优先级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5726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执行原则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安全评估和危机追问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发现即时风险时暂停普通访谈和一般量表；直接完成意念、意图、计划、手段和时间窗口核实。</w:t>
            </w:r>
          </w:p>
        </w:tc>
      </w:tr>
      <w:tr>
        <w:tc>
          <w:tcPr>
            <w:tcW w:type="dxa" w:w="1134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P1</w:t>
            </w:r>
          </w:p>
        </w:tc>
        <w:tc>
          <w:tcPr>
            <w:tcW w:type="dxa" w:w="2268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临床访谈</w:t>
            </w:r>
          </w:p>
        </w:tc>
        <w:tc>
          <w:tcPr>
            <w:tcW w:type="dxa" w:w="5726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先建立关系、确认主诉，了解症状含义、病程、频率、功能影响、背景、目标与患者自己的理解。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P2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量表辅助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仅在信息条件满足、用途明确且患者同意后，选择与当前主诉最相关的一项。</w:t>
            </w:r>
          </w:p>
        </w:tc>
      </w:tr>
      <w:tr>
        <w:tc>
          <w:tcPr>
            <w:tcW w:type="dxa" w:w="1134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P3</w:t>
            </w:r>
          </w:p>
        </w:tc>
        <w:tc>
          <w:tcPr>
            <w:tcW w:type="dxa" w:w="2268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结果整合</w:t>
            </w:r>
          </w:p>
        </w:tc>
        <w:tc>
          <w:tcPr>
            <w:tcW w:type="dxa" w:w="5726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量表结束后回到访谈，核对分数与患者体验是否一致；不能用分数直接替代诊断。</w:t>
            </w:r>
          </w:p>
        </w:tc>
      </w:tr>
    </w:tbl>
    <w:p>
      <w:pPr>
        <w:spacing w:after="40"/>
      </w:pPr>
    </w:p>
    <w:p>
      <w:pPr>
        <w:pStyle w:val="Heading2"/>
      </w:pPr>
      <w:r>
        <w:t>量表就绪门</w:t>
      </w:r>
    </w:p>
    <w:p>
      <w:r>
        <w:t>建议同时满足以下条件后，规则层才允许邀请量表：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已经进入聚焦阶段，并由患者明确确认当前最想处理的重点；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针对该领域至少完成一次开放式追问和一次反映；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已经获得目标症状，以及持续时间或频率、功能影响中的必要信息；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没有未完成的安全追问，也没有其他量表正在进行；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本次量表具有明确用途，例如筛查、建立严重度基线、辅助鉴别或按计划复测；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患者在理解用途后明确同意。</w:t>
      </w:r>
    </w:p>
    <w:p>
      <w:r>
        <w:t>不建议只用固定对话轮数作为门槛。可设置体验底线：第一条有效患者叙述后至少先完成一次反映和一次临床追问，但最终仍以信息条件是否满足为准。</w:t>
      </w:r>
    </w:p>
    <w:p>
      <w:pPr>
        <w:pStyle w:val="Heading2"/>
      </w:pPr>
      <w:r>
        <w:t>LLM与规则的职责边界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969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应当负责</w:t>
            </w:r>
          </w:p>
        </w:tc>
        <w:tc>
          <w:tcPr>
            <w:tcW w:type="dxa" w:w="3742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不应当负责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LLM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识别症状领域；提出候选量表及证据；生成自然、简短的用途说明和邀请。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不能仅凭关键词直接启动量表；不能计分；不能覆盖安全命令或患者拒绝。</w:t>
            </w:r>
          </w:p>
        </w:tc>
      </w:tr>
      <w:tr>
        <w:tc>
          <w:tcPr>
            <w:tcW w:type="dxa" w:w="1417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</w:t>
            </w:r>
          </w:p>
        </w:tc>
        <w:tc>
          <w:tcPr>
            <w:tcW w:type="dxa" w:w="3969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检查量表就绪门；排序候选；一次只激活一项；处理同意、拒绝、冷却期、题号、分值和计分。</w:t>
            </w:r>
          </w:p>
        </w:tc>
        <w:tc>
          <w:tcPr>
            <w:tcW w:type="dxa" w:w="3742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不能把量表总分直接当成诊断；不能要求所有量表完成后才允许进入 L3。</w:t>
            </w:r>
          </w:p>
        </w:tc>
      </w:tr>
    </w:tbl>
    <w:p>
      <w:pPr>
        <w:spacing w:after="40"/>
      </w:pPr>
    </w:p>
    <w:p>
      <w:pPr>
        <w:pStyle w:val="Heading2"/>
      </w:pPr>
      <w:r>
        <w:t>验证标准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测试场景</w:t>
            </w:r>
          </w:p>
        </w:tc>
        <w:tc>
          <w:tcPr>
            <w:tcW w:type="dxa" w:w="5726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期望行为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第一轮只说最近没劲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先反映和追问，不邀请量表。</w:t>
            </w:r>
          </w:p>
        </w:tc>
      </w:tr>
      <w:tr>
        <w:tc>
          <w:tcPr>
            <w:tcW w:type="dxa" w:w="3402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确认低落为主诉，并说明持续一个月且影响工作</w:t>
            </w:r>
          </w:p>
        </w:tc>
        <w:tc>
          <w:tcPr>
            <w:tcW w:type="dxa" w:w="5726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可以解释并邀请 PHQ-9，但仍需患者同意。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同时出现低落、焦虑和失眠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只选择与已确认主诉最相关的一项，其他进入候选队列。</w:t>
            </w:r>
          </w:p>
        </w:tc>
      </w:tr>
      <w:tr>
        <w:tc>
          <w:tcPr>
            <w:tcW w:type="dxa" w:w="3402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患者拒绝量表</w:t>
            </w:r>
          </w:p>
        </w:tc>
        <w:tc>
          <w:tcPr>
            <w:tcW w:type="dxa" w:w="5726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继续临床访谈，本阶段不重复邀请。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出现明确自伤风险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安全追问抢占所有一般量表和普通访谈。</w:t>
            </w:r>
          </w:p>
        </w:tc>
      </w:tr>
    </w:tbl>
    <w:p>
      <w:pPr>
        <w:spacing w:after="40"/>
      </w:pPr>
    </w:p>
    <w:p>
      <w:pPr>
        <w:pStyle w:val="Heading1"/>
      </w:pPr>
      <w:r>
        <w:t>二 当前系统相对完整诊疗系统的差距</w:t>
      </w:r>
    </w:p>
    <w:p>
      <w:r>
        <w:t>以下判断基于当前仓库 README 所述主链路和已检查的 L2 量表触发实现。“已实现”表示存在可运行的软件原型，不表示已经完成临床有效性验证、法规合规或取得独立诊疗资质。</w:t>
      </w:r>
    </w:p>
    <w:p>
      <w:pPr>
        <w:pStyle w:val="Heading2"/>
      </w:pPr>
      <w:r>
        <w:t>已经形成的核心能力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6350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当前能力</w:t>
            </w:r>
          </w:p>
        </w:tc>
        <w:tc>
          <w:tcPr>
            <w:tcW w:type="dxa" w:w="1531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成熟度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L1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规则与 LLM 语义安全分类、风险融合、命令执行和出口守卫；模型失败时不放行。</w:t>
            </w:r>
          </w:p>
        </w:tc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核心原型已实现</w:t>
            </w:r>
          </w:p>
        </w:tc>
      </w:tr>
      <w:tr>
        <w:tc>
          <w:tcPr>
            <w:tcW w:type="dxa" w:w="1247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L2</w:t>
            </w:r>
          </w:p>
        </w:tc>
        <w:tc>
          <w:tcPr>
            <w:tcW w:type="dxa" w:w="6350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MI 四阶段、自然语言提取、量表许可与计分、证据节点、画像确认和 L2 到 L3 守卫。</w:t>
            </w:r>
          </w:p>
        </w:tc>
        <w:tc>
          <w:tcPr>
            <w:tcW w:type="dxa" w:w="1531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部分实现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L3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CLINICR 候选生成、逐项排除、独立终验、疗法三步匹配和分层治疗指令。</w:t>
            </w:r>
          </w:p>
        </w:tc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核心原型已实现</w:t>
            </w:r>
          </w:p>
        </w:tc>
      </w:tr>
      <w:tr>
        <w:tc>
          <w:tcPr>
            <w:tcW w:type="dxa" w:w="1247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L4</w:t>
            </w:r>
          </w:p>
        </w:tc>
        <w:tc>
          <w:tcPr>
            <w:tcW w:type="dxa" w:w="6350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按动态指令生成治疗回复，包含共情、反馈、技术执行和巩固状态。</w:t>
            </w:r>
          </w:p>
        </w:tc>
        <w:tc>
          <w:tcPr>
            <w:tcW w:type="dxa" w:w="1531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部分实现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L5</w:t>
            </w:r>
          </w:p>
        </w:tc>
        <w:tc>
          <w:tcPr>
            <w:tcW w:type="dxa" w:w="63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结合上下文审核 L4 回复的安全、疗法一致性和指令一致性，并支持重写与人工复核等待。</w:t>
            </w:r>
          </w:p>
        </w:tc>
        <w:tc>
          <w:tcPr>
            <w:tcW w:type="dxa" w:w="153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部分实现</w:t>
            </w:r>
          </w:p>
        </w:tc>
      </w:tr>
      <w:tr>
        <w:tc>
          <w:tcPr>
            <w:tcW w:type="dxa" w:w="1247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编排</w:t>
            </w:r>
          </w:p>
        </w:tc>
        <w:tc>
          <w:tcPr>
            <w:tcW w:type="dxa" w:w="6350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评估期运行 L1 与 L2，确认后进入 L3；治疗期运行 L1、L3 动态指令、L4 与 L5，并支持回环。</w:t>
            </w:r>
          </w:p>
        </w:tc>
        <w:tc>
          <w:tcPr>
            <w:tcW w:type="dxa" w:w="1531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核心原型已实现</w:t>
            </w:r>
          </w:p>
        </w:tc>
      </w:tr>
    </w:tbl>
    <w:p>
      <w:pPr>
        <w:spacing w:after="40"/>
      </w:pPr>
    </w:p>
    <w:p>
      <w:pPr>
        <w:pStyle w:val="Heading2"/>
      </w:pPr>
      <w:r>
        <w:t>仍需补齐的关键问题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1.  临床责任与治理。</w:t>
      </w:r>
      <w:r>
        <w:rPr>
          <w:rFonts w:ascii="Microsoft YaHei" w:hAnsi="Microsoft YaHei" w:eastAsia="Microsoft YaHei"/>
          <w:color w:val="000000"/>
          <w:sz w:val="21"/>
        </w:rPr>
        <w:t>系统没有持证专业人员的责任链、人工接管后台、会诊机制、适用人群边界和临床事件处置制度。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2.  知情同意与隐私治理。</w:t>
      </w:r>
      <w:r>
        <w:rPr>
          <w:rFonts w:ascii="Microsoft YaHei" w:hAnsi="Microsoft YaHei" w:eastAsia="Microsoft YaHei"/>
          <w:color w:val="000000"/>
          <w:sz w:val="21"/>
        </w:rPr>
        <w:t>目前的 API 与费用提示不能替代完整知情同意；还需覆盖数据用途、保存期限、撤回、访问控制、审计、未成年人和跨境传输。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3.  综合临床与医学评估。</w:t>
      </w:r>
      <w:r>
        <w:rPr>
          <w:rFonts w:ascii="Microsoft YaHei" w:hAnsi="Microsoft YaHei" w:eastAsia="Microsoft YaHei"/>
          <w:color w:val="000000"/>
          <w:sz w:val="21"/>
        </w:rPr>
        <w:t>MI画像和结构化字段不能完全替代精神状态检查、既往史、家族史、发展史、用药与物质史、躯体疾病排查、社会支持和必要的旁系信息。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4.  量表策略。</w:t>
      </w:r>
      <w:r>
        <w:rPr>
          <w:rFonts w:ascii="Microsoft YaHei" w:hAnsi="Microsoft YaHei" w:eastAsia="Microsoft YaHei"/>
          <w:color w:val="000000"/>
          <w:sz w:val="21"/>
        </w:rPr>
        <w:t>目前已具备六类量表，但触发过早；缺少就绪门、队列、拒绝保护、冷却期、基线与复测周期，以及症状分数和功能结果的联合解释。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5.  诊断有效性。</w:t>
      </w:r>
      <w:r>
        <w:rPr>
          <w:rFonts w:ascii="Microsoft YaHei" w:hAnsi="Microsoft YaHei" w:eastAsia="Microsoft YaHei"/>
          <w:color w:val="000000"/>
          <w:sz w:val="21"/>
        </w:rPr>
        <w:t>CLINICR 和 Verifier 能改善推理结构，但 Verifier 评估的是证据与逻辑质量，不等于存在现实金标准，也不能单独证明诊断正确。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6.  共享决策。</w:t>
      </w:r>
      <w:r>
        <w:rPr>
          <w:rFonts w:ascii="Microsoft YaHei" w:hAnsi="Microsoft YaHei" w:eastAsia="Microsoft YaHei"/>
          <w:color w:val="000000"/>
          <w:sz w:val="21"/>
        </w:rPr>
        <w:t>疗法规则已经生成推荐，但面向患者的诊断不确定性解释、备选方案、风险收益、偏好、可及性和共同签订的治疗计划仍不完整。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7.  完整疗程管理。</w:t>
      </w:r>
      <w:r>
        <w:rPr>
          <w:rFonts w:ascii="Microsoft YaHei" w:hAnsi="Microsoft YaHei" w:eastAsia="Microsoft YaHei"/>
          <w:color w:val="000000"/>
          <w:sz w:val="21"/>
        </w:rPr>
        <w:t>当前可以生成单轮治疗对话，但疗程频率、阶段目标、会谈议程、练习或作业、完成情况、治疗联盟、脱落管理、治疗终止和复发预防没有形成完整闭环。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8.  结局监测与调整。</w:t>
      </w:r>
      <w:r>
        <w:rPr>
          <w:rFonts w:ascii="Microsoft YaHei" w:hAnsi="Microsoft YaHei" w:eastAsia="Microsoft YaHei"/>
          <w:color w:val="000000"/>
          <w:sz w:val="21"/>
        </w:rPr>
        <w:t>尚缺少预设复评周期、患者目标结果、功能改善、症状恶化和无反应阈值，以及触发重新评估、调整疗法或升级照护的正式规则。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9.  危机现实闭环。</w:t>
      </w:r>
      <w:r>
        <w:rPr>
          <w:rFonts w:ascii="Microsoft YaHei" w:hAnsi="Microsoft YaHei" w:eastAsia="Microsoft YaHei"/>
          <w:color w:val="000000"/>
          <w:sz w:val="21"/>
        </w:rPr>
        <w:t>软件可以标记、阻断和追问，但地区化热线与医疗资源、紧急联系人、真人接管、实际转介、处置回执和安全随访仍需建设。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10.  审核覆盖范围。</w:t>
      </w:r>
      <w:r>
        <w:rPr>
          <w:rFonts w:ascii="Microsoft YaHei" w:hAnsi="Microsoft YaHei" w:eastAsia="Microsoft YaHei"/>
          <w:color w:val="000000"/>
          <w:sz w:val="21"/>
        </w:rPr>
        <w:t>L5 当前主要审核 L4 治疗回复；L2 MI回复、危机提示、确认卡和部分编排提示走其他路径，尚未形成统一的全系统输出质量治理。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11.  长期病历与跨会话连续性。</w:t>
      </w:r>
      <w:r>
        <w:rPr>
          <w:rFonts w:ascii="Microsoft YaHei" w:hAnsi="Microsoft YaHei" w:eastAsia="Microsoft YaHei"/>
          <w:color w:val="000000"/>
          <w:sz w:val="21"/>
        </w:rPr>
        <w:t>当前会话主要保存在内存中，终端退出后不能恢复；开发者画像 HTML 不是病历，也不能作为安全、合规的会话存档。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12.  真实世界验证与运维。</w:t>
      </w:r>
      <w:r>
        <w:rPr>
          <w:rFonts w:ascii="Microsoft YaHei" w:hAnsi="Microsoft YaHei" w:eastAsia="Microsoft YaHei"/>
          <w:color w:val="000000"/>
          <w:sz w:val="21"/>
        </w:rPr>
        <w:t>还需临床专家标注评测、误报与漏报分析、群体公平性、模型漂移、真实 API 稳定性、成本、日志脱敏、认证授权、限流、备份和故障恢复。</w:t>
      </w:r>
    </w:p>
    <w:p>
      <w:pPr>
        <w:spacing w:after="80" w:line="283" w:lineRule="auto"/>
        <w:ind w:left="57" w:hanging="57"/>
      </w:pPr>
      <w:r>
        <w:rPr>
          <w:rFonts w:ascii="Microsoft YaHei" w:hAnsi="Microsoft YaHei" w:eastAsia="Microsoft YaHei"/>
          <w:b/>
          <w:color w:val="000000"/>
          <w:sz w:val="21"/>
        </w:rPr>
        <w:t>13.  统一产品接口。</w:t>
      </w:r>
      <w:r>
        <w:rPr>
          <w:rFonts w:ascii="Microsoft YaHei" w:hAnsi="Microsoft YaHei" w:eastAsia="Microsoft YaHei"/>
          <w:color w:val="000000"/>
          <w:sz w:val="21"/>
        </w:rPr>
        <w:t>当前没有统一五层 HTTP 聊天 API 和患者前端；正式前端应调用复用顶层编排器的统一后端接口，而不是调用终端循环或逐层文件。</w:t>
      </w:r>
    </w:p>
    <w:p>
      <w:pPr>
        <w:pStyle w:val="Heading2"/>
      </w:pPr>
      <w:r>
        <w:t>建议的建设顺序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39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优先建设内容</w:t>
            </w:r>
          </w:p>
        </w:tc>
        <w:tc>
          <w:tcPr>
            <w:tcW w:type="dxa" w:w="4649"/>
            <w:vAlign w:val="center"/>
            <w:shd w:fill="243B5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近期</w:t>
            </w:r>
          </w:p>
        </w:tc>
        <w:tc>
          <w:tcPr>
            <w:tcW w:type="dxa" w:w="41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量表就绪门、拒绝保护、候选队列、复测节奏；补齐自动化场景测试。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第一轮普通主诉不再被量表抢占；多领域只启动一项；拒绝后不重复邀请。</w:t>
            </w:r>
          </w:p>
        </w:tc>
      </w:tr>
      <w:tr>
        <w:tc>
          <w:tcPr>
            <w:tcW w:type="dxa" w:w="1361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中期</w:t>
            </w:r>
          </w:p>
        </w:tc>
        <w:tc>
          <w:tcPr>
            <w:tcW w:type="dxa" w:w="4139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统一五层后端 API、持久化会话、临床评估字段、共享决策、疗程计划与过程监测。</w:t>
            </w:r>
          </w:p>
        </w:tc>
        <w:tc>
          <w:tcPr>
            <w:tcW w:type="dxa" w:w="4649"/>
            <w:vAlign w:val="center"/>
            <w:shd w:fill="ED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可以恢复跨会话疗程，并根据目标与结局数据调整方案。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上线前</w:t>
            </w:r>
          </w:p>
        </w:tc>
        <w:tc>
          <w:tcPr>
            <w:tcW w:type="dxa" w:w="41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临床治理、隐私合规、人工复核和危机转介闭环；真实世界临床与安全评估。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关键风险可由真人接管，所有临床输出可审计，明确产品适用边界。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三 完整诊疗闭环的阅读方式</w:t>
      </w:r>
    </w:p>
    <w:p>
      <w:r>
        <w:t>交互式 HTML 将完整流程分为入口与同意、安全分诊、临床访谈、医学补充、量表辅助、画像确认、鉴别诊断、共享决策、治疗实施、输出审核、结局监测、方案调整和长期随访。图中的绿色表示当前原型已有较明确实现，黄色表示部分覆盖，红色表示仍需建设。点击节点可查看职责和差距，支持缩放和拖动。</w:t>
      </w:r>
    </w:p>
    <w:p>
      <w:hyperlink r:id="rId10">
        <w:r>
          <w:rPr>
            <w:rFonts w:ascii="Microsoft YaHei" w:hAnsi="Microsoft YaHei" w:eastAsia="Microsoft YaHei"/>
            <w:color w:val="1F5E9C"/>
            <w:u w:val="single"/>
          </w:rPr>
          <w:t>打开交互式完整心理诊疗流程</w:t>
        </w:r>
      </w:hyperlink>
    </w:p>
    <w:p>
      <w:pPr>
        <w:pStyle w:val="Heading1"/>
      </w:pPr>
      <w:r>
        <w:t>参考依据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19"/>
        </w:rPr>
        <w:t>NICE 成人抑郁症治疗与管理指南 NG222。初始评估不能只依赖症状计数，还应考虑严重程度、既往史、病程、持续时间和功能损害。</w:t>
      </w:r>
      <w:hyperlink r:id="rId11">
        <w:r>
          <w:rPr>
            <w:rFonts w:ascii="Microsoft YaHei" w:hAnsi="Microsoft YaHei" w:eastAsia="Microsoft YaHei"/>
            <w:color w:val="1F5E9C"/>
            <w:u w:val="single"/>
          </w:rPr>
          <w:t>查看 NICE 建议</w:t>
        </w:r>
      </w:hyperlink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19"/>
        </w:rPr>
        <w:t>WHO mhGAP Intervention Guide Version 2.0。以临床决策算法组织评估、管理和随访。</w:t>
      </w:r>
      <w:hyperlink r:id="rId12">
        <w:r>
          <w:rPr>
            <w:rFonts w:ascii="Microsoft YaHei" w:hAnsi="Microsoft YaHei" w:eastAsia="Microsoft YaHei"/>
            <w:color w:val="1F5E9C"/>
            <w:u w:val="single"/>
          </w:rPr>
          <w:t>查看 WHO 指南</w:t>
        </w:r>
      </w:hyperlink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00000"/>
          <w:sz w:val="19"/>
        </w:rPr>
        <w:t>本仓库 README.md，以及 layers/layer2/session/stage_controller.py、layers/layer2/scales/engine.py 和 layers/layer2/service.py 的现有实现。</w:t>
      </w:r>
    </w:p>
    <w:sectPr w:rsidR="00FC693F" w:rsidRPr="0006063C" w:rsidSect="00034616">
      <w:footerReference w:type="default" r:id="rId9"/>
      <w:pgSz w:w="12240" w:h="15840"/>
      <w:pgMar w:top="107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3627A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3627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complete-care-system.html" TargetMode="External"/><Relationship Id="rId11" Type="http://schemas.openxmlformats.org/officeDocument/2006/relationships/hyperlink" Target="https://www.nice.org.uk/guidance/NG222/chapter/recommendations" TargetMode="External"/><Relationship Id="rId12" Type="http://schemas.openxmlformats.org/officeDocument/2006/relationships/hyperlink" Target="https://www.who.int/publications/i/item/97892415497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心理诊疗系统量表问题与完整诊疗差距分析</dc:title>
  <dc:subject>L1至L5心理诊疗原型设计复盘</dc:subject>
  <dc:creator>心理诊疗系统项目</dc:creator>
  <cp:keywords>心理评估, 量表, MI, L1-L5, 完整诊疗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