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32"/>
          <w:szCs w:val="32"/>
        </w:rPr>
        <w:t xml:space="preserve">ARSITEKTUR APLIKASI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PETASUARA</w:t>
      </w:r>
    </w:p>
    <w:p>
      <w:pPr>
        <w:spacing w:after="400"/>
        <w:jc w:val="center"/>
      </w:pPr>
      <w:r>
        <w:rPr>
          <w:sz w:val="26"/>
          <w:szCs w:val="26"/>
        </w:rPr>
        <w:t xml:space="preserve">Dokumen Arsitektur Teknis — Platform Konsultansi Analitik Kampanye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Pendamping Cetak Biru Produk v1.0 — Rahasia Internal</w:t>
      </w:r>
    </w:p>
    <w:p>
      <w:pPr>
        <w:spacing w:after="100"/>
        <w:jc w:val="center"/>
      </w:pPr>
      <w:r>
        <w:rPr>
          <w:sz w:val="22"/>
          <w:szCs w:val="22"/>
        </w:rPr>
        <w:t xml:space="preserve">CV Dua Ribu Sembilan, Bandung — Versi 1.0, Juni 2026</w:t>
      </w:r>
    </w:p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I. Prinsip Arsitektur</w:t>
      </w:r>
    </w:p>
    <w:p>
      <w:pPr>
        <w:spacing w:after="160" w:line="300"/>
        <w:jc w:val="both"/>
      </w:pPr>
      <w:r>
        <w:t xml:space="preserve">Arsitektur ini menerjemahkan lima modul produk pada Cetak Biru PetaSuara menjadi satu platform perangkat lunak. Enam prinsip menentukan setiap keputusan desain: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Modular monolith dulu, microservices nanti. </w:t>
      </w:r>
      <w:r>
        <w:t xml:space="preserve">Fase 0–1 dilayani satu codebase dengan batas modul tegas (akuisisi, NLP, QC, pelaporan, portal). Pemecahan ke layanan terpisah hanya jika beban nyata menuntut — bukan sebaliknya. Tim 2–3 orang tidak boleh menanggung kompleksitas operasional microservices.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Dapil sebagai unit kerja, klien sebagai unit isolasi. </w:t>
      </w:r>
      <w:r>
        <w:t xml:space="preserve">Semua pipeline berjalan per dapil (korpus, topik, benchmark). Hak akses dan kerahasiaan dipagari per klien (tenant). Satu dapil dapat melayani banyak klien tanpa duplikasi komputasi — sumber margin terbesar.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Provenance menyeluruh. </w:t>
      </w:r>
      <w:r>
        <w:t xml:space="preserve">Setiap angka di laporan dapat ditelusuri mundur: hasil → model run → dokumen → sumber → waktu pengambilan. Ini bukan fitur; ini lisensi kredibilitas produk.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Gerbang QC sebagai arsitektur, bukan prosedur. </w:t>
      </w:r>
      <w:r>
        <w:t xml:space="preserve">Hasil klasifikasi otomatis secara teknis tidak dapat mengalir ke laporan klien sebelum status gerbang validasi (Macro F1 ≥ ambang) terpenuhi di basis data. Pelajaran repo roshho dikodekan, bukan diimbau.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Pipeline = aset, laporan = produk. </w:t>
      </w:r>
      <w:r>
        <w:t xml:space="preserve">Kamus normalisasi, model fine-tuned, gold standard, dan template laporan terversi di repositori — nilainya terakumulasi lintas engagement.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Privasi sejak desain. </w:t>
      </w:r>
      <w:r>
        <w:t xml:space="preserve">Tidak ada tabel individu pemilih. Unit analisis terkecil adalah dokumen publik dan agregat wilayah. Kepatuhan UU PDP tertanam di skema data, bukan di kebijakan.</w:t>
      </w:r>
    </w:p>
    <w:p>
      <w:pPr>
        <w:pStyle w:val="Heading1"/>
      </w:pPr>
      <w:r>
        <w:t xml:space="preserve">II. Gambaran Arsitektur</w:t>
      </w:r>
    </w:p>
    <w:p>
      <w:pPr>
        <w:spacing w:after="120"/>
        <w:jc w:val="center"/>
      </w:pPr>
      <w:r>
        <w:drawing>
          <wp:inline distT="0" distB="0" distL="0" distR="0">
            <wp:extent cx="6286500" cy="446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Gambar 1. Arsitektur empat lapis PetaSuara dengan komponen lintas-lapis</w:t>
      </w:r>
    </w:p>
    <w:p>
      <w:pPr>
        <w:spacing w:after="160" w:line="300"/>
        <w:jc w:val="both"/>
      </w:pPr>
      <w:r>
        <w:t xml:space="preserve">Empat lapis mengalir searah — akuisisi, penyimpanan, pemrosesan, penyajian — dengan satu pengecualian disengaja: Subsistem QC berdiri di antara pemrosesan dan penyajian sebagai gerbang. Komponen lintas-lapis (autentikasi, audit, scheduler, observabilitas) melayani semua lapis.</w:t>
      </w:r>
    </w:p>
    <w:p>
      <w:pPr>
        <w:pStyle w:val="Heading1"/>
      </w:pPr>
      <w:r>
        <w:t xml:space="preserve">III. Spesifikasi Komponen per Lapis</w:t>
      </w:r>
    </w:p>
    <w:p>
      <w:pPr>
        <w:pStyle w:val="Heading2"/>
      </w:pPr>
      <w:r>
        <w:t xml:space="preserve">3.1 Lapis Akuisisi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Komponen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Fungsi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Konektor media sosial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Tarik konten publik akun kandidat &amp; percakapan dapil terjadwal; simpan mentah + metadata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Python; API resmi bila tersedia, crawler patuh-ToS dengan rate-limit; satu konektor per platform di balik antarmuka seragam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Konektor berita lokal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RSS + scraper portal berita dapil; deteksi artikel menyebut kandidat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Python (feedparser, trafilatura); daftar sumber per dapil di konfigurasi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Transkripsi A/V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Transkrip podcast, YouTube, reels lokal menjadi teks korpus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faster-whisper di GPU sewaan per-batch; antrean terpisah karena biaya komputasi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Data pemilu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Hasil pemilu historis, struktur dapil, BPP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Impor sekali per siklus dari data publik KPU; tabel referensi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Impor survei (Modul 5)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Muat hasil survei mitra ke skema analisis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Template CSV/XLSX terstandar + validator</w:t>
            </w:r>
          </w:p>
        </w:tc>
      </w:tr>
    </w:tbl>
    <w:p>
      <w:pPr>
        <w:spacing w:after="160" w:line="300"/>
        <w:jc w:val="both"/>
      </w:pPr>
      <w:r>
        <w:t xml:space="preserve">Setiap dokumen masuk dicatat dengan: sumber, URL, waktu ambil, hash konten, dan versi konektor — fondasi provenance.</w:t>
      </w:r>
    </w:p>
    <w:p>
      <w:pPr>
        <w:pStyle w:val="Heading2"/>
      </w:pPr>
      <w:r>
        <w:t xml:space="preserve">3.2 Lapis Penyimpanan dan Antrean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Komponen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Isi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Korpus mentah immutable (JSONL per batch), media, transkrip, artefak model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S3-compatible (mis. Cloudflare R2/MinIO); kunci: dapil/sumber/tanggal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Skema relasional inti (lihat Bagian IV): tenant, engagement, dapil, kandidat, dokumen, label, hasil model, gerbang QC, audit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Satu instans terkelola; partisi tabel dokumen per dapil saat volume menuntut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Embedding dokumen untuk BERTopic &amp; pencarian semantik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pgvector di instans yang sama — hindari sistem terpisah pada fase awal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Antrean tugas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Orkestrasi job: ingest, pra-proses, model run, generate laporan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Redis + RQ/Celery; scheduler cron untuk job berkala (monitoring mingguan)</w:t>
            </w:r>
          </w:p>
        </w:tc>
      </w:tr>
    </w:tbl>
    <w:p>
      <w:pPr>
        <w:pStyle w:val="Heading2"/>
      </w:pPr>
      <w:r>
        <w:t xml:space="preserve">3.3 Lapis Pemrosesan NLP dan Kendali Mutu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Komponen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Fungsi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Pra-pemrosesan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Normalisasi slang Indonesia/daerah, dedup near-duplicate, filter bot/spam, deteksi bahasa (ID/Sunda/campuran)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Python; kamus normalisasi terversi per wilayah (aset kumulatif); MinHash untuk dedup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BERTopic service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Topik per dapil per periode; tren volume; skor koherensi; dokumen representatif per topik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BERTopic + embedding IndoBERT/multibahasa; hasil + parameter run disimpan utuh untuk reprodusibilitas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Sentimen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Skor sentimen per dokumen per kandidat-target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IndoBERT fine-tuned pada domain politik lokal; versi model dicatat per hasil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LLM-annotator posisi pesan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Klasifikasi kuadran matriks posisi pesan (aman-basis/menarik-swing dst.)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API LLM dengan prompt terversi; batch; output WAJIB lewat gerbang QC sebelum dipakai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Subsistem QC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UI pelabelan ganda + adjudikasi; hitung κ/α otomatis; benchmark Macro F1 per kelas; set status gerbang per (dapil, tugas, versi-model)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Web app internal sederhana (bisa Label Studio dikustom); tabel qc_gate di PostgreSQL dirujuk semua komponen hilir</w:t>
            </w:r>
          </w:p>
        </w:tc>
      </w:tr>
    </w:tbl>
    <w:p>
      <w:pPr>
        <w:pStyle w:val="Heading2"/>
      </w:pPr>
      <w:r>
        <w:t xml:space="preserve">3.4 Lapis Analitik, Pelaporan, dan Portal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Komponen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Fungsi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Analytics API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Endpoint matriks posisi pesan, benchmark multi-kandidat, time-series, deteksi lonjakan sentimen (alert war room)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FastAPI; hanya membaca hasil berstatus gerbang LULUS; respons selalu menyertakan metadata provenance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Generator laporan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Laporan Diagnostik, Benchmark, brief mingguan, lampiran metodologi — otomatis dari template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Node.js/docx (mesin yang sudah operasional); template terversi per jenis deliverable; render PDF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Portal klien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Login per tenant; dashboard engagement; peta topik interaktif; unduh deliverable; arsip brief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Web app (React/HTML ringan); read-only terhadap Analytics API; tanpa fitur tulis data analitik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Konsol internal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Admin tenant &amp; engagement, pemicu/monitor pipeline, provenance explorer, kalender deliverable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Web app internal; akses terbatas peran ops/riset</w:t>
            </w:r>
          </w:p>
        </w:tc>
      </w:tr>
    </w:tbl>
    <w:p>
      <w:pPr>
        <w:pStyle w:val="Heading1"/>
      </w:pPr>
      <w:r>
        <w:t xml:space="preserve">IV. Model Data Inti</w:t>
      </w:r>
    </w:p>
    <w:p>
      <w:pPr>
        <w:spacing w:after="160" w:line="300"/>
        <w:jc w:val="both"/>
      </w:pPr>
      <w:r>
        <w:t xml:space="preserve">Skema PostgreSQL inti (disederhanakan; kolom audit created_at/by tersirat di semua tabel):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3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Tabel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Kolom kunci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id, nama, jenis (caleg/partai), status_kontrak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Unit isolasi akses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id, tenant_id, paket, dapil_id, periode, status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Satu kontrak = satu baris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dapil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id, kode, tingkat (RI/prov/kab-kota), provinsi, bpp, kursi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Unit kerja pipeline; dipakai bersama lintas tenant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kandidat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id, dapil_id, nama, partai, nomor_urut, status_petahana, akun_resmi (JSON)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Objek benchmark; bukan data pribadi sensitif (figur publik kontestan)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sumber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id, jenis, platform/media, url_dasar, konfigurasi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Registri konektor per dapil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dokumen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id, dapil_id, sumber_id, url, hash, waktu_terbit, waktu_ambil, teks_mentah, teks_bersih, bahasa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Partisi per dapil; immutable setelah masuk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model_run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id, jenis (topik/sentimen/posisi), versi_model, versi_prompt, parameter (JSON), dapil_id, periode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Reprodusibilitas penuh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hasil_dokumen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dokumen_id, model_run_id, label, skor, kandidat_target_id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Hasil granular per dokumen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topik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id, model_run_id, label_manusia, kata_kunci, volume, koherensi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Diberi label final oleh manusia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gold_label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dokumen_id, tugas, penilai_id, label, ronde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Pelabelan ganda + adjudikasi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qc_gate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dapil_id, tugas, model_run_id, kappa, macro_f1 (JSON per kelas), status (LULUS/INDIKATIF/TOLAK), disetujui_oleh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Dirujuk Analytics API sebelum menyajikan hasil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id, engagement_id, jenis, versi, path_objek, diserahkan_pada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Arsip kontraktual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audit_log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aktor, aksi, objek, waktu, detail (JSON)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Append-only</w:t>
            </w:r>
          </w:p>
        </w:tc>
      </w:tr>
    </w:tbl>
    <w:p>
      <w:pPr>
        <w:spacing w:after="160" w:line="300"/>
        <w:jc w:val="both"/>
      </w:pPr>
      <w:r>
        <w:t xml:space="preserve">Aturan integritas terpenting: </w:t>
      </w:r>
      <w:r>
        <w:rPr>
          <w:rFonts w:ascii="Consolas" w:cs="Consolas" w:eastAsia="Consolas" w:hAnsi="Consolas"/>
          <w:sz w:val="19"/>
          <w:szCs w:val="19"/>
        </w:rPr>
        <w:t xml:space="preserve">hasil_dokumen</w:t>
      </w:r>
      <w:r>
        <w:t xml:space="preserve"> hanya dapat dibaca Analytics API jika </w:t>
      </w:r>
      <w:r>
        <w:rPr>
          <w:rFonts w:ascii="Consolas" w:cs="Consolas" w:eastAsia="Consolas" w:hAnsi="Consolas"/>
          <w:sz w:val="19"/>
          <w:szCs w:val="19"/>
        </w:rPr>
        <w:t xml:space="preserve">qc_gate.status = LULUS</w:t>
      </w:r>
      <w:r>
        <w:t xml:space="preserve"> untuk kombinasi (dapil, tugas, model_run) terkait; status INDIKATIF memaksa label peringatan eksplisit di seluruh penyajian.</w:t>
      </w:r>
    </w:p>
    <w:p>
      <w:pPr>
        <w:pStyle w:val="Heading1"/>
      </w:pPr>
      <w:r>
        <w:t xml:space="preserve">V. Permukaan API (Ringkas)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2326"/>
      </w:tblGrid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Fungsi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Konsumen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 /dapil/{id}/topik?periode=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Peta topik + tren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Portal, generator laporan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 /dapil/{id}/matriks-posisi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Kuadran posisi pesan per topik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Portal, laporan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 /dapil/{id}/benchmark?kandidat=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Perbandingan multi-kandidat: diksi, topik, sentimen, engagement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Portal, laporan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 /dapil/{id}/timeseries?metrik=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Deret waktu sentimen/volume/engagement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Portal, alert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 /alert/{engagement}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Lonjakan sentimen negatif &amp; isu baru (war room)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Brief mingguan, notifikasi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 /laporan/{engagement}/{jenis}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Picu generate deliverable dari template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Konsol internal, scheduler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 /provenance/{hasil_id}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Telusur hasil → run → dokumen → sumber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Konsol, audit eksternal</w:t>
            </w:r>
          </w:p>
        </w:tc>
      </w:tr>
    </w:tbl>
    <w:p>
      <w:pPr>
        <w:spacing w:after="160" w:line="300"/>
        <w:jc w:val="both"/>
      </w:pPr>
      <w:r>
        <w:t xml:space="preserve">Semua endpoint memerlukan token per tenant dengan cakupan engagement; portal klien tidak pernah menerima data dapil di luar kontraknya, sekalipun dapilnya sama dengan klien lain.</w:t>
      </w:r>
    </w:p>
    <w:p>
      <w:pPr>
        <w:pStyle w:val="Heading1"/>
      </w:pPr>
      <w:r>
        <w:t xml:space="preserve">VI. Keamanan, Multi-Tenancy, dan Kepatuhan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Isolasi tenant berlapis: </w:t>
      </w:r>
      <w:r>
        <w:t xml:space="preserve">row-level security PostgreSQL pada kolom tenant_id/engagement_id + cakupan token API + pemisahan folder object storage per engagement untuk deliverable.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Konflik klien terkode: </w:t>
      </w:r>
      <w:r>
        <w:t xml:space="preserve">constraint pada engagement menolak dua tenant aktif dengan kombinasi (dapil, partai) identik — menegakkan aturan etika Bagian 9.3 Cetak Biru di level basis data.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Privasi: </w:t>
      </w:r>
      <w:r>
        <w:t xml:space="preserve">tidak ada tabel individu pemilih; dokumen adalah konten publik; agregasi geografis minimum kelurahan; retensi korpus mentah maksimal 1 siklus pemilu lalu dianonimkan/dihapus sesuai kontrak.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Enkripsi &amp; akses: </w:t>
      </w:r>
      <w:r>
        <w:t xml:space="preserve">TLS menyeluruh, enkripsi at-rest, MFA konsol internal, prinsip hak akses minimum per peran (ops, analis, anotator, klien).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Audit: </w:t>
      </w:r>
      <w:r>
        <w:t xml:space="preserve">audit_log append-only; provenance explorer tersedia untuk audit pihak ketiga sesuai komitmen transparansi metodologi.</w:t>
      </w:r>
    </w:p>
    <w:p>
      <w:pPr>
        <w:pStyle w:val="Heading1"/>
      </w:pPr>
      <w:r>
        <w:t xml:space="preserve">VII. Topologi Deployment dan Estimasi Biaya</w:t>
      </w:r>
    </w:p>
    <w:p>
      <w:pPr>
        <w:pStyle w:val="Heading2"/>
      </w:pPr>
      <w:r>
        <w:t xml:space="preserve">7.1 Fase 0–1: Monolit Modular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1 VPS aplikasi (8 vCPU/16 GB): API, portal, konsol, worker antrean, PostgreSQL+pgvector.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Object storage terkelola (R2/S3) — bayar per pakai.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GPU sewaan per-batch (transkripsi Whisper, embedding, fine-tune) — menyala hanya saat job berjalan.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Estimasi infrastruktur: Rp3–7 juta/bulan di luar biaya API LLM (variabel per volume korpus, dianggarkan per engagement).</w:t>
      </w:r>
    </w:p>
    <w:p>
      <w:pPr>
        <w:pStyle w:val="Heading2"/>
      </w:pPr>
      <w:r>
        <w:t xml:space="preserve">7.2 Fase 2: Skala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Pisahkan PostgreSQL ke instans terkelola; worker NLP ke node terpisah dengan autoscaling antrean; CDN untuk portal.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Pemecahan layanan pertama yang masuk akal: worker NLP (beban komputasi) dan portal klien (beban publik) — bukan pemecahan menyeluruh.</w:t>
      </w:r>
    </w:p>
    <w:p>
      <w:pPr>
        <w:pStyle w:val="Heading2"/>
      </w:pPr>
      <w:r>
        <w:t xml:space="preserve">7.3 Lingkungan dan Alur Rilis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Tiga lingkungan: dev, staging (dapil sintetis), produksi. Template laporan dan prompt LLM diversi di Git seperti kode.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t xml:space="preserve">CI: uji unit pipeline + uji regresi pada korpus emas kecil (hasil model tidak boleh bergeser tanpa kenaikan versi run).</w:t>
      </w:r>
    </w:p>
    <w:p>
      <w:pPr>
        <w:pStyle w:val="Heading1"/>
      </w:pPr>
      <w:r>
        <w:t xml:space="preserve">VIII. Urutan Pembangunan (MVP → Lengkap)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Lingkup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Hasil bisa-dipakai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Skema PostgreSQL inti, konektor berita + 1 platform medsos, object storage, antrean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Korpus 1 dapil pilot mengalir harian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Pra-pemrosesan + BERTopic service + UI QC v0 (pelabelan ganda + κ)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Peta topik tervalidasi dapil pilot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5–6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Sentimen IndoBERT + LLM-annotator + gerbang QC penuh + Analytics API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Matriks posisi pesan pertama berstatus LULUS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7–8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Generator laporan (template Diagnostik) + konsol internal v1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Deliverable Paket Diagnostik end-to-end otomatis 70%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Portal klien v1 + brief mingguan terjadwal + alert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Siap Paket Strategi &amp; uji War Room internal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Benchmark multi-kandidat penuh, pengerasan keamanan, provenance explorer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mbria" w:cs="Cambria" w:eastAsia="Cambria" w:hAnsi="Cambria"/>
                <w:b w:val="false"/>
                <w:bCs w:val="false"/>
                <w:sz w:val="20"/>
                <w:szCs w:val="20"/>
              </w:rPr>
              <w:t xml:space="preserve">Platform v1.0 — siap aktivasi komersial Fase 1</w:t>
            </w:r>
          </w:p>
        </w:tc>
      </w:tr>
    </w:tbl>
    <w:p>
      <w:pPr>
        <w:spacing w:after="160" w:line="300"/>
        <w:jc w:val="both"/>
      </w:pPr>
      <w:r>
        <w:t xml:space="preserve">Dua belas sprint dua-mingguan ≈ 6 bulan kalender dengan 1 engineer penuh + 1 paruh waktu — selaras dengan Fase 0 (aset dorman) pada peta jalan Cetak Biru: platform matang justru selama masa tunggu firewall etik, dan studi pilot non-pemenangan (analitik percakapan publik untuk literasi pemilih) menjadi sekaligus uji beban produksi pertama.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mbria" w:cs="Cambria" w:eastAsia="Cambria" w:hAnsi="Cambri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mbria" w:cs="Cambria" w:eastAsia="Cambria" w:hAnsi="Cambria"/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d903c4ea764f6de389a0ac4d72adc8db6d9504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2026-06-12T15:36:02.128Z</dcterms:created>
  <dcterms:modified xsi:type="dcterms:W3CDTF">2026-06-12T15:36:02.129Z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