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sz w:val="32"/>
          <w:szCs w:val="32"/>
        </w:rPr>
        <w:t xml:space="preserve">CETAK BIRU PRODUK</w:t>
      </w:r>
    </w:p>
    <w:p>
      <w:pPr>
        <w:spacing w:after="200"/>
        <w:jc w:val="center"/>
      </w:pPr>
      <w:r>
        <w:rPr>
          <w:b/>
          <w:bCs/>
          <w:sz w:val="56"/>
          <w:szCs w:val="56"/>
        </w:rPr>
        <w:t xml:space="preserve">PETASUARA</w:t>
      </w:r>
    </w:p>
    <w:p>
      <w:pPr>
        <w:spacing w:after="400"/>
        <w:jc w:val="center"/>
      </w:pPr>
      <w:r>
        <w:rPr>
          <w:sz w:val="26"/>
          <w:szCs w:val="26"/>
        </w:rPr>
        <w:t xml:space="preserve">Layanan Konsultansi Analitik Kampanye untuk Calon Anggota Legislatif</w:t>
      </w:r>
    </w:p>
    <w:p>
      <w:pPr>
        <w:spacing w:after="100"/>
        <w:jc w:val="center"/>
      </w:pPr>
      <w:r>
        <w:rPr>
          <w:i/>
          <w:iCs/>
          <w:sz w:val="22"/>
          <w:szCs w:val="22"/>
        </w:rPr>
        <w:t xml:space="preserve">Dokumen Perencanaan Produk — Rahasia Internal</w:t>
      </w:r>
    </w:p>
    <w:p>
      <w:pPr>
        <w:spacing w:after="100"/>
        <w:jc w:val="center"/>
      </w:pPr>
      <w:r>
        <w:rPr>
          <w:sz w:val="22"/>
          <w:szCs w:val="22"/>
        </w:rPr>
        <w:t xml:space="preserve">CV Dua Ribu Sembilan, Bandung</w:t>
      </w:r>
    </w:p>
    <w:p>
      <w:pPr>
        <w:spacing w:after="100"/>
        <w:jc w:val="center"/>
      </w:pPr>
      <w:r>
        <w:rPr>
          <w:sz w:val="22"/>
          <w:szCs w:val="22"/>
        </w:rPr>
        <w:t xml:space="preserve">Versi 1.0 — Juni 2026</w:t>
      </w:r>
    </w:p>
    <w:p>
      <w:r>
        <w:br w:type="page"/>
      </w:r>
    </w:p>
    <w:p>
      <w:pPr>
        <w:pStyle w:val="Heading1"/>
      </w:pPr>
      <w:r>
        <w:t xml:space="preserve">Daftar Isi</w:t>
      </w:r>
    </w:p>
    <w:sdt>
      <w:sdtPr>
        <w:alias w:val="Daftar Isi"/>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I. Ringkasan Eksekutif</w:t>
      </w:r>
    </w:p>
    <w:p>
      <w:pPr>
        <w:spacing w:after="160" w:line="300"/>
        <w:jc w:val="both"/>
      </w:pPr>
      <w:r>
        <w:t xml:space="preserve">PetaSuara (nama kerja) adalah produk konsultansi analitik kampanye berbasis </w:t>
      </w:r>
      <w:r>
        <w:rPr>
          <w:i/>
          <w:iCs/>
        </w:rPr>
        <w:t xml:space="preserve">natural language processing</w:t>
      </w:r>
      <w:r>
        <w:t xml:space="preserve"> (NLP) dan data analytics untuk calon anggota legislatif (caleg) di sistem proporsional terbuka Indonesia. Produk ini menerjemahkan tiga sumber yang telah dikaji: kerangka komparatif profesionalisasi kampanye Bowler dan Farrell (1992), pelajaran metodologis pelabelan teks politik berbantuan LLM dari proyek Columbia Business School (repo roshho), dan pipeline analitik deskriptif Mathaisel dan Comm (2021) yang direplikasi repo yonniechan — lalu menggabungkannya dengan kapasitas teknis yang sudah terbangun: BERTopic, model bahasa Indonesia (IndoBERT), protokol reliabilitas antar-penilai, dan mesin produksi konten.</w:t>
      </w:r>
    </w:p>
    <w:p>
      <w:pPr>
        <w:spacing w:after="160" w:line="300"/>
        <w:jc w:val="both"/>
      </w:pPr>
      <w:r>
        <w:t xml:space="preserve">Proposisi nilai inti: caleg di dapil yang sama bersaing terutama dengan </w:t>
      </w:r>
      <w:r>
        <w:rPr>
          <w:b/>
          <w:bCs/>
        </w:rPr>
        <w:t xml:space="preserve">rekan separtainya sendiri</w:t>
      </w:r>
      <w:r>
        <w:t xml:space="preserve">, bukan hanya dengan partai lain. Hampir seluruh jasa konsultan politik Indonesia menjual intuisi dan jaringan; sangat sedikit yang menjual bukti. PetaSuara menjual bukti: peta topik percakapan dapil, posisi pesan kompetitor, sentimen publik terhadap kandidat, dan rekomendasi pesan yang teruji secara empiris — dikemas dalam deliverable yang dapat langsung dieksekusi tim kampanye.</w:t>
      </w:r>
    </w:p>
    <w:p>
      <w:pPr>
        <w:spacing w:after="160" w:line="300"/>
        <w:jc w:val="both"/>
      </w:pPr>
      <w:r>
        <w:t xml:space="preserve">Produk terdiri atas lima modul yang dapat dijual terpisah atau sebagai paket berjenjang (Diagnostik, Strategi, War Room), dengan rentang harga Rp35–300 juta per engagement. Bagian IX dokumen ini menetapkan pagar etika yang tidak dapat ditawar, termasuk firewall ketat terhadap jabatan kepenyelenggara pemilu: produk hanya dioperasikan oleh entitas dan personel yang bebas dari konflik kepentingan kelembagaan.</w:t>
      </w:r>
    </w:p>
    <w:p>
      <w:pPr>
        <w:pStyle w:val="Heading1"/>
      </w:pPr>
      <w:r>
        <w:t xml:space="preserve">II. Landasan Konseptual</w:t>
      </w:r>
    </w:p>
    <w:p>
      <w:pPr>
        <w:pStyle w:val="Heading2"/>
      </w:pPr>
      <w:r>
        <w:t xml:space="preserve">2.1 Kerangka Bowler–Farrell: Tiga Lapis Kampanye</w:t>
      </w:r>
    </w:p>
    <w:p>
      <w:pPr>
        <w:spacing w:after="160" w:line="300"/>
        <w:jc w:val="both"/>
      </w:pPr>
      <w:r>
        <w:t xml:space="preserve">Bowler dan Farrell (1992) membangun kerangka komparatif lintas sistem yang sampai kini menjadi fondasi studi profesionalisasi kampanye. Kerangka itu menyusun analisis kampanye dalam tiga lapis: (1) </w:t>
      </w:r>
      <w:r>
        <w:rPr>
          <w:b/>
          <w:bCs/>
        </w:rPr>
        <w:t xml:space="preserve">lingkungan kampanye</w:t>
      </w:r>
      <w:r>
        <w:t xml:space="preserve"> — faktor sistemik seperti sistem pemilu, regulasi dana kampanye, dan akses media; (2) </w:t>
      </w:r>
      <w:r>
        <w:rPr>
          <w:b/>
          <w:bCs/>
        </w:rPr>
        <w:t xml:space="preserve">organisasi internal</w:t>
      </w:r>
      <w:r>
        <w:t xml:space="preserve"> — bagaimana partai/kandidat menstrukturkan manajemen kampanye, riset, dan penggunaan konsultan profesional; serta (3) </w:t>
      </w:r>
      <w:r>
        <w:rPr>
          <w:b/>
          <w:bCs/>
        </w:rPr>
        <w:t xml:space="preserve">dimensi pemasaran</w:t>
      </w:r>
      <w:r>
        <w:t xml:space="preserve"> — penargetan pemilih, citra kandidat, dan umpan balik. Dua temuan kunci mereka relevan langsung bagi produk ini. Pertama, teknik kampanye modern bersifat lintas sistem — bukan fenomena Amerika semata — sehingga adaptasi metode analitik ke konteks Indonesia secara konseptual sahih. Kedua, kasus Finlandia (Sundberg &amp; Hognabba, dalam Bowler &amp; Farrell, 1992) menunjukkan bahwa pada sistem proporsional daftar terbuka, kampanye riil berlangsung melalui kelompok pendukung kandidat perorangan — analog langsung dengan tim sukses caleg Indonesia. Inilah celah pasar produk: analitik level kandidat, bukan level partai.</w:t>
      </w:r>
    </w:p>
    <w:p>
      <w:pPr>
        <w:spacing w:after="160" w:line="300"/>
        <w:jc w:val="both"/>
      </w:pPr>
      <w:r>
        <w:t xml:space="preserve">Kerangka Nimmo (1970) yang dirujuk Bowler dan Farrell — manajemen, riset, komunikasi — menjadi peta modul produk: PetaSuara mengisi fungsi </w:t>
      </w:r>
      <w:r>
        <w:rPr>
          <w:i/>
          <w:iCs/>
        </w:rPr>
        <w:t xml:space="preserve">riset</w:t>
      </w:r>
      <w:r>
        <w:t xml:space="preserve"> dan memberi input terstruktur ke fungsi </w:t>
      </w:r>
      <w:r>
        <w:rPr>
          <w:i/>
          <w:iCs/>
        </w:rPr>
        <w:t xml:space="preserve">komunikasi</w:t>
      </w:r>
      <w:r>
        <w:t xml:space="preserve">, sementara fungsi manajemen tetap pada tim kampanye klien.</w:t>
      </w:r>
    </w:p>
    <w:p>
      <w:pPr>
        <w:pStyle w:val="Heading2"/>
      </w:pPr>
      <w:r>
        <w:t xml:space="preserve">2.2 Tiga Pelajaran dari Studi Empiris</w:t>
      </w:r>
    </w:p>
    <w:p>
      <w:pPr>
        <w:pStyle w:val="ListParagraph"/>
        <w:numPr>
          <w:ilvl w:val="0"/>
          <w:numId w:val="2"/>
        </w:numPr>
        <w:spacing w:after="100" w:line="300"/>
        <w:jc w:val="both"/>
      </w:pPr>
      <w:r>
        <w:rPr>
          <w:b/>
          <w:bCs/>
        </w:rPr>
        <w:t xml:space="preserve">Sinyal lintas-segmen (repo roshho/Columbia). </w:t>
      </w:r>
      <w:r>
        <w:t xml:space="preserve">Terdapat himpunan topik yang penting bagi pemilih luar basis tetapi tidak sensitif bagi basis sendiri. Mengirim sinyal pada topik tersebut menarik dukungan luar tanpa menggerus basis. Untuk caleg Indonesia, konsep ini diterjemahkan menjadi peta topik “aman-basis, menarik-swing” per dapil.</w:t>
      </w:r>
    </w:p>
    <w:p>
      <w:pPr>
        <w:pStyle w:val="ListParagraph"/>
        <w:numPr>
          <w:ilvl w:val="0"/>
          <w:numId w:val="2"/>
        </w:numPr>
        <w:spacing w:after="100" w:line="300"/>
        <w:jc w:val="both"/>
      </w:pPr>
      <w:r>
        <w:rPr>
          <w:b/>
          <w:bCs/>
        </w:rPr>
        <w:t xml:space="preserve">Batas akurasi LLM sebagai pelabel (repo roshho). </w:t>
      </w:r>
      <w:r>
        <w:t xml:space="preserve">LLM mencapai akurasi agregat memadai tetapi Macro F1 rendah pada klasifikasi politik bernuansa, dengan tingkat halusinasi yang material. Konsekuensi produk: setiap pelabelan otomatis wajib melalui protokol validasi manusia dengan reliabilitas antar-penilai terdokumentasi (lihat Bagian V).</w:t>
      </w:r>
    </w:p>
    <w:p>
      <w:pPr>
        <w:pStyle w:val="ListParagraph"/>
        <w:numPr>
          <w:ilvl w:val="0"/>
          <w:numId w:val="2"/>
        </w:numPr>
        <w:spacing w:after="100" w:line="300"/>
        <w:jc w:val="both"/>
      </w:pPr>
      <w:r>
        <w:rPr>
          <w:b/>
          <w:bCs/>
        </w:rPr>
        <w:t xml:space="preserve">Pipeline analitik dasar (Mathaisel &amp; Comm, 2021; repo yonniechan). </w:t>
      </w:r>
      <w:r>
        <w:t xml:space="preserve">Alur korpus → topic modeling → analisis sentimen → time-series engagement terbukti replikabel dan menghasilkan perbandingan head-to-head antar-kandidat yang mudah dikomunikasikan ke klien non-teknis. Produk meng-upgrade mesinnya: LDA menjadi BERTopic, TextBlob menjadi model sentimen IndoBERT.</w:t>
      </w:r>
    </w:p>
    <w:p>
      <w:pPr>
        <w:pStyle w:val="Heading2"/>
      </w:pPr>
      <w:r>
        <w:t xml:space="preserve">2.3 Penerjemahan ke Konteks Proporsional Terbuka Indonesia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999999" w:sz="1"/>
              <w:left w:val="single" w:color="999999" w:sz="1"/>
              <w:bottom w:val="single" w:color="999999" w:sz="1"/>
              <w:right w:val="single" w:color="999999" w:sz="1"/>
            </w:tcBorders>
            <w:shd w:fill="DCE6F1" w:val="clear"/>
            <w:tcMar>
              <w:top w:type="dxa" w:w="80"/>
              <w:left w:type="dxa" w:w="120"/>
              <w:bottom w:type="dxa" w:w="80"/>
              <w:right w:type="dxa" w:w="120"/>
            </w:tcMar>
          </w:tcPr>
          <w:p>
            <w:pPr>
              <w:spacing w:after="40" w:line="260"/>
            </w:pPr>
            <w:r>
              <w:rPr>
                <w:b/>
                <w:bCs/>
                <w:sz w:val="20"/>
                <w:szCs w:val="20"/>
              </w:rPr>
              <w:t xml:space="preserve">Konsep sumber</w:t>
            </w:r>
          </w:p>
        </w:tc>
        <w:tc>
          <w:tcPr>
            <w:tcW w:type="dxa" w:w="3013"/>
            <w:tcBorders>
              <w:top w:val="single" w:color="999999" w:sz="1"/>
              <w:left w:val="single" w:color="999999" w:sz="1"/>
              <w:bottom w:val="single" w:color="999999" w:sz="1"/>
              <w:right w:val="single" w:color="999999" w:sz="1"/>
            </w:tcBorders>
            <w:shd w:fill="DCE6F1" w:val="clear"/>
            <w:tcMar>
              <w:top w:type="dxa" w:w="80"/>
              <w:left w:type="dxa" w:w="120"/>
              <w:bottom w:type="dxa" w:w="80"/>
              <w:right w:type="dxa" w:w="120"/>
            </w:tcMar>
          </w:tcPr>
          <w:p>
            <w:pPr>
              <w:spacing w:after="40" w:line="260"/>
            </w:pPr>
            <w:r>
              <w:rPr>
                <w:b/>
                <w:bCs/>
                <w:sz w:val="20"/>
                <w:szCs w:val="20"/>
              </w:rPr>
              <w:t xml:space="preserve">Konteks asal</w:t>
            </w:r>
          </w:p>
        </w:tc>
        <w:tc>
          <w:tcPr>
            <w:tcW w:type="dxa" w:w="3013"/>
            <w:tcBorders>
              <w:top w:val="single" w:color="999999" w:sz="1"/>
              <w:left w:val="single" w:color="999999" w:sz="1"/>
              <w:bottom w:val="single" w:color="999999" w:sz="1"/>
              <w:right w:val="single" w:color="999999" w:sz="1"/>
            </w:tcBorders>
            <w:shd w:fill="DCE6F1" w:val="clear"/>
            <w:tcMar>
              <w:top w:type="dxa" w:w="80"/>
              <w:left w:type="dxa" w:w="120"/>
              <w:bottom w:type="dxa" w:w="80"/>
              <w:right w:type="dxa" w:w="120"/>
            </w:tcMar>
          </w:tcPr>
          <w:p>
            <w:pPr>
              <w:spacing w:after="40" w:line="260"/>
            </w:pPr>
            <w:r>
              <w:rPr>
                <w:b/>
                <w:bCs/>
                <w:sz w:val="20"/>
                <w:szCs w:val="20"/>
              </w:rPr>
              <w:t xml:space="preserve">Adaptasi PetaSuara</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Kampanye terpusat partai (Bowler &amp; Farrell)</w:t>
            </w:r>
          </w:p>
        </w:tc>
        <w:tc>
          <w:tcPr>
            <w:tcW w:type="dxa" w:w="30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Eropa Barat, sistem daftar tertutup</w:t>
            </w:r>
          </w:p>
        </w:tc>
        <w:tc>
          <w:tcPr>
            <w:tcW w:type="dxa" w:w="30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Analitik dua arah: posisi caleg terhadap narasi partai DAN terhadap caleg separtai se-dapil</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Bipartisan signaling (roshho)</w:t>
            </w:r>
          </w:p>
        </w:tc>
        <w:tc>
          <w:tcPr>
            <w:tcW w:type="dxa" w:w="30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AS, dua partai</w:t>
            </w:r>
          </w:p>
        </w:tc>
        <w:tc>
          <w:tcPr>
            <w:tcW w:type="dxa" w:w="30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Peta sinyal lintas-segmen pemilih (nasionalis–religius, urban–rural, basis–swing) per dapil</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Story arc dua kandidat (Mathaisel &amp; Comm)</w:t>
            </w:r>
          </w:p>
        </w:tc>
        <w:tc>
          <w:tcPr>
            <w:tcW w:type="dxa" w:w="30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Pilpres AS, head-to-head</w:t>
            </w:r>
          </w:p>
        </w:tc>
        <w:tc>
          <w:tcPr>
            <w:tcW w:type="dxa" w:w="30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Benchmark multi-kandidat: seluruh caleg petahana dan penantang utama satu dapil</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Korpus Twitter/X</w:t>
            </w:r>
          </w:p>
        </w:tc>
        <w:tc>
          <w:tcPr>
            <w:tcW w:type="dxa" w:w="30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Data Kaggle 2016</w:t>
            </w:r>
          </w:p>
        </w:tc>
        <w:tc>
          <w:tcPr>
            <w:tcW w:type="dxa" w:w="30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Instagram, TikTok (caption + transkrip), Facebook, berita lokal, podcast/YouTube lokal</w:t>
            </w:r>
          </w:p>
        </w:tc>
      </w:tr>
    </w:tbl>
    <w:p>
      <w:pPr>
        <w:pStyle w:val="Heading1"/>
      </w:pPr>
      <w:r>
        <w:t xml:space="preserve">III. Posisi Pasar dan Segmen Klien</w:t>
      </w:r>
    </w:p>
    <w:p>
      <w:pPr>
        <w:spacing w:after="160" w:line="300"/>
        <w:jc w:val="both"/>
      </w:pPr>
      <w:r>
        <w:t xml:space="preserve">Pasar konsultan politik Indonesia menjelang Pemilu 2029 terbagi tiga lapis: lembaga survei besar yang melayani partai dan calon kepala daerah (tiket masuk ratusan juta hingga miliaran rupiah), konsultan media sosial/buzzer yang menjual amplifikasi tanpa riset, dan ruang kosong di tengah: caleg DPRD provinsi, DPR RI, dan DPRD kabupaten/kota papan atas yang punya anggaran riset Rp30–300 juta tetapi tidak terlayani analitik berbasis bukti. PetaSuara mengisi ruang kosong itu dengan diferensiasi: metodologi akademik yang dapat dipertanggungjawabkan (publikasi terindeks sebagai jangkar), harga di bawah lembaga survei besar karena berbasis data digital publik (bukan survei lapangan mahal), dan deliverable eksekusi-siap, bukan laporan seremonial.</w:t>
      </w:r>
    </w:p>
    <w:p>
      <w:pPr>
        <w:pStyle w:val="Heading2"/>
      </w:pPr>
      <w:r>
        <w:t xml:space="preserve">3.1 Segmen Prioritas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213"/>
        <w:gridCol w:w="2213"/>
      </w:tblGrid>
      <w:tr>
        <w:tc>
          <w:tcPr>
            <w:tcW w:type="dxa" w:w="2300"/>
            <w:tcBorders>
              <w:top w:val="single" w:color="999999" w:sz="1"/>
              <w:left w:val="single" w:color="999999" w:sz="1"/>
              <w:bottom w:val="single" w:color="999999" w:sz="1"/>
              <w:right w:val="single" w:color="999999" w:sz="1"/>
            </w:tcBorders>
            <w:shd w:fill="DCE6F1" w:val="clear"/>
            <w:tcMar>
              <w:top w:type="dxa" w:w="80"/>
              <w:left w:type="dxa" w:w="120"/>
              <w:bottom w:type="dxa" w:w="80"/>
              <w:right w:type="dxa" w:w="120"/>
            </w:tcMar>
          </w:tcPr>
          <w:p>
            <w:pPr>
              <w:spacing w:after="40" w:line="260"/>
            </w:pPr>
            <w:r>
              <w:rPr>
                <w:b/>
                <w:bCs/>
                <w:sz w:val="20"/>
                <w:szCs w:val="20"/>
              </w:rPr>
              <w:t xml:space="preserve">Segmen</w:t>
            </w:r>
          </w:p>
        </w:tc>
        <w:tc>
          <w:tcPr>
            <w:tcW w:type="dxa" w:w="2300"/>
            <w:tcBorders>
              <w:top w:val="single" w:color="999999" w:sz="1"/>
              <w:left w:val="single" w:color="999999" w:sz="1"/>
              <w:bottom w:val="single" w:color="999999" w:sz="1"/>
              <w:right w:val="single" w:color="999999" w:sz="1"/>
            </w:tcBorders>
            <w:shd w:fill="DCE6F1" w:val="clear"/>
            <w:tcMar>
              <w:top w:type="dxa" w:w="80"/>
              <w:left w:type="dxa" w:w="120"/>
              <w:bottom w:type="dxa" w:w="80"/>
              <w:right w:type="dxa" w:w="120"/>
            </w:tcMar>
          </w:tcPr>
          <w:p>
            <w:pPr>
              <w:spacing w:after="40" w:line="260"/>
            </w:pPr>
            <w:r>
              <w:rPr>
                <w:b/>
                <w:bCs/>
                <w:sz w:val="20"/>
                <w:szCs w:val="20"/>
              </w:rPr>
              <w:t xml:space="preserve">Anggaran kampanye tipikal</w:t>
            </w:r>
          </w:p>
        </w:tc>
        <w:tc>
          <w:tcPr>
            <w:tcW w:type="dxa" w:w="2213"/>
            <w:tcBorders>
              <w:top w:val="single" w:color="999999" w:sz="1"/>
              <w:left w:val="single" w:color="999999" w:sz="1"/>
              <w:bottom w:val="single" w:color="999999" w:sz="1"/>
              <w:right w:val="single" w:color="999999" w:sz="1"/>
            </w:tcBorders>
            <w:shd w:fill="DCE6F1" w:val="clear"/>
            <w:tcMar>
              <w:top w:type="dxa" w:w="80"/>
              <w:left w:type="dxa" w:w="120"/>
              <w:bottom w:type="dxa" w:w="80"/>
              <w:right w:type="dxa" w:w="120"/>
            </w:tcMar>
          </w:tcPr>
          <w:p>
            <w:pPr>
              <w:spacing w:after="40" w:line="260"/>
            </w:pPr>
            <w:r>
              <w:rPr>
                <w:b/>
                <w:bCs/>
                <w:sz w:val="20"/>
                <w:szCs w:val="20"/>
              </w:rPr>
              <w:t xml:space="preserve">Paket yang cocok</w:t>
            </w:r>
          </w:p>
        </w:tc>
        <w:tc>
          <w:tcPr>
            <w:tcW w:type="dxa" w:w="2213"/>
            <w:tcBorders>
              <w:top w:val="single" w:color="999999" w:sz="1"/>
              <w:left w:val="single" w:color="999999" w:sz="1"/>
              <w:bottom w:val="single" w:color="999999" w:sz="1"/>
              <w:right w:val="single" w:color="999999" w:sz="1"/>
            </w:tcBorders>
            <w:shd w:fill="DCE6F1" w:val="clear"/>
            <w:tcMar>
              <w:top w:type="dxa" w:w="80"/>
              <w:left w:type="dxa" w:w="120"/>
              <w:bottom w:type="dxa" w:w="80"/>
              <w:right w:type="dxa" w:w="120"/>
            </w:tcMar>
          </w:tcPr>
          <w:p>
            <w:pPr>
              <w:spacing w:after="40" w:line="260"/>
            </w:pPr>
            <w:r>
              <w:rPr>
                <w:b/>
                <w:bCs/>
                <w:sz w:val="20"/>
                <w:szCs w:val="20"/>
              </w:rPr>
              <w:t xml:space="preserve">Kanal akuisisi</w:t>
            </w:r>
          </w:p>
        </w:tc>
      </w:tr>
      <w:tr>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Caleg DPR RI petahana/penantang kuat</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Rp1–5 miliar+</w:t>
            </w:r>
          </w:p>
        </w:tc>
        <w:tc>
          <w:tcPr>
            <w:tcW w:type="dxa" w:w="22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Strategi + War Room</w:t>
            </w:r>
          </w:p>
        </w:tc>
        <w:tc>
          <w:tcPr>
            <w:tcW w:type="dxa" w:w="22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Referensi jaringan, tim resmi partai</w:t>
            </w:r>
          </w:p>
        </w:tc>
      </w:tr>
      <w:tr>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Caleg DPRD provinsi</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Rp500 juta – 2 miliar</w:t>
            </w:r>
          </w:p>
        </w:tc>
        <w:tc>
          <w:tcPr>
            <w:tcW w:type="dxa" w:w="22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Diagnostik + Strategi</w:t>
            </w:r>
          </w:p>
        </w:tc>
        <w:tc>
          <w:tcPr>
            <w:tcW w:type="dxa" w:w="22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Asosiasi profesi, alumni, partai tingkat provinsi</w:t>
            </w:r>
          </w:p>
        </w:tc>
      </w:tr>
      <w:tr>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Caleg DPRD kab/kota papan atas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Rp200 juta – 1 miliar</w:t>
            </w:r>
          </w:p>
        </w:tc>
        <w:tc>
          <w:tcPr>
            <w:tcW w:type="dxa" w:w="22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Diagnostik</w:t>
            </w:r>
          </w:p>
        </w:tc>
        <w:tc>
          <w:tcPr>
            <w:tcW w:type="dxa" w:w="22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Paket kolektif per partai per dapil</w:t>
            </w:r>
          </w:p>
        </w:tc>
      </w:tr>
      <w:tr>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Partai (DPD/DPW)</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Variatif</w:t>
            </w:r>
          </w:p>
        </w:tc>
        <w:tc>
          <w:tcPr>
            <w:tcW w:type="dxa" w:w="22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Lisensi multi-dapil + pelatihan</w:t>
            </w:r>
          </w:p>
        </w:tc>
        <w:tc>
          <w:tcPr>
            <w:tcW w:type="dxa" w:w="22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Kemitraan kelembagaan</w:t>
            </w:r>
          </w:p>
        </w:tc>
      </w:tr>
    </w:tbl>
    <w:p>
      <w:pPr>
        <w:spacing w:after="160" w:line="300"/>
        <w:jc w:val="both"/>
      </w:pPr>
      <w:r>
        <w:t xml:space="preserve">Catatan strategis: penjualan kolektif kepada DPD/DPW partai (satu kontrak, banyak caleg) menurunkan biaya akuisisi dan menetralkan sensitivitas “membantu satu caleg melawan caleg separtai” — analitik diberikan setara kepada semua caleg partai tersebut di dapil yang berbeda, atau dalam bentuk benchmark yang sama bagi semua.</w:t>
      </w:r>
    </w:p>
    <w:p>
      <w:pPr>
        <w:pStyle w:val="Heading1"/>
      </w:pPr>
      <w:r>
        <w:t xml:space="preserve">IV. Arsitektur Produk: Lima Modul</w:t>
      </w:r>
    </w:p>
    <w:p>
      <w:pPr>
        <w:spacing w:after="160" w:line="300"/>
        <w:jc w:val="both"/>
      </w:pPr>
      <w:r>
        <w:t xml:space="preserve">Modul disusun mengikuti tiga lapis Bowler–Farrell: Modul 1 membaca lingkungan, Modul 2–3 membekali organisasi kampanye dengan riset, Modul 4–5 mengeksekusi dimensi pemasaran (penargetan, citra, umpan balik). Setiap modul berdiri sendiri secara komersial; paket menggabungkannya.</w:t>
      </w:r>
    </w:p>
    <w:p>
      <w:pPr>
        <w:pStyle w:val="Heading2"/>
      </w:pPr>
      <w:r>
        <w:t xml:space="preserve">Modul 1 — Diagnostik Dapil (Baseline)</w:t>
      </w:r>
    </w:p>
    <w:p>
      <w:pPr>
        <w:spacing w:after="160" w:line="300"/>
        <w:jc w:val="both"/>
      </w:pPr>
      <w:r>
        <w:t xml:space="preserve">Membaca lingkungan kampanye satu dapil secara menyeluruh sebelum strategi disusun.</w:t>
      </w:r>
    </w:p>
    <w:p>
      <w:pPr>
        <w:pStyle w:val="ListParagraph"/>
        <w:numPr>
          <w:ilvl w:val="0"/>
          <w:numId w:val="2"/>
        </w:numPr>
        <w:spacing w:after="100" w:line="300"/>
        <w:jc w:val="both"/>
      </w:pPr>
      <w:r>
        <w:t xml:space="preserve">Profil elektoral historis: perolehan suara per partai dan per caleg pada dua pemilu terakhir, tingkat kursi marginal, BPP (bilangan pembagi pemilih), pola limpahan suara antar-caleg separtai.</w:t>
      </w:r>
    </w:p>
    <w:p>
      <w:pPr>
        <w:pStyle w:val="ListParagraph"/>
        <w:numPr>
          <w:ilvl w:val="0"/>
          <w:numId w:val="2"/>
        </w:numPr>
        <w:spacing w:after="100" w:line="300"/>
        <w:jc w:val="both"/>
      </w:pPr>
      <w:r>
        <w:t xml:space="preserve">Demografi dan geografi pemilih: komposisi usia (proporsi pemilih muda/pemula), urban–rural, basis organisasi kemasyarakatan dominan.</w:t>
      </w:r>
    </w:p>
    <w:p>
      <w:pPr>
        <w:pStyle w:val="ListParagraph"/>
        <w:numPr>
          <w:ilvl w:val="0"/>
          <w:numId w:val="2"/>
        </w:numPr>
        <w:spacing w:after="100" w:line="300"/>
        <w:jc w:val="both"/>
      </w:pPr>
      <w:r>
        <w:t xml:space="preserve">Peta kompetitor: daftar petahana dan penantang potensial, kekuatan digital awal (follower, engagement rate, frekuensi posting), jejak pemberitaan lokal.</w:t>
      </w:r>
    </w:p>
    <w:p>
      <w:pPr>
        <w:pStyle w:val="ListParagraph"/>
        <w:numPr>
          <w:ilvl w:val="0"/>
          <w:numId w:val="2"/>
        </w:numPr>
        <w:spacing w:after="100" w:line="300"/>
        <w:jc w:val="both"/>
      </w:pPr>
      <w:r>
        <w:t xml:space="preserve">Output: Laporan Diagnostik Dapil (40–60 halaman) + dashboard ringkas + sesi presentasi 2 jam.</w:t>
      </w:r>
    </w:p>
    <w:p>
      <w:pPr>
        <w:pStyle w:val="Heading2"/>
      </w:pPr>
      <w:r>
        <w:t xml:space="preserve">Modul 2 — Intelijen Pesan (Inti NLP)</w:t>
      </w:r>
    </w:p>
    <w:p>
      <w:pPr>
        <w:spacing w:after="160" w:line="300"/>
        <w:jc w:val="both"/>
      </w:pPr>
      <w:r>
        <w:t xml:space="preserve">Inti diferensiasi produk. Korpus percakapan publik dapil (media sosial, berita lokal, kanal komunitas) diolah menjadi peta topik dan peta posisi pesan.</w:t>
      </w:r>
    </w:p>
    <w:p>
      <w:pPr>
        <w:pStyle w:val="ListParagraph"/>
        <w:numPr>
          <w:ilvl w:val="0"/>
          <w:numId w:val="2"/>
        </w:numPr>
        <w:spacing w:after="100" w:line="300"/>
        <w:jc w:val="both"/>
      </w:pPr>
      <w:r>
        <w:rPr>
          <w:b/>
          <w:bCs/>
        </w:rPr>
        <w:t xml:space="preserve">Peta topik dapil (BERTopic): </w:t>
      </w:r>
      <w:r>
        <w:t xml:space="preserve">topik apa yang benar-benar diperbincangkan pemilih dapil — bukan asumsi tim sukses. Tiap topik diberi label manusiawi, volume, tren waktu, dan sebaran geografis bila data memungkinkan.</w:t>
      </w:r>
    </w:p>
    <w:p>
      <w:pPr>
        <w:pStyle w:val="ListParagraph"/>
        <w:numPr>
          <w:ilvl w:val="0"/>
          <w:numId w:val="2"/>
        </w:numPr>
        <w:spacing w:after="100" w:line="300"/>
        <w:jc w:val="both"/>
      </w:pPr>
      <w:r>
        <w:rPr>
          <w:b/>
          <w:bCs/>
        </w:rPr>
        <w:t xml:space="preserve">Matriks posisi pesan: </w:t>
      </w:r>
      <w:r>
        <w:t xml:space="preserve">adaptasi temuan sinyal lintas-segmen — tiap topik diklasifikasikan ke kuadran (a) penting-basis &amp; sensitif-lawan, (b) penting-basis &amp; netral, (c) aman-basis &amp; menarik-swing, (d) berisiko. Kuadran (c) adalah ladang emas pesan kampanye.</w:t>
      </w:r>
    </w:p>
    <w:p>
      <w:pPr>
        <w:pStyle w:val="ListParagraph"/>
        <w:numPr>
          <w:ilvl w:val="0"/>
          <w:numId w:val="2"/>
        </w:numPr>
        <w:spacing w:after="100" w:line="300"/>
        <w:jc w:val="both"/>
      </w:pPr>
      <w:r>
        <w:rPr>
          <w:b/>
          <w:bCs/>
        </w:rPr>
        <w:t xml:space="preserve">Sentimen per kandidat per topik (IndoBERT): </w:t>
      </w:r>
      <w:r>
        <w:t xml:space="preserve">bagaimana publik dapil menilai tiap kandidat pada tiap topik — bahan positioning dan attack/defense brief.</w:t>
      </w:r>
    </w:p>
    <w:p>
      <w:pPr>
        <w:pStyle w:val="ListParagraph"/>
        <w:numPr>
          <w:ilvl w:val="0"/>
          <w:numId w:val="2"/>
        </w:numPr>
        <w:spacing w:after="100" w:line="300"/>
        <w:jc w:val="both"/>
      </w:pPr>
      <w:r>
        <w:t xml:space="preserve">Output: Peta Topik Dapil + Matriks Posisi Pesan + rekomendasi 5–7 tema pesan prioritas dengan draf angle konten.</w:t>
      </w:r>
    </w:p>
    <w:p>
      <w:pPr>
        <w:pStyle w:val="Heading2"/>
      </w:pPr>
      <w:r>
        <w:t xml:space="preserve">Modul 3 — Benchmark Kompetitif</w:t>
      </w:r>
    </w:p>
    <w:p>
      <w:pPr>
        <w:spacing w:after="160" w:line="300"/>
        <w:jc w:val="both"/>
      </w:pPr>
      <w:r>
        <w:t xml:space="preserve">Upgrade pipeline Mathaisel–Comm ke multi-kandidat: perbandingan diksi, topik dominan, sentimen, story arc naratif, dan pola engagement seluruh kandidat kunci satu dapil — termasuk caleg separtai. Output: Laporan Benchmark per kuartal (pra-kampanye) atau per bulan (masa kampanye), dengan visualisasi siap rapat tim.</w:t>
      </w:r>
    </w:p>
    <w:p>
      <w:pPr>
        <w:pStyle w:val="Heading2"/>
      </w:pPr>
      <w:r>
        <w:t xml:space="preserve">Modul 4 — War Room Monitoring (Masa Kampanye)</w:t>
      </w:r>
    </w:p>
    <w:p>
      <w:pPr>
        <w:pStyle w:val="ListParagraph"/>
        <w:numPr>
          <w:ilvl w:val="0"/>
          <w:numId w:val="2"/>
        </w:numPr>
        <w:spacing w:after="100" w:line="300"/>
        <w:jc w:val="both"/>
      </w:pPr>
      <w:r>
        <w:t xml:space="preserve">Monitoring mingguan: pergeseran topik, lonjakan sentimen negatif (deteksi dini isu/serangan), performa konten klien vs kompetitor.</w:t>
      </w:r>
    </w:p>
    <w:p>
      <w:pPr>
        <w:pStyle w:val="ListParagraph"/>
        <w:numPr>
          <w:ilvl w:val="0"/>
          <w:numId w:val="2"/>
        </w:numPr>
        <w:spacing w:after="100" w:line="300"/>
        <w:jc w:val="both"/>
      </w:pPr>
      <w:r>
        <w:t xml:space="preserve">Brief mingguan 4–6 halaman + sesi daring 1 jam dengan tim kampanye; eskalasi darurat 1×24 jam untuk krisis.</w:t>
      </w:r>
    </w:p>
    <w:p>
      <w:pPr>
        <w:pStyle w:val="ListParagraph"/>
        <w:numPr>
          <w:ilvl w:val="0"/>
          <w:numId w:val="2"/>
        </w:numPr>
        <w:spacing w:after="100" w:line="300"/>
        <w:jc w:val="both"/>
      </w:pPr>
      <w:r>
        <w:t xml:space="preserve">Uji pesan cepat (A/B testing organik pada kanal klien) dengan baca-hasil terstandar.</w:t>
      </w:r>
    </w:p>
    <w:p>
      <w:pPr>
        <w:pStyle w:val="Heading2"/>
      </w:pPr>
      <w:r>
        <w:t xml:space="preserve">Modul 5 — Validasi Survei (Opsional, Bermitra)</w:t>
      </w:r>
    </w:p>
    <w:p>
      <w:pPr>
        <w:spacing w:after="160" w:line="300"/>
        <w:jc w:val="both"/>
      </w:pPr>
      <w:r>
        <w:t xml:space="preserve">Mengikuti desain riset Columbia: temuan analitik digital divalidasi dengan survei pemilih dapil (luring/daring) sebelum keputusan anggaran besar diambil. Dikerjakan bermitra dengan lembaga survei lokal terdaftar; PetaSuara mendesain instrumen dan menganalisis hasil. Modul ini menjembatani kelemahan utama analitik digital: bias representasi pengguna media sosial terhadap populasi pemilih riil.</w:t>
      </w:r>
    </w:p>
    <w:p>
      <w:pPr>
        <w:pStyle w:val="Heading1"/>
      </w:pPr>
      <w:r>
        <w:t xml:space="preserve">V. Pipeline Teknis dan Tumpukan Teknologi</w:t>
      </w:r>
    </w:p>
    <w:p>
      <w:pPr>
        <w:pStyle w:val="Heading2"/>
      </w:pPr>
      <w:r>
        <w:t xml:space="preserve">5.1 Empat Lapis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c>
          <w:tcPr>
            <w:tcW w:type="dxa" w:w="1800"/>
            <w:tcBorders>
              <w:top w:val="single" w:color="999999" w:sz="1"/>
              <w:left w:val="single" w:color="999999" w:sz="1"/>
              <w:bottom w:val="single" w:color="999999" w:sz="1"/>
              <w:right w:val="single" w:color="999999" w:sz="1"/>
            </w:tcBorders>
            <w:shd w:fill="DCE6F1" w:val="clear"/>
            <w:tcMar>
              <w:top w:type="dxa" w:w="80"/>
              <w:left w:type="dxa" w:w="120"/>
              <w:bottom w:type="dxa" w:w="80"/>
              <w:right w:type="dxa" w:w="120"/>
            </w:tcMar>
          </w:tcPr>
          <w:p>
            <w:pPr>
              <w:spacing w:after="40" w:line="260"/>
            </w:pPr>
            <w:r>
              <w:rPr>
                <w:b/>
                <w:bCs/>
                <w:sz w:val="20"/>
                <w:szCs w:val="20"/>
              </w:rPr>
              <w:t xml:space="preserve">Lapis</w:t>
            </w:r>
          </w:p>
        </w:tc>
        <w:tc>
          <w:tcPr>
            <w:tcW w:type="dxa" w:w="3613"/>
            <w:tcBorders>
              <w:top w:val="single" w:color="999999" w:sz="1"/>
              <w:left w:val="single" w:color="999999" w:sz="1"/>
              <w:bottom w:val="single" w:color="999999" w:sz="1"/>
              <w:right w:val="single" w:color="999999" w:sz="1"/>
            </w:tcBorders>
            <w:shd w:fill="DCE6F1" w:val="clear"/>
            <w:tcMar>
              <w:top w:type="dxa" w:w="80"/>
              <w:left w:type="dxa" w:w="120"/>
              <w:bottom w:type="dxa" w:w="80"/>
              <w:right w:type="dxa" w:w="120"/>
            </w:tcMar>
          </w:tcPr>
          <w:p>
            <w:pPr>
              <w:spacing w:after="40" w:line="260"/>
            </w:pPr>
            <w:r>
              <w:rPr>
                <w:b/>
                <w:bCs/>
                <w:sz w:val="20"/>
                <w:szCs w:val="20"/>
              </w:rPr>
              <w:t xml:space="preserve">Komponen</w:t>
            </w:r>
          </w:p>
        </w:tc>
        <w:tc>
          <w:tcPr>
            <w:tcW w:type="dxa" w:w="3613"/>
            <w:tcBorders>
              <w:top w:val="single" w:color="999999" w:sz="1"/>
              <w:left w:val="single" w:color="999999" w:sz="1"/>
              <w:bottom w:val="single" w:color="999999" w:sz="1"/>
              <w:right w:val="single" w:color="999999" w:sz="1"/>
            </w:tcBorders>
            <w:shd w:fill="DCE6F1" w:val="clear"/>
            <w:tcMar>
              <w:top w:type="dxa" w:w="80"/>
              <w:left w:type="dxa" w:w="120"/>
              <w:bottom w:type="dxa" w:w="80"/>
              <w:right w:type="dxa" w:w="120"/>
            </w:tcMar>
          </w:tcPr>
          <w:p>
            <w:pPr>
              <w:spacing w:after="40" w:line="260"/>
            </w:pPr>
            <w:r>
              <w:rPr>
                <w:b/>
                <w:bCs/>
                <w:sz w:val="20"/>
                <w:szCs w:val="20"/>
              </w:rPr>
              <w:t xml:space="preserve">Keterangan</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Akuisisi data</w:t>
            </w:r>
          </w:p>
        </w:tc>
        <w:tc>
          <w:tcPr>
            <w:tcW w:type="dxa" w:w="36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Scraper Instagram/TikTok/Facebook publik (API resmi bila tersedia, crawling patuh-ToS), RSS berita lokal, transkripsi audio-video (Whisper), arsip hasil pemilu KPU (data publik)</w:t>
            </w:r>
          </w:p>
        </w:tc>
        <w:tc>
          <w:tcPr>
            <w:tcW w:type="dxa" w:w="36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Hanya data publik; tanpa data pribadi sensitif; log sumber per dokumen untuk auditabilitas</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Pra-pemrosesan</w:t>
            </w:r>
          </w:p>
        </w:tc>
        <w:tc>
          <w:tcPr>
            <w:tcW w:type="dxa" w:w="36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Pembersihan teks ID informal (normalisasi slang, deduplikasi), deteksi bahasa (ID/Sunda/campuran), filter bot/spam</w:t>
            </w:r>
          </w:p>
        </w:tc>
        <w:tc>
          <w:tcPr>
            <w:tcW w:type="dxa" w:w="36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Kamus normalisasi per wilayah dibangun bertahap menjadi aset</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Analitik NLP</w:t>
            </w:r>
          </w:p>
        </w:tc>
        <w:tc>
          <w:tcPr>
            <w:tcW w:type="dxa" w:w="36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BERTopic (embedding multibahasa/IndoBERT) untuk topik; IndoBERT fine-tuned untuk sentimen; LLM-as-annotator untuk klasifikasi posisi pesan dengan validasi manusia</w:t>
            </w:r>
          </w:p>
        </w:tc>
        <w:tc>
          <w:tcPr>
            <w:tcW w:type="dxa" w:w="36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Mesin yang sama dengan pipeline riset DKPP yang sudah teruji — repurposing, bukan pembangunan dari nol</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Penyajian</w:t>
            </w:r>
          </w:p>
        </w:tc>
        <w:tc>
          <w:tcPr>
            <w:tcW w:type="dxa" w:w="36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Dashboard (HTML interaktif/web app ringan), laporan DOCX/PDF otomatis (Node.js/docx), deck presentasi, brief mingguan</w:t>
            </w:r>
          </w:p>
        </w:tc>
        <w:tc>
          <w:tcPr>
            <w:tcW w:type="dxa" w:w="36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Memanfaatkan mesin produksi dokumen dan konten yang sudah operasional</w:t>
            </w:r>
          </w:p>
        </w:tc>
      </w:tr>
    </w:tbl>
    <w:p>
      <w:pPr>
        <w:pStyle w:val="Heading2"/>
      </w:pPr>
      <w:r>
        <w:t xml:space="preserve">5.2 Prinsip Arsitektur</w:t>
      </w:r>
    </w:p>
    <w:p>
      <w:pPr>
        <w:pStyle w:val="ListParagraph"/>
        <w:numPr>
          <w:ilvl w:val="0"/>
          <w:numId w:val="2"/>
        </w:numPr>
        <w:spacing w:after="100" w:line="300"/>
        <w:jc w:val="both"/>
      </w:pPr>
      <w:r>
        <w:t xml:space="preserve">Satu pipeline, banyak dapil: kode dan model dibangun sekali, dijalankan per dapil dengan konfigurasi — biaya marginal per klien rendah, margin membaik seiring volume.</w:t>
      </w:r>
    </w:p>
    <w:p>
      <w:pPr>
        <w:pStyle w:val="ListParagraph"/>
        <w:numPr>
          <w:ilvl w:val="0"/>
          <w:numId w:val="2"/>
        </w:numPr>
        <w:spacing w:after="100" w:line="300"/>
        <w:jc w:val="both"/>
      </w:pPr>
      <w:r>
        <w:t xml:space="preserve">Setiap angka dapat ditelusuri ke dokumen sumber (provenance) — syarat kredibilitas saat klien atau pihak ketiga menantang temuan.</w:t>
      </w:r>
    </w:p>
    <w:p>
      <w:pPr>
        <w:pStyle w:val="ListParagraph"/>
        <w:numPr>
          <w:ilvl w:val="0"/>
          <w:numId w:val="2"/>
        </w:numPr>
        <w:spacing w:after="100" w:line="300"/>
        <w:jc w:val="both"/>
      </w:pPr>
      <w:r>
        <w:t xml:space="preserve">Model dan kamus per wilayah adalah aset kumulatif: dapil kedua di Jawa Barat lebih murah dikerjakan daripada dapil pertama.</w:t>
      </w:r>
    </w:p>
    <w:p>
      <w:pPr>
        <w:pStyle w:val="Heading1"/>
      </w:pPr>
      <w:r>
        <w:t xml:space="preserve">VI. Metodologi Validasi dan Kendali Mutu</w:t>
      </w:r>
    </w:p>
    <w:p>
      <w:pPr>
        <w:spacing w:after="160" w:line="300"/>
        <w:jc w:val="both"/>
      </w:pPr>
      <w:r>
        <w:t xml:space="preserve">Pelajaran terpenting dari eksperimen Columbia adalah negatif: LLM tidak boleh dipercaya mentah-mentah sebagai pelabel teks politik. Akurasi agregat yang tampak baik menyembunyikan Macro F1 rendah pada kelas minoritas — padahal kelas minoritas (sinyal lintas-segmen, sentimen negatif laten) justru yang bernilai strategis. Protokol kendali mutu produk:</w:t>
      </w:r>
    </w:p>
    <w:p>
      <w:pPr>
        <w:pStyle w:val="ListParagraph"/>
        <w:numPr>
          <w:ilvl w:val="0"/>
          <w:numId w:val="2"/>
        </w:numPr>
        <w:spacing w:after="100" w:line="300"/>
        <w:jc w:val="both"/>
      </w:pPr>
      <w:r>
        <w:rPr>
          <w:b/>
          <w:bCs/>
        </w:rPr>
        <w:t xml:space="preserve">Gold standard manusia. </w:t>
      </w:r>
      <w:r>
        <w:t xml:space="preserve">Untuk tiap dapil, sampel acak berstrata (minimal 300–500 dokumen) dilabeli dua penilai manusia independen; ketidaksepakatan diadjudikasi penilai ketiga.</w:t>
      </w:r>
    </w:p>
    <w:p>
      <w:pPr>
        <w:pStyle w:val="ListParagraph"/>
        <w:numPr>
          <w:ilvl w:val="0"/>
          <w:numId w:val="2"/>
        </w:numPr>
        <w:spacing w:after="100" w:line="300"/>
        <w:jc w:val="both"/>
      </w:pPr>
      <w:r>
        <w:rPr>
          <w:b/>
          <w:bCs/>
        </w:rPr>
        <w:t xml:space="preserve">Reliabilitas terdokumentasi. </w:t>
      </w:r>
      <w:r>
        <w:t xml:space="preserve">Cohen’s κ atau Krippendorff’s α ≥ 0,70 antar-penilai manusia sebelum gold standard dipakai; di bawah ambang itu, rubrik pelabelan direvisi dan diulang.</w:t>
      </w:r>
    </w:p>
    <w:p>
      <w:pPr>
        <w:pStyle w:val="ListParagraph"/>
        <w:numPr>
          <w:ilvl w:val="0"/>
          <w:numId w:val="2"/>
        </w:numPr>
        <w:spacing w:after="100" w:line="300"/>
        <w:jc w:val="both"/>
      </w:pPr>
      <w:r>
        <w:rPr>
          <w:b/>
          <w:bCs/>
        </w:rPr>
        <w:t xml:space="preserve">Benchmark LLM per tugas. </w:t>
      </w:r>
      <w:r>
        <w:t xml:space="preserve">Pelabel otomatis diukur terhadap gold standard dengan precision, recall, dan Macro F1 per kelas — bukan akurasi agregat. Ambang rilis: Macro F1 ≥ 0,75 untuk klasifikasi yang dipakai dalam rekomendasi strategis; di bawahnya, hasil hanya disajikan sebagai indikatif dengan label eksplisit.</w:t>
      </w:r>
    </w:p>
    <w:p>
      <w:pPr>
        <w:pStyle w:val="ListParagraph"/>
        <w:numPr>
          <w:ilvl w:val="0"/>
          <w:numId w:val="2"/>
        </w:numPr>
        <w:spacing w:after="100" w:line="300"/>
        <w:jc w:val="both"/>
      </w:pPr>
      <w:r>
        <w:rPr>
          <w:b/>
          <w:bCs/>
        </w:rPr>
        <w:t xml:space="preserve">Koherensi topik. </w:t>
      </w:r>
      <w:r>
        <w:t xml:space="preserve">Model BERTopic diaudit dengan skor koherensi dan inspeksi manusia atas dokumen representatif tiap topik sebelum diberi label final.</w:t>
      </w:r>
    </w:p>
    <w:p>
      <w:pPr>
        <w:pStyle w:val="ListParagraph"/>
        <w:numPr>
          <w:ilvl w:val="0"/>
          <w:numId w:val="2"/>
        </w:numPr>
        <w:spacing w:after="100" w:line="300"/>
        <w:jc w:val="both"/>
      </w:pPr>
      <w:r>
        <w:rPr>
          <w:b/>
          <w:bCs/>
        </w:rPr>
        <w:t xml:space="preserve">Transparansi AI. </w:t>
      </w:r>
      <w:r>
        <w:t xml:space="preserve">Setiap laporan memuat lampiran metodologi satu halaman: sumber data, periode, ukuran korpus, model, metrik validasi. Klien tahu persis apa yang dibeli — ini diferensiator terhadap konsultan kotak hitam.</w:t>
      </w:r>
    </w:p>
    <w:p>
      <w:pPr>
        <w:pStyle w:val="Heading1"/>
      </w:pPr>
      <w:r>
        <w:t xml:space="preserve">VII. Paket Layanan, Deliverable, dan Harga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742"/>
        <w:gridCol w:w="2742"/>
        <w:gridCol w:w="1842"/>
      </w:tblGrid>
      <w:tr>
        <w:tc>
          <w:tcPr>
            <w:tcW w:type="dxa" w:w="1700"/>
            <w:tcBorders>
              <w:top w:val="single" w:color="999999" w:sz="1"/>
              <w:left w:val="single" w:color="999999" w:sz="1"/>
              <w:bottom w:val="single" w:color="999999" w:sz="1"/>
              <w:right w:val="single" w:color="999999" w:sz="1"/>
            </w:tcBorders>
            <w:shd w:fill="DCE6F1" w:val="clear"/>
            <w:tcMar>
              <w:top w:type="dxa" w:w="80"/>
              <w:left w:type="dxa" w:w="120"/>
              <w:bottom w:type="dxa" w:w="80"/>
              <w:right w:type="dxa" w:w="120"/>
            </w:tcMar>
          </w:tcPr>
          <w:p>
            <w:pPr>
              <w:spacing w:after="40" w:line="260"/>
            </w:pPr>
            <w:r>
              <w:rPr>
                <w:b/>
                <w:bCs/>
                <w:sz w:val="20"/>
                <w:szCs w:val="20"/>
              </w:rPr>
              <w:t xml:space="preserve">Paket</w:t>
            </w:r>
          </w:p>
        </w:tc>
        <w:tc>
          <w:tcPr>
            <w:tcW w:type="dxa" w:w="2742"/>
            <w:tcBorders>
              <w:top w:val="single" w:color="999999" w:sz="1"/>
              <w:left w:val="single" w:color="999999" w:sz="1"/>
              <w:bottom w:val="single" w:color="999999" w:sz="1"/>
              <w:right w:val="single" w:color="999999" w:sz="1"/>
            </w:tcBorders>
            <w:shd w:fill="DCE6F1" w:val="clear"/>
            <w:tcMar>
              <w:top w:type="dxa" w:w="80"/>
              <w:left w:type="dxa" w:w="120"/>
              <w:bottom w:type="dxa" w:w="80"/>
              <w:right w:type="dxa" w:w="120"/>
            </w:tcMar>
          </w:tcPr>
          <w:p>
            <w:pPr>
              <w:spacing w:after="40" w:line="260"/>
            </w:pPr>
            <w:r>
              <w:rPr>
                <w:b/>
                <w:bCs/>
                <w:sz w:val="20"/>
                <w:szCs w:val="20"/>
              </w:rPr>
              <w:t xml:space="preserve">Isi</w:t>
            </w:r>
          </w:p>
        </w:tc>
        <w:tc>
          <w:tcPr>
            <w:tcW w:type="dxa" w:w="2742"/>
            <w:tcBorders>
              <w:top w:val="single" w:color="999999" w:sz="1"/>
              <w:left w:val="single" w:color="999999" w:sz="1"/>
              <w:bottom w:val="single" w:color="999999" w:sz="1"/>
              <w:right w:val="single" w:color="999999" w:sz="1"/>
            </w:tcBorders>
            <w:shd w:fill="DCE6F1" w:val="clear"/>
            <w:tcMar>
              <w:top w:type="dxa" w:w="80"/>
              <w:left w:type="dxa" w:w="120"/>
              <w:bottom w:type="dxa" w:w="80"/>
              <w:right w:type="dxa" w:w="120"/>
            </w:tcMar>
          </w:tcPr>
          <w:p>
            <w:pPr>
              <w:spacing w:after="40" w:line="260"/>
            </w:pPr>
            <w:r>
              <w:rPr>
                <w:b/>
                <w:bCs/>
                <w:sz w:val="20"/>
                <w:szCs w:val="20"/>
              </w:rPr>
              <w:t xml:space="preserve">Deliverable utama</w:t>
            </w:r>
          </w:p>
        </w:tc>
        <w:tc>
          <w:tcPr>
            <w:tcW w:type="dxa" w:w="1842"/>
            <w:tcBorders>
              <w:top w:val="single" w:color="999999" w:sz="1"/>
              <w:left w:val="single" w:color="999999" w:sz="1"/>
              <w:bottom w:val="single" w:color="999999" w:sz="1"/>
              <w:right w:val="single" w:color="999999" w:sz="1"/>
            </w:tcBorders>
            <w:shd w:fill="DCE6F1" w:val="clear"/>
            <w:tcMar>
              <w:top w:type="dxa" w:w="80"/>
              <w:left w:type="dxa" w:w="120"/>
              <w:bottom w:type="dxa" w:w="80"/>
              <w:right w:type="dxa" w:w="120"/>
            </w:tcMar>
          </w:tcPr>
          <w:p>
            <w:pPr>
              <w:spacing w:after="40" w:line="260"/>
            </w:pPr>
            <w:r>
              <w:rPr>
                <w:b/>
                <w:bCs/>
                <w:sz w:val="20"/>
                <w:szCs w:val="20"/>
              </w:rPr>
              <w:t xml:space="preserve">Harga indikatif</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DIAGNOSTIK</w:t>
            </w:r>
          </w:p>
        </w:tc>
        <w:tc>
          <w:tcPr>
            <w:tcW w:type="dxa" w:w="2742"/>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Modul 1 + Modul 2 satu kali</w:t>
            </w:r>
          </w:p>
        </w:tc>
        <w:tc>
          <w:tcPr>
            <w:tcW w:type="dxa" w:w="2742"/>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Laporan Diagnostik Dapil, Peta Topik, Matriks Posisi Pesan, 1 sesi presentasi</w:t>
            </w:r>
          </w:p>
        </w:tc>
        <w:tc>
          <w:tcPr>
            <w:tcW w:type="dxa" w:w="1842"/>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Rp35–60 juta (DPRD kab/kota–provinsi)</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STRATEGI</w:t>
            </w:r>
          </w:p>
        </w:tc>
        <w:tc>
          <w:tcPr>
            <w:tcW w:type="dxa" w:w="2742"/>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Diagnostik + Modul 3 (2 siklus benchmark) + workshop pesan dengan tim kampanye</w:t>
            </w:r>
          </w:p>
        </w:tc>
        <w:tc>
          <w:tcPr>
            <w:tcW w:type="dxa" w:w="2742"/>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Semua di atas + Laporan Benchmark + Playbook Pesan (tema, angle, kalender konten 3 bulan)</w:t>
            </w:r>
          </w:p>
        </w:tc>
        <w:tc>
          <w:tcPr>
            <w:tcW w:type="dxa" w:w="1842"/>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Rp90–150 juta</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WAR ROOM</w:t>
            </w:r>
          </w:p>
        </w:tc>
        <w:tc>
          <w:tcPr>
            <w:tcW w:type="dxa" w:w="2742"/>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Strategi + Modul 4 selama masa kampanye (75 hari) + opsi Modul 5</w:t>
            </w:r>
          </w:p>
        </w:tc>
        <w:tc>
          <w:tcPr>
            <w:tcW w:type="dxa" w:w="2742"/>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Semua di atas + brief mingguan, monitoring krisis, uji pesan; survei validasi (biaya terpisah)</w:t>
            </w:r>
          </w:p>
        </w:tc>
        <w:tc>
          <w:tcPr>
            <w:tcW w:type="dxa" w:w="1842"/>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Rp200–300 juta + biaya survei at-cost</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LISENSI PARTAI</w:t>
            </w:r>
          </w:p>
        </w:tc>
        <w:tc>
          <w:tcPr>
            <w:tcW w:type="dxa" w:w="2742"/>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Diagnostik kolektif multi-dapil untuk DPD/DPW + pelatihan tim data partai</w:t>
            </w:r>
          </w:p>
        </w:tc>
        <w:tc>
          <w:tcPr>
            <w:tcW w:type="dxa" w:w="2742"/>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Laporan per dapil format seragam + 2 hari pelatihan</w:t>
            </w:r>
          </w:p>
        </w:tc>
        <w:tc>
          <w:tcPr>
            <w:tcW w:type="dxa" w:w="1842"/>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Negosiasi per volume (diskon 30–40% per dapil)</w:t>
            </w:r>
          </w:p>
        </w:tc>
      </w:tr>
    </w:tbl>
    <w:p>
      <w:pPr>
        <w:spacing w:after="160" w:line="300"/>
        <w:jc w:val="both"/>
      </w:pPr>
      <w:r>
        <w:t xml:space="preserve">Struktur pembayaran: 50% di muka, 40% saat deliverable utama, 10% setelah sesi serah-terima. Kontrak memuat klausul: jasa adalah analitik dan rekomendasi — bukan jaminan keterpilihan; klien dilarang menggunakan output untuk kampanye hitam, disinformasi, atau pelanggaran peraturan kampanye, dengan hak pemutusan sepihak bila dilanggar.</w:t>
      </w:r>
    </w:p>
    <w:p>
      <w:pPr>
        <w:pStyle w:val="Heading1"/>
      </w:pPr>
      <w:r>
        <w:t xml:space="preserve">VIII. Operasional, Tim, dan Linimasa Engagement</w:t>
      </w:r>
    </w:p>
    <w:p>
      <w:pPr>
        <w:pStyle w:val="Heading2"/>
      </w:pPr>
      <w:r>
        <w:t xml:space="preserve">8.1 Struktur Tim Minimum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999999" w:sz="1"/>
              <w:left w:val="single" w:color="999999" w:sz="1"/>
              <w:bottom w:val="single" w:color="999999" w:sz="1"/>
              <w:right w:val="single" w:color="999999" w:sz="1"/>
            </w:tcBorders>
            <w:shd w:fill="DCE6F1" w:val="clear"/>
            <w:tcMar>
              <w:top w:type="dxa" w:w="80"/>
              <w:left w:type="dxa" w:w="120"/>
              <w:bottom w:type="dxa" w:w="80"/>
              <w:right w:type="dxa" w:w="120"/>
            </w:tcMar>
          </w:tcPr>
          <w:p>
            <w:pPr>
              <w:spacing w:after="40" w:line="260"/>
            </w:pPr>
            <w:r>
              <w:rPr>
                <w:b/>
                <w:bCs/>
                <w:sz w:val="20"/>
                <w:szCs w:val="20"/>
              </w:rPr>
              <w:t xml:space="preserve">Peran</w:t>
            </w:r>
          </w:p>
        </w:tc>
        <w:tc>
          <w:tcPr>
            <w:tcW w:type="dxa" w:w="3263"/>
            <w:tcBorders>
              <w:top w:val="single" w:color="999999" w:sz="1"/>
              <w:left w:val="single" w:color="999999" w:sz="1"/>
              <w:bottom w:val="single" w:color="999999" w:sz="1"/>
              <w:right w:val="single" w:color="999999" w:sz="1"/>
            </w:tcBorders>
            <w:shd w:fill="DCE6F1" w:val="clear"/>
            <w:tcMar>
              <w:top w:type="dxa" w:w="80"/>
              <w:left w:type="dxa" w:w="120"/>
              <w:bottom w:type="dxa" w:w="80"/>
              <w:right w:type="dxa" w:w="120"/>
            </w:tcMar>
          </w:tcPr>
          <w:p>
            <w:pPr>
              <w:spacing w:after="40" w:line="260"/>
            </w:pPr>
            <w:r>
              <w:rPr>
                <w:b/>
                <w:bCs/>
                <w:sz w:val="20"/>
                <w:szCs w:val="20"/>
              </w:rPr>
              <w:t xml:space="preserve">Tanggung jawab</w:t>
            </w:r>
          </w:p>
        </w:tc>
        <w:tc>
          <w:tcPr>
            <w:tcW w:type="dxa" w:w="3263"/>
            <w:tcBorders>
              <w:top w:val="single" w:color="999999" w:sz="1"/>
              <w:left w:val="single" w:color="999999" w:sz="1"/>
              <w:bottom w:val="single" w:color="999999" w:sz="1"/>
              <w:right w:val="single" w:color="999999" w:sz="1"/>
            </w:tcBorders>
            <w:shd w:fill="DCE6F1" w:val="clear"/>
            <w:tcMar>
              <w:top w:type="dxa" w:w="80"/>
              <w:left w:type="dxa" w:w="120"/>
              <w:bottom w:type="dxa" w:w="80"/>
              <w:right w:type="dxa" w:w="120"/>
            </w:tcMar>
          </w:tcPr>
          <w:p>
            <w:pPr>
              <w:spacing w:after="40" w:line="260"/>
            </w:pPr>
            <w:r>
              <w:rPr>
                <w:b/>
                <w:bCs/>
                <w:sz w:val="20"/>
                <w:szCs w:val="20"/>
              </w:rPr>
              <w:t xml:space="preserve">Status</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Direktur riset/metodologi</w:t>
            </w:r>
          </w:p>
        </w:tc>
        <w:tc>
          <w:tcPr>
            <w:tcW w:type="dxa" w:w="326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Desain riset, kendali mutu, validasi, tanda tangan metodologis laporan</w:t>
            </w:r>
          </w:p>
        </w:tc>
        <w:tc>
          <w:tcPr>
            <w:tcW w:type="dxa" w:w="326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1 orang (inti)</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Analis NLP/data engineer</w:t>
            </w:r>
          </w:p>
        </w:tc>
        <w:tc>
          <w:tcPr>
            <w:tcW w:type="dxa" w:w="326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Pipeline akuisisi-pemrosesan-model, dashboard</w:t>
            </w:r>
          </w:p>
        </w:tc>
        <w:tc>
          <w:tcPr>
            <w:tcW w:type="dxa" w:w="326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1–2 orang (inti; dapat paruh waktu pada fase awal)</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Anotator/penilai</w:t>
            </w:r>
          </w:p>
        </w:tc>
        <w:tc>
          <w:tcPr>
            <w:tcW w:type="dxa" w:w="326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Pelabelan gold standard, audit topik</w:t>
            </w:r>
          </w:p>
        </w:tc>
        <w:tc>
          <w:tcPr>
            <w:tcW w:type="dxa" w:w="326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2–3 orang lepas per proyek (mahasiswa pascasarjana terlatih)</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Penghubung klien/strategis</w:t>
            </w:r>
          </w:p>
        </w:tc>
        <w:tc>
          <w:tcPr>
            <w:tcW w:type="dxa" w:w="326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Presentasi, workshop pesan, brief mingguan</w:t>
            </w:r>
          </w:p>
        </w:tc>
        <w:tc>
          <w:tcPr>
            <w:tcW w:type="dxa" w:w="326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1 orang (dapat dirangkap direktur pada fase awal)</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Mitra survei</w:t>
            </w:r>
          </w:p>
        </w:tc>
        <w:tc>
          <w:tcPr>
            <w:tcW w:type="dxa" w:w="326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Pengumpulan data lapangan Modul 5</w:t>
            </w:r>
          </w:p>
        </w:tc>
        <w:tc>
          <w:tcPr>
            <w:tcW w:type="dxa" w:w="326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Kemitraan per proyek</w:t>
            </w:r>
          </w:p>
        </w:tc>
      </w:tr>
    </w:tbl>
    <w:p>
      <w:pPr>
        <w:pStyle w:val="Heading2"/>
      </w:pPr>
      <w:r>
        <w:t xml:space="preserve">8.2 Linimasa Engagement Tipikal (Paket Strategi)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999999" w:sz="1"/>
              <w:left w:val="single" w:color="999999" w:sz="1"/>
              <w:bottom w:val="single" w:color="999999" w:sz="1"/>
              <w:right w:val="single" w:color="999999" w:sz="1"/>
            </w:tcBorders>
            <w:shd w:fill="DCE6F1" w:val="clear"/>
            <w:tcMar>
              <w:top w:type="dxa" w:w="80"/>
              <w:left w:type="dxa" w:w="120"/>
              <w:bottom w:type="dxa" w:w="80"/>
              <w:right w:type="dxa" w:w="120"/>
            </w:tcMar>
          </w:tcPr>
          <w:p>
            <w:pPr>
              <w:spacing w:after="40" w:line="260"/>
            </w:pPr>
            <w:r>
              <w:rPr>
                <w:b/>
                <w:bCs/>
                <w:sz w:val="20"/>
                <w:szCs w:val="20"/>
              </w:rPr>
              <w:t xml:space="preserve">Pekan</w:t>
            </w:r>
          </w:p>
        </w:tc>
        <w:tc>
          <w:tcPr>
            <w:tcW w:type="dxa" w:w="7026"/>
            <w:tcBorders>
              <w:top w:val="single" w:color="999999" w:sz="1"/>
              <w:left w:val="single" w:color="999999" w:sz="1"/>
              <w:bottom w:val="single" w:color="999999" w:sz="1"/>
              <w:right w:val="single" w:color="999999" w:sz="1"/>
            </w:tcBorders>
            <w:shd w:fill="DCE6F1" w:val="clear"/>
            <w:tcMar>
              <w:top w:type="dxa" w:w="80"/>
              <w:left w:type="dxa" w:w="120"/>
              <w:bottom w:type="dxa" w:w="80"/>
              <w:right w:type="dxa" w:w="120"/>
            </w:tcMar>
          </w:tcPr>
          <w:p>
            <w:pPr>
              <w:spacing w:after="40" w:line="260"/>
            </w:pPr>
            <w:r>
              <w:rPr>
                <w:b/>
                <w:bCs/>
                <w:sz w:val="20"/>
                <w:szCs w:val="20"/>
              </w:rPr>
              <w:t xml:space="preserve">Kegiatan</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1</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Kickoff, penetapan dapil dan daftar kandidat benchmark, mulai akuisisi data</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2–3</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Pra-pemrosesan korpus, pembangunan gold standard, kalibrasi pelabel</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4–5</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Analisis topik, sentimen, posisi pesan; drafting laporan diagnostik</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6</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Presentasi diagnostik + workshop pesan dengan tim kampanye</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7–8</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Penyusunan Playbook Pesan dan kalender konten; serah-terima</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Berkala</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Siklus benchmark ulang per 4–6 minggu sesuai paket</w:t>
            </w:r>
          </w:p>
        </w:tc>
      </w:tr>
    </w:tbl>
    <w:p>
      <w:pPr>
        <w:spacing w:after="160" w:line="300"/>
        <w:jc w:val="both"/>
      </w:pPr>
      <w:r>
        <w:t xml:space="preserve">Kapasitas realistis fase awal: 3–4 engagement Diagnostik paralel, atau 2 Strategi, atau 1 War Room + 1 Diagnostik. Skala dinaikkan dengan otomasi laporan dan penambahan analis, bukan penambahan beban pada direktur riset.</w:t>
      </w:r>
    </w:p>
    <w:p>
      <w:pPr>
        <w:pStyle w:val="Heading1"/>
      </w:pPr>
      <w:r>
        <w:t xml:space="preserve">IX. Etika, Netralitas, dan Kepatuhan Hukum</w:t>
      </w:r>
    </w:p>
    <w:p>
      <w:pPr>
        <w:spacing w:after="160" w:line="300"/>
        <w:jc w:val="both"/>
      </w:pPr>
      <w:r>
        <w:t xml:space="preserve">Bagian ini bukan pelengkap, melainkan prasyarat keberadaan produk. Tiga pagar:</w:t>
      </w:r>
    </w:p>
    <w:p>
      <w:pPr>
        <w:pStyle w:val="Heading2"/>
      </w:pPr>
      <w:r>
        <w:t xml:space="preserve">9.1 Firewall Kepenyelenggara Pemilu</w:t>
      </w:r>
    </w:p>
    <w:p>
      <w:pPr>
        <w:spacing w:after="160" w:line="300"/>
        <w:jc w:val="both"/>
      </w:pPr>
      <w:r>
        <w:t xml:space="preserve">Produk ini </w:t>
      </w:r>
      <w:r>
        <w:rPr>
          <w:b/>
          <w:bCs/>
        </w:rPr>
        <w:t xml:space="preserve">tidak dapat dioperasikan, dimiliki sahamnya secara aktif, atau dikonsultani</w:t>
      </w:r>
      <w:r>
        <w:t xml:space="preserve"> oleh siapa pun yang sedang menjabat pada penyelenggara pemilu (KPU, Bawaslu, DKPP) di tingkat mana pun, termasuk pegawai sekretariat. UU No. 7/2017 dan kode etik penyelenggara pemilu mensyaratkan netralitas dan larangan keberpihakan; keterlibatan personel penyelenggara dalam jasa pemenangan caleg adalah pelanggaran etik berat yang berujung ke DKPP. Konsekuensi desain: cetak biru ini disiapkan sebagai aset dorman atau dialihkan kepemilikan-operasinya sepenuhnya kepada pihak ketiga independen, dan baru dapat dioperasikan oleh pemilik gagasan setelah yang bersangkutan tidak lagi berstatus pegawai/pejabat penyelenggara pemilu. Alternatif yang sah selama masa jabatan: memutar produk 180 derajat menjadi layanan non-pemenangan — analitik literasi pemilih, riset akademik, atau jasa untuk media dan lembaga riset — yang tidak melayani kontestan.</w:t>
      </w:r>
    </w:p>
    <w:p>
      <w:pPr>
        <w:pStyle w:val="Heading2"/>
      </w:pPr>
      <w:r>
        <w:t xml:space="preserve">9.2 Perlindungan Data Pribadi</w:t>
      </w:r>
    </w:p>
    <w:p>
      <w:pPr>
        <w:pStyle w:val="ListParagraph"/>
        <w:numPr>
          <w:ilvl w:val="0"/>
          <w:numId w:val="2"/>
        </w:numPr>
        <w:spacing w:after="100" w:line="300"/>
        <w:jc w:val="both"/>
      </w:pPr>
      <w:r>
        <w:t xml:space="preserve">Kepatuhan UU No. 27/2022 (PDP): hanya data publik; tanpa profiling individu pemilih; agregasi minimal pada level kelurahan/kecamatan; tanpa jual-beli data pemilih.</w:t>
      </w:r>
    </w:p>
    <w:p>
      <w:pPr>
        <w:pStyle w:val="ListParagraph"/>
        <w:numPr>
          <w:ilvl w:val="0"/>
          <w:numId w:val="2"/>
        </w:numPr>
        <w:spacing w:after="100" w:line="300"/>
        <w:jc w:val="both"/>
      </w:pPr>
      <w:r>
        <w:t xml:space="preserve">Tidak menyentuh DPT atau data kependudukan non-publik dalam bentuk apa pun.</w:t>
      </w:r>
    </w:p>
    <w:p>
      <w:pPr>
        <w:pStyle w:val="Heading2"/>
      </w:pPr>
      <w:r>
        <w:t xml:space="preserve">9.3 Integritas Kampanye</w:t>
      </w:r>
    </w:p>
    <w:p>
      <w:pPr>
        <w:pStyle w:val="ListParagraph"/>
        <w:numPr>
          <w:ilvl w:val="0"/>
          <w:numId w:val="2"/>
        </w:numPr>
        <w:spacing w:after="100" w:line="300"/>
        <w:jc w:val="both"/>
      </w:pPr>
      <w:r>
        <w:t xml:space="preserve">Larangan kontraktual penggunaan output untuk disinformasi, kampanye hitam, politik identitas yang melanggar peraturan kampanye, atau operasi buzzer terkoordinasi.</w:t>
      </w:r>
    </w:p>
    <w:p>
      <w:pPr>
        <w:pStyle w:val="ListParagraph"/>
        <w:numPr>
          <w:ilvl w:val="0"/>
          <w:numId w:val="2"/>
        </w:numPr>
        <w:spacing w:after="100" w:line="300"/>
        <w:jc w:val="both"/>
      </w:pPr>
      <w:r>
        <w:t xml:space="preserve">Tidak melayani dua caleg yang bersaing langsung pada dapil dan partai yang sama (konflik kepentingan klien), kecuali melalui skema lisensi partai yang setara untuk semua.</w:t>
      </w:r>
    </w:p>
    <w:p>
      <w:pPr>
        <w:pStyle w:val="ListParagraph"/>
        <w:numPr>
          <w:ilvl w:val="0"/>
          <w:numId w:val="2"/>
        </w:numPr>
        <w:spacing w:after="100" w:line="300"/>
        <w:jc w:val="both"/>
      </w:pPr>
      <w:r>
        <w:t xml:space="preserve">Lampiran metodologi terbuka pada setiap laporan; kesediaan diaudit pihak ketiga.</w:t>
      </w:r>
    </w:p>
    <w:p>
      <w:pPr>
        <w:pStyle w:val="Heading1"/>
      </w:pPr>
      <w:r>
        <w:t xml:space="preserve">X. Peta Jalan Pengembangan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999999" w:sz="1"/>
              <w:left w:val="single" w:color="999999" w:sz="1"/>
              <w:bottom w:val="single" w:color="999999" w:sz="1"/>
              <w:right w:val="single" w:color="999999" w:sz="1"/>
            </w:tcBorders>
            <w:shd w:fill="DCE6F1" w:val="clear"/>
            <w:tcMar>
              <w:top w:type="dxa" w:w="80"/>
              <w:left w:type="dxa" w:w="120"/>
              <w:bottom w:type="dxa" w:w="80"/>
              <w:right w:type="dxa" w:w="120"/>
            </w:tcMar>
          </w:tcPr>
          <w:p>
            <w:pPr>
              <w:spacing w:after="40" w:line="260"/>
            </w:pPr>
            <w:r>
              <w:rPr>
                <w:b/>
                <w:bCs/>
                <w:sz w:val="20"/>
                <w:szCs w:val="20"/>
              </w:rPr>
              <w:t xml:space="preserve">Fase</w:t>
            </w:r>
          </w:p>
        </w:tc>
        <w:tc>
          <w:tcPr>
            <w:tcW w:type="dxa" w:w="3413"/>
            <w:tcBorders>
              <w:top w:val="single" w:color="999999" w:sz="1"/>
              <w:left w:val="single" w:color="999999" w:sz="1"/>
              <w:bottom w:val="single" w:color="999999" w:sz="1"/>
              <w:right w:val="single" w:color="999999" w:sz="1"/>
            </w:tcBorders>
            <w:shd w:fill="DCE6F1" w:val="clear"/>
            <w:tcMar>
              <w:top w:type="dxa" w:w="80"/>
              <w:left w:type="dxa" w:w="120"/>
              <w:bottom w:type="dxa" w:w="80"/>
              <w:right w:type="dxa" w:w="120"/>
            </w:tcMar>
          </w:tcPr>
          <w:p>
            <w:pPr>
              <w:spacing w:after="40" w:line="260"/>
            </w:pPr>
            <w:r>
              <w:rPr>
                <w:b/>
                <w:bCs/>
                <w:sz w:val="20"/>
                <w:szCs w:val="20"/>
              </w:rPr>
              <w:t xml:space="preserve">Fokus</w:t>
            </w:r>
          </w:p>
        </w:tc>
        <w:tc>
          <w:tcPr>
            <w:tcW w:type="dxa" w:w="3413"/>
            <w:tcBorders>
              <w:top w:val="single" w:color="999999" w:sz="1"/>
              <w:left w:val="single" w:color="999999" w:sz="1"/>
              <w:bottom w:val="single" w:color="999999" w:sz="1"/>
              <w:right w:val="single" w:color="999999" w:sz="1"/>
            </w:tcBorders>
            <w:shd w:fill="DCE6F1" w:val="clear"/>
            <w:tcMar>
              <w:top w:type="dxa" w:w="80"/>
              <w:left w:type="dxa" w:w="120"/>
              <w:bottom w:type="dxa" w:w="80"/>
              <w:right w:type="dxa" w:w="120"/>
            </w:tcMar>
          </w:tcPr>
          <w:p>
            <w:pPr>
              <w:spacing w:after="40" w:line="260"/>
            </w:pPr>
            <w:r>
              <w:rPr>
                <w:b/>
                <w:bCs/>
                <w:sz w:val="20"/>
                <w:szCs w:val="20"/>
              </w:rPr>
              <w:t xml:space="preserve">Tonggak</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Fase 0 (sekarang)</w:t>
            </w:r>
          </w:p>
        </w:tc>
        <w:tc>
          <w:tcPr>
            <w:tcW w:type="dxa" w:w="34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Aset dorman: dokumentasi pipeline, template laporan, kamus normalisasi, studi pilot non-pemenangan (analitik percakapan publik untuk riset/edukasi pemilih)</w:t>
            </w:r>
          </w:p>
        </w:tc>
        <w:tc>
          <w:tcPr>
            <w:tcW w:type="dxa" w:w="34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1 studi pilot terpublikasi sebagai proof-of-method; cetak biru final</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Fase 1</w:t>
            </w:r>
          </w:p>
        </w:tc>
        <w:tc>
          <w:tcPr>
            <w:tcW w:type="dxa" w:w="34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Aktivasi komersial (pasca terpenuhinya syarat Bagian 9.1): 2–3 klien Diagnostik di satu provinsi</w:t>
            </w:r>
          </w:p>
        </w:tc>
        <w:tc>
          <w:tcPr>
            <w:tcW w:type="dxa" w:w="34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3 engagement selesai; testimoni; margin terverifikasi</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Fase 2</w:t>
            </w:r>
          </w:p>
        </w:tc>
        <w:tc>
          <w:tcPr>
            <w:tcW w:type="dxa" w:w="34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Skala: lisensi partai multi-dapil, otomasi laporan penuh, perekrutan analis</w:t>
            </w:r>
          </w:p>
        </w:tc>
        <w:tc>
          <w:tcPr>
            <w:tcW w:type="dxa" w:w="34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10+ dapil; dashboard self-service v1</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Fase 3</w:t>
            </w:r>
          </w:p>
        </w:tc>
        <w:tc>
          <w:tcPr>
            <w:tcW w:type="dxa" w:w="34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Produk berulang: langganan monitoring antar-pemilu untuk anggota legislatif terpilih (akuntabilitas konstituen, deteksi isu dapil)</w:t>
            </w:r>
          </w:p>
        </w:tc>
        <w:tc>
          <w:tcPr>
            <w:tcW w:type="dxa" w:w="34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line="260"/>
            </w:pPr>
            <w:r>
              <w:rPr>
                <w:b w:val="false"/>
                <w:bCs w:val="false"/>
                <w:sz w:val="20"/>
                <w:szCs w:val="20"/>
              </w:rPr>
              <w:t xml:space="preserve">Pendapatan berulang &gt; 40% dari total</w:t>
            </w:r>
          </w:p>
        </w:tc>
      </w:tr>
    </w:tbl>
    <w:p>
      <w:pPr>
        <w:spacing w:after="160" w:line="300"/>
        <w:jc w:val="both"/>
      </w:pPr>
      <w:r>
        <w:t xml:space="preserve">Fase 3 adalah kunci keberlanjutan: pasar pemenangan bersifat musiman lima tahunan, tetapi kebutuhan anggota terpilih untuk memahami konstituennya bersifat permanen — dan secara etis jauh lebih bersih.</w:t>
      </w:r>
    </w:p>
    <w:p>
      <w:pPr>
        <w:pStyle w:val="Heading1"/>
      </w:pPr>
      <w:r>
        <w:t xml:space="preserve">Referensi</w:t>
      </w:r>
    </w:p>
    <w:p>
      <w:pPr>
        <w:spacing w:after="140" w:line="280"/>
        <w:ind w:left="720" w:hanging="720"/>
        <w:jc w:val="left"/>
      </w:pPr>
      <w:r>
        <w:t xml:space="preserve">Agranoff, R. (1976). </w:t>
      </w:r>
      <w:r>
        <w:rPr>
          <w:i/>
          <w:iCs/>
        </w:rPr>
        <w:t xml:space="preserve">The new style in election campaigns</w:t>
      </w:r>
      <w:r>
        <w:t xml:space="preserve"> (2nd ed.). Holbrook Press.</w:t>
      </w:r>
    </w:p>
    <w:p>
      <w:pPr>
        <w:spacing w:after="140" w:line="280"/>
        <w:ind w:left="720" w:hanging="720"/>
        <w:jc w:val="left"/>
      </w:pPr>
      <w:r>
        <w:t xml:space="preserve">Bowler, S., &amp; Farrell, D. M. (Eds.). (1992). </w:t>
      </w:r>
      <w:r>
        <w:rPr>
          <w:i/>
          <w:iCs/>
        </w:rPr>
        <w:t xml:space="preserve">Electoral strategies and political marketing</w:t>
      </w:r>
      <w:r>
        <w:t xml:space="preserve">. Macmillan.</w:t>
      </w:r>
    </w:p>
    <w:p>
      <w:pPr>
        <w:spacing w:after="140" w:line="280"/>
        <w:ind w:left="720" w:hanging="720"/>
        <w:jc w:val="left"/>
      </w:pPr>
      <w:r>
        <w:t xml:space="preserve">Grootendorst, M. (2022). BERTopic: Neural topic modeling with a class-based TF-IDF procedure. </w:t>
      </w:r>
      <w:r>
        <w:rPr>
          <w:i/>
          <w:iCs/>
        </w:rPr>
        <w:t xml:space="preserve">arXiv</w:t>
      </w:r>
      <w:r>
        <w:t xml:space="preserve">. https://doi.org/10.48550/arXiv.2203.05794</w:t>
      </w:r>
    </w:p>
    <w:p>
      <w:pPr>
        <w:spacing w:after="140" w:line="280"/>
        <w:ind w:left="720" w:hanging="720"/>
        <w:jc w:val="left"/>
      </w:pPr>
      <w:r>
        <w:t xml:space="preserve">Koto, F., Rahimi, A., Lau, J. H., &amp; Baldwin, T. (2020). IndoLEM and IndoBERT: A benchmark dataset and pre-trained language model for Indonesian NLP. </w:t>
      </w:r>
      <w:r>
        <w:rPr>
          <w:i/>
          <w:iCs/>
        </w:rPr>
        <w:t xml:space="preserve">Proceedings of the 28th International Conference on Computational Linguistics</w:t>
      </w:r>
      <w:r>
        <w:t xml:space="preserve">, 757–770. https://doi.org/10.18653/v1/2020.coling-main.66</w:t>
      </w:r>
    </w:p>
    <w:p>
      <w:pPr>
        <w:spacing w:after="140" w:line="280"/>
        <w:ind w:left="720" w:hanging="720"/>
        <w:jc w:val="left"/>
      </w:pPr>
      <w:r>
        <w:t xml:space="preserve">Mathaisel, D. F. X., &amp; Comm, C. L. (2021). Political marketing with data analytics. </w:t>
      </w:r>
      <w:r>
        <w:rPr>
          <w:i/>
          <w:iCs/>
        </w:rPr>
        <w:t xml:space="preserve">Journal of Marketing Analytics, 9</w:t>
      </w:r>
      <w:r>
        <w:t xml:space="preserve">(1), 56–64. https://doi.org/10.1057/s41270-020-00097-1</w:t>
      </w:r>
    </w:p>
    <w:p>
      <w:pPr>
        <w:spacing w:after="140" w:line="280"/>
        <w:ind w:left="720" w:hanging="720"/>
        <w:jc w:val="left"/>
      </w:pPr>
      <w:r>
        <w:t xml:space="preserve">Nimmo, D. (1970). </w:t>
      </w:r>
      <w:r>
        <w:rPr>
          <w:i/>
          <w:iCs/>
        </w:rPr>
        <w:t xml:space="preserve">The political persuaders: The techniques of modern election campaigns</w:t>
      </w:r>
      <w:r>
        <w:t xml:space="preserve">. Prentice-Hall.</w:t>
      </w:r>
    </w:p>
    <w:p>
      <w:pPr>
        <w:spacing w:after="140" w:line="280"/>
        <w:ind w:left="720" w:hanging="720"/>
        <w:jc w:val="left"/>
      </w:pPr>
      <w:r>
        <w:t xml:space="preserve">Sundberg, J., &amp; Hognabba, S. (1992). Finland: The 1991 campaign. Dalam S. Bowler &amp; D. M. Farrell (Eds.), </w:t>
      </w:r>
      <w:r>
        <w:rPr>
          <w:i/>
          <w:iCs/>
        </w:rPr>
        <w:t xml:space="preserve">Electoral strategies and political marketing</w:t>
      </w:r>
      <w:r>
        <w:t xml:space="preserve"> (hlm. 82–99). Macmillan.</w:t>
      </w:r>
    </w:p>
    <w:p>
      <w:pPr>
        <w:spacing w:after="140" w:line="280"/>
        <w:ind w:left="720" w:hanging="720"/>
        <w:jc w:val="left"/>
      </w:pPr>
      <w:r>
        <w:t xml:space="preserve">Undang-Undang Republik Indonesia Nomor 7 Tahun 2017 tentang Pemilihan Umum.</w:t>
      </w:r>
    </w:p>
    <w:p>
      <w:pPr>
        <w:spacing w:after="140" w:line="280"/>
        <w:ind w:left="720" w:hanging="720"/>
        <w:jc w:val="left"/>
      </w:pPr>
      <w:r>
        <w:t xml:space="preserve">Undang-Undang Republik Indonesia Nomor 27 Tahun 2022 tentang Pelindungan Data Pribadi.</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mbria" w:cs="Cambria" w:eastAsia="Cambria" w:hAnsi="Cambria"/>
      <w:b/>
      <w:bCs/>
      <w:color w:val="1F3864"/>
      <w:sz w:val="30"/>
      <w:szCs w:val="30"/>
    </w:rPr>
  </w:style>
  <w:style w:type="paragraph" w:styleId="Heading2">
    <w:name w:val="Heading 2"/>
    <w:basedOn w:val="Normal"/>
    <w:next w:val="Normal"/>
    <w:qFormat/>
    <w:pPr>
      <w:spacing w:after="160" w:before="240"/>
      <w:outlineLvl w:val="1"/>
    </w:pPr>
    <w:rPr>
      <w:rFonts w:ascii="Cambria" w:cs="Cambria" w:eastAsia="Cambria" w:hAnsi="Cambria"/>
      <w:b/>
      <w:bCs/>
      <w:color w:val="2E5395"/>
      <w:sz w:val="25"/>
      <w:szCs w:val="25"/>
    </w:rPr>
  </w:style>
  <w:style w:type="paragraph" w:styleId="Heading3">
    <w:name w:val="Heading 3"/>
    <w:basedOn w:val="Normal"/>
    <w:next w:val="Normal"/>
    <w:qFormat/>
    <w:pPr>
      <w:spacing w:after="120" w:before="200"/>
      <w:outlineLvl w:val="2"/>
    </w:pPr>
    <w:rPr>
      <w:rFonts w:ascii="Cambria" w:cs="Cambria" w:eastAsia="Cambria" w:hAnsi="Cambria"/>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2026-06-12T15:27:27.282Z</dcterms:created>
  <dcterms:modified xsi:type="dcterms:W3CDTF">2026-06-12T15:27:27.282Z</dcterms:modified>
</cp:coreProperties>
</file>

<file path=docProps/custom.xml><?xml version="1.0" encoding="utf-8"?>
<Properties xmlns="http://schemas.openxmlformats.org/officeDocument/2006/custom-properties" xmlns:vt="http://schemas.openxmlformats.org/officeDocument/2006/docPropsVTypes"/>
</file>