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240"/>
        <w:jc w:val="center"/>
        <w:rPr/>
      </w:pPr>
      <w:r>
        <w:rPr>
          <w:rFonts w:eastAsia="Times New Roman" w:cs="Times New Roman"/>
          <w:b/>
          <w:bCs/>
          <w:color w:val="1F3864"/>
          <w:sz w:val="32"/>
          <w:szCs w:val="32"/>
        </w:rPr>
        <w:t>Análisis Exploratorio Extendido del Dataset OULAD:</w:t>
      </w:r>
    </w:p>
    <w:p>
      <w:pPr>
        <w:pStyle w:val="Normal"/>
        <w:spacing w:before="0" w:after="480"/>
        <w:jc w:val="center"/>
        <w:rPr/>
      </w:pPr>
      <w:r>
        <w:rPr>
          <w:rFonts w:eastAsia="Times New Roman" w:cs="Times New Roman"/>
          <w:b/>
          <w:bCs/>
          <w:color w:val="1F3864"/>
          <w:sz w:val="32"/>
          <w:szCs w:val="32"/>
        </w:rPr>
        <w:t>Factores Predictivos del Rendimiento Estudiantil en Entornos de e-Learning</w:t>
      </w:r>
    </w:p>
    <w:p>
      <w:pPr>
        <w:pStyle w:val="Normal"/>
        <w:spacing w:before="0" w:after="120"/>
        <w:jc w:val="center"/>
        <w:rPr/>
      </w:pPr>
      <w:r>
        <w:rPr>
          <w:rFonts w:eastAsia="Times New Roman" w:cs="Times New Roman"/>
          <w:i/>
          <w:iCs/>
          <w:sz w:val="24"/>
          <w:szCs w:val="24"/>
        </w:rPr>
        <w:t>Por</w:t>
      </w:r>
    </w:p>
    <w:p>
      <w:pPr>
        <w:pStyle w:val="Normal"/>
        <w:spacing w:before="0" w:after="80"/>
        <w:jc w:val="center"/>
        <w:rPr/>
      </w:pPr>
      <w:r>
        <w:rPr>
          <w:rFonts w:eastAsia="Times New Roman" w:cs="Times New Roman"/>
          <w:sz w:val="24"/>
          <w:szCs w:val="24"/>
        </w:rPr>
        <w:t>Kimberly Pereyra Moreta</w:t>
      </w:r>
    </w:p>
    <w:p>
      <w:pPr>
        <w:pStyle w:val="Normal"/>
        <w:spacing w:before="0" w:after="80"/>
        <w:jc w:val="center"/>
        <w:rPr/>
      </w:pPr>
      <w:r>
        <w:rPr>
          <w:rFonts w:eastAsia="Times New Roman" w:cs="Times New Roman"/>
          <w:sz w:val="24"/>
          <w:szCs w:val="24"/>
        </w:rPr>
        <w:t>Víctor Manuel Pérez Padilla</w:t>
      </w:r>
    </w:p>
    <w:p>
      <w:pPr>
        <w:pStyle w:val="Normal"/>
        <w:spacing w:before="0" w:after="320"/>
        <w:jc w:val="center"/>
        <w:rPr>
          <w:rFonts w:eastAsia="Times New Roman" w:cs="Times New Roman"/>
          <w:sz w:val="24"/>
          <w:szCs w:val="24"/>
        </w:rPr>
      </w:pPr>
      <w:r>
        <w:rPr>
          <w:rFonts w:eastAsia="Times New Roman" w:cs="Times New Roman"/>
          <w:sz w:val="24"/>
          <w:szCs w:val="24"/>
        </w:rPr>
        <w:t>Yunior Miguel Laureano</w:t>
      </w:r>
    </w:p>
    <w:p>
      <w:pPr>
        <w:pStyle w:val="Normal"/>
        <w:spacing w:before="0" w:after="320"/>
        <w:jc w:val="center"/>
        <w:rPr>
          <w:rFonts w:eastAsia="Times New Roman" w:cs="Times New Roman"/>
          <w:sz w:val="24"/>
          <w:szCs w:val="24"/>
        </w:rPr>
      </w:pPr>
      <w:r>
        <w:rPr>
          <w:rFonts w:eastAsia="Times New Roman" w:cs="Times New Roman"/>
          <w:sz w:val="24"/>
          <w:szCs w:val="24"/>
        </w:rPr>
      </w:r>
    </w:p>
    <w:p>
      <w:pPr>
        <w:pStyle w:val="Normal"/>
        <w:spacing w:before="0" w:after="80"/>
        <w:jc w:val="center"/>
        <w:rPr>
          <w:rFonts w:eastAsia="Times New Roman" w:cs="Times New Roman"/>
          <w:sz w:val="24"/>
          <w:szCs w:val="24"/>
        </w:rPr>
      </w:pPr>
      <w:r>
        <w:rPr>
          <w:rFonts w:eastAsia="Times New Roman" w:cs="Times New Roman"/>
          <w:sz w:val="24"/>
          <w:szCs w:val="24"/>
        </w:rPr>
        <w:t>Grupo: Team Reflexivo 08 – Team Piaketsky-Shapiro KDD</w:t>
      </w:r>
    </w:p>
    <w:p>
      <w:pPr>
        <w:pStyle w:val="Normal"/>
        <w:spacing w:before="0" w:after="80"/>
        <w:jc w:val="center"/>
        <w:rPr>
          <w:rFonts w:eastAsia="Times New Roman" w:cs="Times New Roman"/>
          <w:sz w:val="24"/>
          <w:szCs w:val="24"/>
        </w:rPr>
      </w:pPr>
      <w:r>
        <w:rPr>
          <w:rFonts w:eastAsia="Times New Roman" w:cs="Times New Roman"/>
          <w:sz w:val="24"/>
          <w:szCs w:val="24"/>
        </w:rPr>
      </w:r>
    </w:p>
    <w:p>
      <w:pPr>
        <w:pStyle w:val="Normal"/>
        <w:spacing w:before="0" w:after="80"/>
        <w:jc w:val="center"/>
        <w:rPr>
          <w:rFonts w:eastAsia="Times New Roman" w:cs="Times New Roman"/>
          <w:sz w:val="24"/>
          <w:szCs w:val="24"/>
        </w:rPr>
      </w:pPr>
      <w:r>
        <w:rPr>
          <w:rFonts w:eastAsia="Times New Roman" w:cs="Times New Roman"/>
          <w:sz w:val="24"/>
          <w:szCs w:val="24"/>
        </w:rPr>
      </w:r>
    </w:p>
    <w:p>
      <w:pPr>
        <w:pStyle w:val="Normal"/>
        <w:spacing w:before="0" w:after="0"/>
        <w:rPr/>
      </w:pPr>
      <w:r>
        <w:rPr/>
      </w:r>
    </w:p>
    <w:p>
      <w:pPr>
        <w:pStyle w:val="Normal"/>
        <w:spacing w:before="0" w:after="80"/>
        <w:jc w:val="center"/>
        <w:rPr/>
      </w:pPr>
      <w:r>
        <w:rPr>
          <w:rFonts w:eastAsia="Times New Roman" w:cs="Times New Roman"/>
          <w:sz w:val="24"/>
          <w:szCs w:val="24"/>
        </w:rPr>
        <w:t>Maestro: Dr. Silverio Del Orbe Abad</w:t>
      </w:r>
    </w:p>
    <w:p>
      <w:pPr>
        <w:pStyle w:val="Normal"/>
        <w:spacing w:before="0" w:after="80"/>
        <w:jc w:val="center"/>
        <w:rPr>
          <w:rFonts w:eastAsia="Times New Roman" w:cs="Times New Roman"/>
          <w:sz w:val="24"/>
          <w:szCs w:val="24"/>
        </w:rPr>
      </w:pPr>
      <w:r>
        <w:rPr>
          <w:rFonts w:eastAsia="Times New Roman" w:cs="Times New Roman"/>
          <w:sz w:val="24"/>
          <w:szCs w:val="24"/>
        </w:rPr>
        <w:t>Asignatura: Ciencias de Datos 1 — INF-8237-C2</w:t>
      </w:r>
    </w:p>
    <w:p>
      <w:pPr>
        <w:pStyle w:val="Normal"/>
        <w:spacing w:before="0" w:after="80"/>
        <w:jc w:val="center"/>
        <w:rPr>
          <w:rFonts w:eastAsia="Times New Roman" w:cs="Times New Roman"/>
          <w:sz w:val="24"/>
          <w:szCs w:val="24"/>
        </w:rPr>
      </w:pPr>
      <w:r>
        <w:rPr>
          <w:rFonts w:eastAsia="Times New Roman" w:cs="Times New Roman"/>
          <w:sz w:val="24"/>
          <w:szCs w:val="24"/>
        </w:rPr>
      </w:r>
    </w:p>
    <w:p>
      <w:pPr>
        <w:pStyle w:val="Normal"/>
        <w:spacing w:before="0" w:after="80"/>
        <w:jc w:val="center"/>
        <w:rPr>
          <w:rFonts w:eastAsia="Times New Roman" w:cs="Times New Roman"/>
          <w:sz w:val="24"/>
          <w:szCs w:val="24"/>
        </w:rPr>
      </w:pPr>
      <w:r>
        <w:rPr>
          <w:rFonts w:eastAsia="Times New Roman" w:cs="Times New Roman"/>
          <w:sz w:val="24"/>
          <w:szCs w:val="24"/>
        </w:rPr>
      </w:r>
    </w:p>
    <w:p>
      <w:pPr>
        <w:pStyle w:val="Normal"/>
        <w:spacing w:before="0" w:after="80"/>
        <w:jc w:val="center"/>
        <w:rPr>
          <w:rFonts w:eastAsia="Times New Roman" w:cs="Times New Roman"/>
          <w:sz w:val="24"/>
          <w:szCs w:val="24"/>
        </w:rPr>
      </w:pPr>
      <w:r>
        <w:rPr>
          <w:rFonts w:eastAsia="Times New Roman" w:cs="Times New Roman"/>
          <w:sz w:val="24"/>
          <w:szCs w:val="24"/>
        </w:rPr>
      </w:r>
    </w:p>
    <w:p>
      <w:pPr>
        <w:pStyle w:val="Normal"/>
        <w:spacing w:before="0" w:after="80"/>
        <w:jc w:val="center"/>
        <w:rPr>
          <w:rFonts w:eastAsia="Times New Roman" w:cs="Times New Roman"/>
          <w:sz w:val="24"/>
          <w:szCs w:val="24"/>
        </w:rPr>
      </w:pPr>
      <w:r>
        <w:rPr>
          <w:rFonts w:eastAsia="Times New Roman" w:cs="Times New Roman"/>
          <w:sz w:val="24"/>
          <w:szCs w:val="24"/>
        </w:rPr>
      </w:r>
    </w:p>
    <w:p>
      <w:pPr>
        <w:pStyle w:val="Normal"/>
        <w:spacing w:before="0" w:after="80"/>
        <w:jc w:val="center"/>
        <w:rPr>
          <w:rFonts w:eastAsia="Times New Roman" w:cs="Times New Roman"/>
          <w:sz w:val="24"/>
          <w:szCs w:val="24"/>
        </w:rPr>
      </w:pPr>
      <w:r>
        <w:rPr>
          <w:rFonts w:eastAsia="Times New Roman" w:cs="Times New Roman"/>
          <w:sz w:val="24"/>
          <w:szCs w:val="24"/>
        </w:rPr>
      </w:r>
    </w:p>
    <w:p>
      <w:pPr>
        <w:pStyle w:val="Normal"/>
        <w:spacing w:before="0" w:after="80"/>
        <w:jc w:val="center"/>
        <w:rPr>
          <w:rFonts w:eastAsia="Times New Roman" w:cs="Times New Roman"/>
          <w:sz w:val="24"/>
          <w:szCs w:val="24"/>
        </w:rPr>
      </w:pPr>
      <w:r>
        <w:rPr>
          <w:rFonts w:eastAsia="Times New Roman" w:cs="Times New Roman"/>
          <w:sz w:val="24"/>
          <w:szCs w:val="24"/>
        </w:rPr>
      </w:r>
    </w:p>
    <w:p>
      <w:pPr>
        <w:pStyle w:val="Normal"/>
        <w:spacing w:before="0" w:after="0"/>
        <w:rPr/>
      </w:pPr>
      <w:r>
        <w:rPr/>
      </w:r>
    </w:p>
    <w:p>
      <w:pPr>
        <w:pStyle w:val="Normal"/>
        <w:spacing w:before="0" w:after="80"/>
        <w:jc w:val="center"/>
        <w:rPr/>
      </w:pPr>
      <w:r>
        <w:rPr>
          <w:rFonts w:eastAsia="Times New Roman" w:cs="Times New Roman"/>
          <w:b/>
          <w:bCs/>
          <w:sz w:val="24"/>
          <w:szCs w:val="24"/>
        </w:rPr>
        <w:t>Universidad Autónoma de Santo Domingo (UASD)</w:t>
      </w:r>
    </w:p>
    <w:p>
      <w:pPr>
        <w:pStyle w:val="Normal"/>
        <w:spacing w:before="0" w:after="80"/>
        <w:jc w:val="center"/>
        <w:rPr/>
      </w:pPr>
      <w:r>
        <w:rPr>
          <w:rFonts w:eastAsia="Times New Roman" w:cs="Times New Roman"/>
          <w:sz w:val="24"/>
          <w:szCs w:val="24"/>
        </w:rPr>
        <w:t>Santo Domingo, República Dominicana</w:t>
      </w:r>
    </w:p>
    <w:p>
      <w:pPr>
        <w:pStyle w:val="Normal"/>
        <w:spacing w:before="0" w:after="0"/>
        <w:jc w:val="center"/>
        <w:rPr/>
      </w:pPr>
      <w:r>
        <w:rPr>
          <w:rFonts w:eastAsia="Times New Roman" w:cs="Times New Roman"/>
          <w:sz w:val="24"/>
          <w:szCs w:val="24"/>
        </w:rPr>
        <w:t>Junio, 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r/>
      </w:r>
    </w:p>
    <w:p>
      <w:pPr>
        <w:pStyle w:val="Heading1"/>
        <w:spacing w:before="320" w:after="160"/>
        <w:jc w:val="center"/>
        <w:rPr/>
      </w:pPr>
      <w:r>
        <w:rPr>
          <w:rFonts w:eastAsia="Times New Roman" w:cs="Times New Roman"/>
          <w:b/>
          <w:bCs/>
          <w:color w:val="1F3864"/>
          <w:sz w:val="28"/>
          <w:szCs w:val="28"/>
        </w:rPr>
        <w:t>Resumen</w:t>
      </w:r>
    </w:p>
    <w:p>
      <w:pPr>
        <w:pStyle w:val="Normal"/>
        <w:spacing w:lineRule="auto" w:line="480" w:before="0" w:after="80"/>
        <w:ind w:firstLine="720"/>
        <w:jc w:val="both"/>
        <w:rPr/>
      </w:pPr>
      <w:r>
        <w:rPr>
          <w:rFonts w:eastAsia="Times New Roman" w:cs="Times New Roman"/>
          <w:b w:val="false"/>
          <w:bCs w:val="false"/>
          <w:i w:val="false"/>
          <w:iCs w:val="false"/>
          <w:sz w:val="24"/>
          <w:szCs w:val="24"/>
        </w:rPr>
        <w:t>El presente estudio realiza un análisis exploratorio de datos (EDA) extendido sobre el Open University Learning Analytics Dataset (OULAD), el cual contiene registros de 28,785 estudiantes matriculados en siete módulos de educación a distancia del Open University del Reino Unido durante los períodos 2013 y 2014. La investigación examina variables demográficas, socioeconómicas y de comportamiento académico con el objetivo de identificar factores predictivos del resultado final del estudiante: Distinción, Aprobado, Reprobado o Retirado. Se aplicaron técnicas estadísticas descriptivas, análisis de curtosis y sesgo, pruebas de hipótesis (ANOVA, prueba t de Welch), análisis de correlación de Pearson, modelado predictivo mediante Random Forest y visualizaciones avanzadas. Los hallazgos revelan que el índice de privación múltiple (IMD) y los créditos matriculados son los predictores más relevantes del rendimiento, con una distribución de puntajes leptocúrtica (K = 1.529) y sesgo negativo (-1.076). El ANOVA detectó diferencias altamente significativas entre grupos de resultado (F = 9,154.25, p ≈ 0), mientras que la prueba t de Welch evidenció diferencias mínimas entre géneros (0.22 puntos) sin relevancia práctica. Estos hallazgos tienen implicaciones directas para el diseño de políticas de intervención temprana en educación en línea.</w:t>
      </w:r>
    </w:p>
    <w:p>
      <w:pPr>
        <w:pStyle w:val="Normal"/>
        <w:spacing w:before="120" w:after="80"/>
        <w:rPr/>
      </w:pPr>
      <w:r>
        <w:rPr>
          <w:rFonts w:eastAsia="Times New Roman" w:cs="Times New Roman"/>
          <w:b/>
          <w:bCs/>
          <w:sz w:val="24"/>
          <w:szCs w:val="24"/>
        </w:rPr>
        <w:t xml:space="preserve">Palabras clave: </w:t>
      </w:r>
      <w:r>
        <w:rPr>
          <w:rFonts w:eastAsia="Times New Roman" w:cs="Times New Roman"/>
          <w:i/>
          <w:iCs/>
          <w:sz w:val="24"/>
          <w:szCs w:val="24"/>
        </w:rPr>
        <w:t>analítica del aprendizaje, análisis exploratorio de datos, OULAD, rendimiento estudiantil, curtosis, ANOVA, Random Forest, e-learning.</w:t>
      </w:r>
    </w:p>
    <w:p>
      <w:pPr>
        <w:pStyle w:val="Normal"/>
        <w:spacing w:before="120" w:after="8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120" w:after="8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120" w:after="8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120" w:after="8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120" w:after="80"/>
        <w:rPr>
          <w:rFonts w:ascii="Times New Roman" w:hAnsi="Times New Roman" w:eastAsia="Times New Roman" w:cs="Times New Roman"/>
          <w:i/>
          <w:iCs/>
          <w:sz w:val="24"/>
          <w:szCs w:val="24"/>
        </w:rPr>
      </w:pPr>
      <w:r>
        <w:rPr>
          <w:rFonts w:eastAsia="Times New Roman" w:cs="Times New Roman"/>
          <w:i/>
          <w:iCs/>
          <w:sz w:val="24"/>
          <w:szCs w:val="24"/>
        </w:rPr>
      </w:r>
    </w:p>
    <w:p>
      <w:pPr>
        <w:pStyle w:val="Heading1"/>
        <w:spacing w:before="320" w:after="160"/>
        <w:jc w:val="center"/>
        <w:rPr/>
      </w:pPr>
      <w:r>
        <w:rPr>
          <w:rFonts w:eastAsia="Times New Roman" w:cs="Times New Roman"/>
          <w:b/>
          <w:bCs/>
          <w:color w:val="1F3864"/>
          <w:sz w:val="28"/>
          <w:szCs w:val="28"/>
        </w:rPr>
        <w:t>1. Introducción</w:t>
      </w:r>
    </w:p>
    <w:p>
      <w:pPr>
        <w:pStyle w:val="Normal"/>
        <w:spacing w:lineRule="auto" w:line="480" w:before="0" w:after="80"/>
        <w:ind w:firstLine="720"/>
        <w:jc w:val="both"/>
        <w:rPr/>
      </w:pPr>
      <w:r>
        <w:rPr>
          <w:rFonts w:eastAsia="Times New Roman" w:cs="Times New Roman"/>
          <w:b w:val="false"/>
          <w:bCs w:val="false"/>
          <w:i w:val="false"/>
          <w:iCs w:val="false"/>
          <w:sz w:val="24"/>
          <w:szCs w:val="24"/>
        </w:rPr>
        <w:t>La analítica del aprendizaje ha emergido como un campo interdisciplinario de creciente relevancia para la educación superior en modalidad virtual, permitiendo a las instituciones transformar grandes volúmenes de datos educativos en conocimiento accionable para mejorar los resultados estudiantiles (Ferguson, 2012; Siemens &amp; Long, 2011). En el contexto actual de expansión acelerada de la educación a distancia, comprender los factores que determinan el éxito o fracaso académico se ha convertido en una prioridad estratégica para las instituciones educativas.</w:t>
      </w:r>
    </w:p>
    <w:p>
      <w:pPr>
        <w:pStyle w:val="Normal"/>
        <w:spacing w:lineRule="auto" w:line="480" w:before="0" w:after="80"/>
        <w:ind w:firstLine="720"/>
        <w:jc w:val="both"/>
        <w:rPr/>
      </w:pPr>
      <w:r>
        <w:rPr>
          <w:rFonts w:eastAsia="Times New Roman" w:cs="Times New Roman"/>
          <w:b w:val="false"/>
          <w:bCs w:val="false"/>
          <w:i w:val="false"/>
          <w:iCs w:val="false"/>
          <w:sz w:val="24"/>
          <w:szCs w:val="24"/>
        </w:rPr>
        <w:t>El Open University Learning Analytics Dataset (OULAD) representa uno de los conjuntos de datos educativos más completos disponibles públicamente, abarcando información de más de 28,000 estudiantes en siete módulos de estudio impartidos entre 2013 y 2014 (Kuzilek et al., 2017). La riqueza del dataset incluye datos demográficos, socioeconómicos, interacciones con el entorno virtual de aprendizaje (VLE) y puntajes en evaluaciones formativas y sumativas, lo que lo convierte en un recurso ideal para investigar los determinantes multidimensionales del rendimiento estudiantil en línea.</w:t>
      </w:r>
    </w:p>
    <w:p>
      <w:pPr>
        <w:pStyle w:val="Normal"/>
        <w:spacing w:lineRule="auto" w:line="480" w:before="0" w:after="80"/>
        <w:ind w:firstLine="720"/>
        <w:jc w:val="both"/>
        <w:rPr/>
      </w:pPr>
      <w:r>
        <w:rPr>
          <w:rFonts w:eastAsia="Times New Roman" w:cs="Times New Roman"/>
          <w:b w:val="false"/>
          <w:bCs w:val="false"/>
          <w:i w:val="false"/>
          <w:iCs w:val="false"/>
          <w:sz w:val="24"/>
          <w:szCs w:val="24"/>
        </w:rPr>
        <w:t>El presente artículo tiene como objetivos: (1) caracterizar estadísticamente la distribución de variables demográficas y de desempeño; (2) analizar la forma de la distribución de puntajes mediante curtosis y sesgo; (3) identificar correlaciones entre variables socioeconómicas y académicas; (4) examinar diferencias entre grupos mediante ANOVA y prueba t; (5) evaluar el poder predictivo de las variables demográficas mediante Random Forest; y (6) identificar patrones de comportamiento en el entorno virtual de aprendizaje.</w:t>
      </w:r>
    </w:p>
    <w:p>
      <w:pPr>
        <w:pStyle w:val="Heading1"/>
        <w:spacing w:before="320" w:after="160"/>
        <w:jc w:val="center"/>
        <w:rPr/>
      </w:pPr>
      <w:r>
        <w:rPr>
          <w:rFonts w:eastAsia="Times New Roman" w:cs="Times New Roman"/>
          <w:b/>
          <w:bCs/>
          <w:color w:val="1F3864"/>
          <w:sz w:val="28"/>
          <w:szCs w:val="28"/>
        </w:rPr>
        <w:t>2. Revisión Literaria</w:t>
      </w:r>
    </w:p>
    <w:p>
      <w:pPr>
        <w:pStyle w:val="Heading2"/>
        <w:spacing w:before="320" w:after="160"/>
        <w:jc w:val="start"/>
        <w:rPr/>
      </w:pPr>
      <w:r>
        <w:rPr>
          <w:rFonts w:eastAsia="Times New Roman" w:cs="Times New Roman"/>
          <w:b/>
          <w:bCs/>
          <w:color w:val="2E5090"/>
          <w:sz w:val="26"/>
          <w:szCs w:val="26"/>
        </w:rPr>
        <w:t>2.1 Analítica del Aprendizaje y Predicción del Rendimiento</w:t>
      </w:r>
    </w:p>
    <w:p>
      <w:pPr>
        <w:pStyle w:val="Normal"/>
        <w:spacing w:lineRule="auto" w:line="480" w:before="0" w:after="80"/>
        <w:ind w:firstLine="720"/>
        <w:jc w:val="both"/>
        <w:rPr/>
      </w:pPr>
      <w:r>
        <w:rPr>
          <w:rFonts w:eastAsia="Times New Roman" w:cs="Times New Roman"/>
          <w:b w:val="false"/>
          <w:bCs w:val="false"/>
          <w:i w:val="false"/>
          <w:iCs w:val="false"/>
          <w:sz w:val="24"/>
          <w:szCs w:val="24"/>
        </w:rPr>
        <w:t>La investigación en analítica del aprendizaje ha documentado que las variables de interacción del estudiante con el VLE constituyen predictores robustos del resultado final. Macfadyen y Dawson (2010) identificaron que métricas de participación en foros y puntualidad en entregas permiten predecir el abandono con alta precisión. Romero y Ventura (2010) revisaron técnicas de minería de datos aplicadas a entornos e-learning, identificando que algoritmos de clasificación supervisada frecuentemente superan el 75% de precisión en predicción de abandono. En el contexto del OULAD, Kuzilek et al. (2017) demostraron que la combinación de datos demográficos con métricas VLE permite predecir el resultado final con una precisión superior al 80%. Cuando solo se utilizan variables demográficas, la literatura reporta precisiones entre 30-45%, resultado consistente con el presente análisis (31.5%).</w:t>
      </w:r>
    </w:p>
    <w:p>
      <w:pPr>
        <w:pStyle w:val="Heading2"/>
        <w:spacing w:before="320" w:after="160"/>
        <w:jc w:val="start"/>
        <w:rPr/>
      </w:pPr>
      <w:r>
        <w:rPr>
          <w:rFonts w:eastAsia="Times New Roman" w:cs="Times New Roman"/>
          <w:b/>
          <w:bCs/>
          <w:color w:val="2E5090"/>
          <w:sz w:val="26"/>
          <w:szCs w:val="26"/>
        </w:rPr>
        <w:t>2.2 Factores Socioeconómicos y Éxito Académico</w:t>
      </w:r>
    </w:p>
    <w:p>
      <w:pPr>
        <w:pStyle w:val="Normal"/>
        <w:spacing w:lineRule="auto" w:line="480" w:before="0" w:after="80"/>
        <w:ind w:firstLine="720"/>
        <w:jc w:val="both"/>
        <w:rPr/>
      </w:pPr>
      <w:r>
        <w:rPr>
          <w:rFonts w:eastAsia="Times New Roman" w:cs="Times New Roman"/>
          <w:b w:val="false"/>
          <w:bCs w:val="false"/>
          <w:i w:val="false"/>
          <w:iCs w:val="false"/>
          <w:sz w:val="24"/>
          <w:szCs w:val="24"/>
        </w:rPr>
        <w:t>Richardson (2012) encontró que estudiantes del Open University provenientes de áreas de alta privación presentaban tasas de abandono significativamente superiores, independientemente de su capacidad académica. Este fenómeno, conocido como la brecha de privación, es consistente con nuestros hallazgos: el decil IMD de mayor privación (0-10%) presenta una tasa de abandono del 65.2%, frente al 43.0% del decil de menor privación (90-100%). Respecto al nivel educativo, Tempelaar et al. (2015) reportan una relación positiva y consistente con el éxito en educación en línea, confirmada en este estudio con una tendencia perfectamente escalonada desde 30.7% hasta 65.1% de éxito.</w:t>
      </w:r>
    </w:p>
    <w:p>
      <w:pPr>
        <w:pStyle w:val="Heading2"/>
        <w:spacing w:before="320" w:after="160"/>
        <w:jc w:val="start"/>
        <w:rPr/>
      </w:pPr>
      <w:r>
        <w:rPr>
          <w:rFonts w:eastAsia="Times New Roman" w:cs="Times New Roman"/>
          <w:b/>
          <w:bCs/>
          <w:color w:val="2E5090"/>
          <w:sz w:val="26"/>
          <w:szCs w:val="26"/>
        </w:rPr>
        <w:t>2.3 Curtosis y Distribución de Calificaciones</w:t>
      </w:r>
    </w:p>
    <w:p>
      <w:pPr>
        <w:pStyle w:val="Normal"/>
        <w:spacing w:lineRule="auto" w:line="480" w:before="0" w:after="80"/>
        <w:ind w:firstLine="720"/>
        <w:jc w:val="both"/>
        <w:rPr/>
      </w:pPr>
      <w:r>
        <w:rPr>
          <w:rFonts w:eastAsia="Times New Roman" w:cs="Times New Roman"/>
          <w:b w:val="false"/>
          <w:bCs w:val="false"/>
          <w:i w:val="false"/>
          <w:iCs w:val="false"/>
          <w:sz w:val="24"/>
          <w:szCs w:val="24"/>
        </w:rPr>
        <w:t>DeCarlo (1997) establece que una curtosis leptocúrtica (K &gt; 0) indica mayor concentración de valores alrededor de la media con colas más pesadas. En contextos educativos, esto puede señalar evaluaciones con alta discriminación entre niveles de desempeño. Un sesgo negativo indica que la mayoría de estudiantes obtiene calificaciones superiores a la media, con una cola extendida hacia los puntajes bajos, patrón típico en evaluaciones universitarias con curva de aprendizaje positiva (DeCarlo, 1997). Cohen (1988) advierte sobre la distinción entre significancia estadística y práctica, especialmente relevante cuando se trabaja con muestras grandes donde diferencias mínimas resultan estadísticamente significativas.</w:t>
      </w:r>
    </w:p>
    <w:p>
      <w:pPr>
        <w:pStyle w:val="Heading1"/>
        <w:spacing w:before="320" w:after="160"/>
        <w:jc w:val="center"/>
        <w:rPr/>
      </w:pPr>
      <w:r>
        <w:rPr>
          <w:rFonts w:eastAsia="Times New Roman" w:cs="Times New Roman"/>
          <w:b/>
          <w:bCs/>
          <w:color w:val="1F3864"/>
          <w:sz w:val="28"/>
          <w:szCs w:val="28"/>
        </w:rPr>
        <w:t>3. Metodología</w:t>
      </w:r>
    </w:p>
    <w:p>
      <w:pPr>
        <w:pStyle w:val="Heading2"/>
        <w:spacing w:before="320" w:after="160"/>
        <w:jc w:val="start"/>
        <w:rPr/>
      </w:pPr>
      <w:r>
        <w:rPr>
          <w:rFonts w:eastAsia="Times New Roman" w:cs="Times New Roman"/>
          <w:b/>
          <w:bCs/>
          <w:color w:val="2E5090"/>
          <w:sz w:val="26"/>
          <w:szCs w:val="26"/>
        </w:rPr>
        <w:t>3.1 Fuente de Datos</w:t>
      </w:r>
    </w:p>
    <w:p>
      <w:pPr>
        <w:pStyle w:val="Normal"/>
        <w:spacing w:lineRule="auto" w:line="480" w:before="0" w:after="80"/>
        <w:ind w:firstLine="720"/>
        <w:jc w:val="both"/>
        <w:rPr/>
      </w:pPr>
      <w:r>
        <w:rPr>
          <w:rFonts w:eastAsia="Times New Roman" w:cs="Times New Roman"/>
          <w:b w:val="false"/>
          <w:bCs w:val="false"/>
          <w:i w:val="false"/>
          <w:iCs w:val="false"/>
          <w:sz w:val="24"/>
          <w:szCs w:val="24"/>
        </w:rPr>
        <w:t>El análisis se fundamenta en el OULAD, disponible en https://analyse.kmi.open.ac.uk/open_dataset. Se trabajó con cinco tablas relacionales cargadas mediante un pipeline ETL en un servidor SQL Server: studentInfo (28,785 registros), assessments (206 evaluaciones), studentAssessments (173,912 puntajes), vle (6,364 recursos) y studentVle (1,960,496 registros de interacción). La conexión al servidor se realizó desde Google Colab mediante la clase DataBaseOperation del equipo colaborativo.</w:t>
      </w:r>
    </w:p>
    <w:p>
      <w:pPr>
        <w:pStyle w:val="Heading2"/>
        <w:spacing w:before="320" w:after="160"/>
        <w:jc w:val="start"/>
        <w:rPr/>
      </w:pPr>
      <w:r>
        <w:rPr>
          <w:rFonts w:eastAsia="Times New Roman" w:cs="Times New Roman"/>
          <w:b/>
          <w:bCs/>
          <w:color w:val="2E5090"/>
          <w:sz w:val="26"/>
          <w:szCs w:val="26"/>
        </w:rPr>
        <w:t>3.2 Preprocesamiento y Codificación</w:t>
      </w:r>
    </w:p>
    <w:p>
      <w:pPr>
        <w:pStyle w:val="Normal"/>
        <w:spacing w:lineRule="auto" w:line="480" w:before="0" w:after="80"/>
        <w:ind w:firstLine="720"/>
        <w:jc w:val="both"/>
        <w:rPr/>
      </w:pPr>
      <w:r>
        <w:rPr>
          <w:rFonts w:eastAsia="Times New Roman" w:cs="Times New Roman"/>
          <w:b w:val="false"/>
          <w:bCs w:val="false"/>
          <w:i w:val="false"/>
          <w:iCs w:val="false"/>
          <w:sz w:val="24"/>
          <w:szCs w:val="24"/>
        </w:rPr>
        <w:t>Se aplicaron las siguientes transformaciones: (1) Codificación ordinal de variables categóricas jerárquicas: nivel educativo (5 niveles), grupo etario (3 niveles), decil IMD (10 niveles) y resultado final (Retirado=0, Reprobado=1, Aprobado=2, Distinción=3). (2) Codificación binaria de género y discapacidad. (3) Mapeo de dominio completo (Full Domain) para tipos de actividad VLE (20 categorías) y tipos de evaluación (TMA=0, CMA=1, Examen=2). (4) Exclusión del decil IMD 10-20% por ausencia de registros. (5) Restricción del análisis de intentos previos a grupos con n ≥ 97 para garantizar representatividad estadística.</w:t>
      </w:r>
    </w:p>
    <w:p>
      <w:pPr>
        <w:pStyle w:val="Heading2"/>
        <w:spacing w:before="320" w:after="160"/>
        <w:jc w:val="start"/>
        <w:rPr/>
      </w:pPr>
      <w:r>
        <w:rPr>
          <w:rFonts w:eastAsia="Times New Roman" w:cs="Times New Roman"/>
          <w:b/>
          <w:bCs/>
          <w:color w:val="2E5090"/>
          <w:sz w:val="26"/>
          <w:szCs w:val="26"/>
        </w:rPr>
        <w:t>3.3 Técnicas Analíticas</w:t>
      </w:r>
    </w:p>
    <w:p>
      <w:pPr>
        <w:pStyle w:val="Normal"/>
        <w:spacing w:lineRule="auto" w:line="480" w:before="0" w:after="80"/>
        <w:ind w:firstLine="720"/>
        <w:jc w:val="both"/>
        <w:rPr/>
      </w:pPr>
      <w:r>
        <w:rPr>
          <w:rFonts w:eastAsia="Times New Roman" w:cs="Times New Roman"/>
          <w:b w:val="false"/>
          <w:bCs w:val="false"/>
          <w:i w:val="false"/>
          <w:iCs w:val="false"/>
          <w:sz w:val="24"/>
          <w:szCs w:val="24"/>
        </w:rPr>
        <w:t>El EDA extendido empleó: estadísticas descriptivas; análisis de curtosis (Fisher) y sesgo (Pearson); Q-Q plots; matrices de correlación de Pearson; ANOVA de un factor; prueba t de Welch; regresión lineal simple; boxplots con muesca, violin plots, scatter plots y pair plots; tablas pivot con heatmaps; análisis de actividad VLE; y clasificación supervisada mediante Random Forest (100 estimadores, pesos balanceados, partición 70/30). Los análisis se implementaron en Python 3.12 con pandas, numpy, scipy, scikit-learn, matplotlib y seaborn.</w:t>
      </w:r>
    </w:p>
    <w:p>
      <w:pPr>
        <w:pStyle w:val="Heading1"/>
        <w:spacing w:before="320" w:after="160"/>
        <w:jc w:val="center"/>
        <w:rPr/>
      </w:pPr>
      <w:r>
        <w:rPr>
          <w:rFonts w:eastAsia="Times New Roman" w:cs="Times New Roman"/>
          <w:b/>
          <w:bCs/>
          <w:color w:val="1F3864"/>
          <w:sz w:val="28"/>
          <w:szCs w:val="28"/>
        </w:rPr>
        <w:t>4. Resultados</w:t>
      </w:r>
    </w:p>
    <w:p>
      <w:pPr>
        <w:pStyle w:val="Heading2"/>
        <w:spacing w:before="320" w:after="160"/>
        <w:jc w:val="start"/>
        <w:rPr/>
      </w:pPr>
      <w:r>
        <w:rPr>
          <w:rFonts w:eastAsia="Times New Roman" w:cs="Times New Roman"/>
          <w:b/>
          <w:bCs/>
          <w:color w:val="2E5090"/>
          <w:sz w:val="26"/>
          <w:szCs w:val="26"/>
        </w:rPr>
        <w:t>4.1 Estadísticas Descriptivas y Distribución del Resultado Final</w:t>
      </w:r>
    </w:p>
    <w:p>
      <w:pPr>
        <w:pStyle w:val="Normal"/>
        <w:spacing w:lineRule="auto" w:line="480" w:before="0" w:after="80"/>
        <w:ind w:firstLine="720"/>
        <w:jc w:val="both"/>
        <w:rPr/>
      </w:pPr>
      <w:r>
        <w:rPr>
          <w:rFonts w:eastAsia="Times New Roman" w:cs="Times New Roman"/>
          <w:b w:val="false"/>
          <w:bCs w:val="false"/>
          <w:i w:val="false"/>
          <w:iCs w:val="false"/>
          <w:sz w:val="24"/>
          <w:szCs w:val="24"/>
        </w:rPr>
        <w:t>Los 28,785 estudiantes se distribuyen en cuatro categorías: Aprobado (35.6%, n = 10,234), Retirado (34.4%, n = 9,893), Reprobado (20.0%, n = 5,756) y Distinción (10.1%, n = 2,902). Aproximadamente el 54.4% no logra un resultado exitoso, siendo el abandono la categoría más frecuente. La Tabla 1 presenta las estadísticas descriptivas de las variables principales.</w:t>
      </w:r>
    </w:p>
    <w:p>
      <w:pPr>
        <w:pStyle w:val="Normal"/>
        <w:spacing w:before="120" w:after="60"/>
        <w:rPr/>
      </w:pPr>
      <w:r>
        <w:rPr/>
      </w:r>
    </w:p>
    <w:tbl>
      <w:tblPr>
        <w:tblW w:w="9360" w:type="dxa"/>
        <w:jc w:val="start"/>
        <w:tblInd w:w="0" w:type="dxa"/>
        <w:tblLayout w:type="fixed"/>
        <w:tblCellMar>
          <w:top w:w="60" w:type="dxa"/>
          <w:start w:w="120" w:type="dxa"/>
          <w:bottom w:w="60" w:type="dxa"/>
          <w:end w:w="120" w:type="dxa"/>
        </w:tblCellMar>
      </w:tblPr>
      <w:tblGrid>
        <w:gridCol w:w="2798"/>
        <w:gridCol w:w="1202"/>
        <w:gridCol w:w="1200"/>
        <w:gridCol w:w="1200"/>
        <w:gridCol w:w="1480"/>
        <w:gridCol w:w="1480"/>
      </w:tblGrid>
      <w:tr>
        <w:trPr/>
        <w:tc>
          <w:tcPr>
            <w:tcW w:w="2798" w:type="dxa"/>
            <w:tcBorders>
              <w:top w:val="single" w:sz="2" w:space="0" w:color="AAAAAA"/>
              <w:start w:val="single" w:sz="2" w:space="0" w:color="AAAAAA"/>
              <w:bottom w:val="single" w:sz="2" w:space="0" w:color="AAAAAA"/>
              <w:end w:val="single" w:sz="2" w:space="0" w:color="AAAAAA"/>
            </w:tcBorders>
            <w:shd w:fill="D6E4F0" w:val="clear"/>
          </w:tcPr>
          <w:p>
            <w:pPr>
              <w:pStyle w:val="Normal"/>
              <w:jc w:val="center"/>
              <w:rPr/>
            </w:pPr>
            <w:r>
              <w:rPr>
                <w:rFonts w:eastAsia="Times New Roman" w:cs="Times New Roman"/>
                <w:b/>
                <w:bCs/>
                <w:sz w:val="20"/>
                <w:szCs w:val="20"/>
              </w:rPr>
              <w:t>Variable</w:t>
            </w:r>
          </w:p>
        </w:tc>
        <w:tc>
          <w:tcPr>
            <w:tcW w:w="1202" w:type="dxa"/>
            <w:tcBorders>
              <w:top w:val="single" w:sz="2" w:space="0" w:color="AAAAAA"/>
              <w:start w:val="single" w:sz="2" w:space="0" w:color="AAAAAA"/>
              <w:bottom w:val="single" w:sz="2" w:space="0" w:color="AAAAAA"/>
              <w:end w:val="single" w:sz="2" w:space="0" w:color="AAAAAA"/>
            </w:tcBorders>
            <w:shd w:fill="D6E4F0" w:val="clear"/>
          </w:tcPr>
          <w:p>
            <w:pPr>
              <w:pStyle w:val="Normal"/>
              <w:jc w:val="center"/>
              <w:rPr/>
            </w:pPr>
            <w:r>
              <w:rPr>
                <w:rFonts w:eastAsia="Times New Roman" w:cs="Times New Roman"/>
                <w:b/>
                <w:bCs/>
                <w:sz w:val="20"/>
                <w:szCs w:val="20"/>
              </w:rPr>
              <w:t>Media</w:t>
            </w:r>
          </w:p>
        </w:tc>
        <w:tc>
          <w:tcPr>
            <w:tcW w:w="1200" w:type="dxa"/>
            <w:tcBorders>
              <w:top w:val="single" w:sz="2" w:space="0" w:color="AAAAAA"/>
              <w:start w:val="single" w:sz="2" w:space="0" w:color="AAAAAA"/>
              <w:bottom w:val="single" w:sz="2" w:space="0" w:color="AAAAAA"/>
              <w:end w:val="single" w:sz="2" w:space="0" w:color="AAAAAA"/>
            </w:tcBorders>
            <w:shd w:fill="D6E4F0" w:val="clear"/>
          </w:tcPr>
          <w:p>
            <w:pPr>
              <w:pStyle w:val="Normal"/>
              <w:jc w:val="center"/>
              <w:rPr/>
            </w:pPr>
            <w:r>
              <w:rPr>
                <w:rFonts w:eastAsia="Times New Roman" w:cs="Times New Roman"/>
                <w:b/>
                <w:bCs/>
                <w:sz w:val="20"/>
                <w:szCs w:val="20"/>
              </w:rPr>
              <w:t>Mediana</w:t>
            </w:r>
          </w:p>
        </w:tc>
        <w:tc>
          <w:tcPr>
            <w:tcW w:w="1200" w:type="dxa"/>
            <w:tcBorders>
              <w:top w:val="single" w:sz="2" w:space="0" w:color="AAAAAA"/>
              <w:start w:val="single" w:sz="2" w:space="0" w:color="AAAAAA"/>
              <w:bottom w:val="single" w:sz="2" w:space="0" w:color="AAAAAA"/>
              <w:end w:val="single" w:sz="2" w:space="0" w:color="AAAAAA"/>
            </w:tcBorders>
            <w:shd w:fill="D6E4F0" w:val="clear"/>
          </w:tcPr>
          <w:p>
            <w:pPr>
              <w:pStyle w:val="Normal"/>
              <w:jc w:val="center"/>
              <w:rPr/>
            </w:pPr>
            <w:r>
              <w:rPr>
                <w:rFonts w:eastAsia="Times New Roman" w:cs="Times New Roman"/>
                <w:b/>
                <w:bCs/>
                <w:sz w:val="20"/>
                <w:szCs w:val="20"/>
              </w:rPr>
              <w:t>Desv. Est.</w:t>
            </w:r>
          </w:p>
        </w:tc>
        <w:tc>
          <w:tcPr>
            <w:tcW w:w="1480" w:type="dxa"/>
            <w:tcBorders>
              <w:top w:val="single" w:sz="2" w:space="0" w:color="AAAAAA"/>
              <w:start w:val="single" w:sz="2" w:space="0" w:color="AAAAAA"/>
              <w:bottom w:val="single" w:sz="2" w:space="0" w:color="AAAAAA"/>
              <w:end w:val="single" w:sz="2" w:space="0" w:color="AAAAAA"/>
            </w:tcBorders>
            <w:shd w:fill="D6E4F0" w:val="clear"/>
          </w:tcPr>
          <w:p>
            <w:pPr>
              <w:pStyle w:val="Normal"/>
              <w:jc w:val="center"/>
              <w:rPr/>
            </w:pPr>
            <w:r>
              <w:rPr>
                <w:rFonts w:eastAsia="Times New Roman" w:cs="Times New Roman"/>
                <w:b/>
                <w:bCs/>
                <w:sz w:val="20"/>
                <w:szCs w:val="20"/>
              </w:rPr>
              <w:t>Sesgo</w:t>
            </w:r>
          </w:p>
        </w:tc>
        <w:tc>
          <w:tcPr>
            <w:tcW w:w="1480" w:type="dxa"/>
            <w:tcBorders>
              <w:top w:val="single" w:sz="2" w:space="0" w:color="AAAAAA"/>
              <w:start w:val="single" w:sz="2" w:space="0" w:color="AAAAAA"/>
              <w:bottom w:val="single" w:sz="2" w:space="0" w:color="AAAAAA"/>
              <w:end w:val="single" w:sz="2" w:space="0" w:color="AAAAAA"/>
            </w:tcBorders>
            <w:shd w:fill="D6E4F0" w:val="clear"/>
          </w:tcPr>
          <w:p>
            <w:pPr>
              <w:pStyle w:val="Normal"/>
              <w:jc w:val="center"/>
              <w:rPr/>
            </w:pPr>
            <w:r>
              <w:rPr>
                <w:rFonts w:eastAsia="Times New Roman" w:cs="Times New Roman"/>
                <w:b/>
                <w:bCs/>
                <w:sz w:val="20"/>
                <w:szCs w:val="20"/>
              </w:rPr>
              <w:t>Curtosis</w:t>
            </w:r>
          </w:p>
        </w:tc>
      </w:tr>
      <w:tr>
        <w:trPr/>
        <w:tc>
          <w:tcPr>
            <w:tcW w:w="2798"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Puntaje (score)</w:t>
            </w:r>
          </w:p>
        </w:tc>
        <w:tc>
          <w:tcPr>
            <w:tcW w:w="1202"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75.80</w:t>
            </w:r>
          </w:p>
        </w:tc>
        <w:tc>
          <w:tcPr>
            <w:tcW w:w="12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80.00</w:t>
            </w:r>
          </w:p>
        </w:tc>
        <w:tc>
          <w:tcPr>
            <w:tcW w:w="12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18.80</w:t>
            </w:r>
          </w:p>
        </w:tc>
        <w:tc>
          <w:tcPr>
            <w:tcW w:w="148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-1.076</w:t>
            </w:r>
          </w:p>
        </w:tc>
        <w:tc>
          <w:tcPr>
            <w:tcW w:w="148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1.529</w:t>
            </w:r>
          </w:p>
        </w:tc>
      </w:tr>
      <w:tr>
        <w:trPr/>
        <w:tc>
          <w:tcPr>
            <w:tcW w:w="2798"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Créditos estudiados</w:t>
            </w:r>
          </w:p>
        </w:tc>
        <w:tc>
          <w:tcPr>
            <w:tcW w:w="1202"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138.4</w:t>
            </w:r>
          </w:p>
        </w:tc>
        <w:tc>
          <w:tcPr>
            <w:tcW w:w="120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120.0</w:t>
            </w:r>
          </w:p>
        </w:tc>
        <w:tc>
          <w:tcPr>
            <w:tcW w:w="120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73.2</w:t>
            </w:r>
          </w:p>
        </w:tc>
        <w:tc>
          <w:tcPr>
            <w:tcW w:w="148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1.12</w:t>
            </w:r>
          </w:p>
        </w:tc>
        <w:tc>
          <w:tcPr>
            <w:tcW w:w="148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0.89</w:t>
            </w:r>
          </w:p>
        </w:tc>
      </w:tr>
      <w:tr>
        <w:trPr/>
        <w:tc>
          <w:tcPr>
            <w:tcW w:w="2798"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Intentos previos</w:t>
            </w:r>
          </w:p>
        </w:tc>
        <w:tc>
          <w:tcPr>
            <w:tcW w:w="1202"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0.15</w:t>
            </w:r>
          </w:p>
        </w:tc>
        <w:tc>
          <w:tcPr>
            <w:tcW w:w="12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0.00</w:t>
            </w:r>
          </w:p>
        </w:tc>
        <w:tc>
          <w:tcPr>
            <w:tcW w:w="12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0.47</w:t>
            </w:r>
          </w:p>
        </w:tc>
        <w:tc>
          <w:tcPr>
            <w:tcW w:w="148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2.84</w:t>
            </w:r>
          </w:p>
        </w:tc>
        <w:tc>
          <w:tcPr>
            <w:tcW w:w="148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9.73</w:t>
            </w:r>
          </w:p>
        </w:tc>
      </w:tr>
      <w:tr>
        <w:trPr/>
        <w:tc>
          <w:tcPr>
            <w:tcW w:w="2798"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Nivel educativo (ord.)</w:t>
            </w:r>
          </w:p>
        </w:tc>
        <w:tc>
          <w:tcPr>
            <w:tcW w:w="1202"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2.38</w:t>
            </w:r>
          </w:p>
        </w:tc>
        <w:tc>
          <w:tcPr>
            <w:tcW w:w="120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2.00</w:t>
            </w:r>
          </w:p>
        </w:tc>
        <w:tc>
          <w:tcPr>
            <w:tcW w:w="120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1.10</w:t>
            </w:r>
          </w:p>
        </w:tc>
        <w:tc>
          <w:tcPr>
            <w:tcW w:w="148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0.08</w:t>
            </w:r>
          </w:p>
        </w:tc>
        <w:tc>
          <w:tcPr>
            <w:tcW w:w="148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-0.95</w:t>
            </w:r>
          </w:p>
        </w:tc>
      </w:tr>
    </w:tbl>
    <w:p>
      <w:pPr>
        <w:pStyle w:val="Normal"/>
        <w:spacing w:before="60" w:after="200"/>
        <w:jc w:val="center"/>
        <w:rPr/>
      </w:pPr>
      <w:r>
        <w:rPr>
          <w:rFonts w:eastAsia="Times New Roman" w:cs="Times New Roman"/>
          <w:i/>
          <w:iCs/>
          <w:sz w:val="20"/>
          <w:szCs w:val="20"/>
        </w:rPr>
        <w:t>Tabla 1. Estadísticas descriptivas de las principales variables numéricas del dataset OULAD. Fuente: Elaboración propia.</w:t>
      </w:r>
    </w:p>
    <w:p>
      <w:pPr>
        <w:pStyle w:val="Heading2"/>
        <w:spacing w:before="320" w:after="160"/>
        <w:jc w:val="start"/>
        <w:rPr/>
      </w:pPr>
      <w:r>
        <w:rPr>
          <w:rFonts w:eastAsia="Times New Roman" w:cs="Times New Roman"/>
          <w:b/>
          <w:bCs/>
          <w:color w:val="2E5090"/>
          <w:sz w:val="26"/>
          <w:szCs w:val="26"/>
        </w:rPr>
        <w:t>4.2 Análisis de Curtosis y Sesgo</w:t>
      </w:r>
    </w:p>
    <w:p>
      <w:pPr>
        <w:pStyle w:val="Normal"/>
        <w:spacing w:lineRule="auto" w:line="480" w:before="0" w:after="80"/>
        <w:ind w:firstLine="720"/>
        <w:jc w:val="both"/>
        <w:rPr/>
      </w:pPr>
      <w:r>
        <w:rPr>
          <w:rFonts w:eastAsia="Times New Roman" w:cs="Times New Roman"/>
          <w:b w:val="false"/>
          <w:bCs w:val="false"/>
          <w:i w:val="false"/>
          <w:iCs w:val="false"/>
          <w:sz w:val="24"/>
          <w:szCs w:val="24"/>
        </w:rPr>
        <w:t>La distribución de los 173,912 puntajes registrados presentó una media de 75.80 (DE = 18.80), sesgo de -1.076 y curtosis de 1.529, clasificada como leptocúrtica. El test de normalidad D'Agostino confirmó desviación significativa de la normalidad (p ≈ 0). El análisis por grupo reveló patrones diferenciados: Distinción presentó la curtosis más elevada (K = 12.179, leptocúrtica extrema) con alta homogeneidad (media = 88.67, DE = 11.46); Aprobado mostró curtosis moderada (K = 1.968); Reprobado fue el único grupo mesocúrtico (K = 0.111); y Retirado presentó curtosis leve (K = 0.562). El hallazgo más relevante es que a mayor nivel de éxito académico, mayor curtosis: los estudiantes con distinción son significativamente más homogéneos y predecibles en su rendimiento.</w:t>
      </w:r>
    </w:p>
    <w:p>
      <w:pPr>
        <w:pStyle w:val="Heading2"/>
        <w:spacing w:before="320" w:after="160"/>
        <w:jc w:val="start"/>
        <w:rPr/>
      </w:pPr>
      <w:r>
        <w:rPr>
          <w:rFonts w:eastAsia="Times New Roman" w:cs="Times New Roman"/>
          <w:b/>
          <w:bCs/>
          <w:color w:val="2E5090"/>
          <w:sz w:val="26"/>
          <w:szCs w:val="26"/>
        </w:rPr>
        <w:t>4.3 Análisis de Correlación de Pearson</w:t>
      </w:r>
    </w:p>
    <w:p>
      <w:pPr>
        <w:pStyle w:val="Normal"/>
        <w:spacing w:lineRule="auto" w:line="480" w:before="0" w:after="80"/>
        <w:ind w:firstLine="720"/>
        <w:jc w:val="both"/>
        <w:rPr/>
      </w:pPr>
      <w:r>
        <w:rPr>
          <w:rFonts w:eastAsia="Times New Roman" w:cs="Times New Roman"/>
          <w:b w:val="false"/>
          <w:bCs w:val="false"/>
          <w:i w:val="false"/>
          <w:iCs w:val="false"/>
          <w:sz w:val="24"/>
          <w:szCs w:val="24"/>
        </w:rPr>
        <w:t>La matriz de correlación reveló las siguientes relaciones con el resultado final (Tabla 2). Aunque las correlaciones bivariadas son modestas —característica típica de datos educativos multidimensionales— su dirección es consistente con la teoría.</w:t>
      </w:r>
    </w:p>
    <w:p>
      <w:pPr>
        <w:pStyle w:val="Normal"/>
        <w:spacing w:before="120" w:after="60"/>
        <w:rPr/>
      </w:pPr>
      <w:r>
        <w:rPr/>
      </w:r>
    </w:p>
    <w:tbl>
      <w:tblPr>
        <w:tblW w:w="9360" w:type="dxa"/>
        <w:jc w:val="start"/>
        <w:tblInd w:w="0" w:type="dxa"/>
        <w:tblLayout w:type="fixed"/>
        <w:tblCellMar>
          <w:top w:w="60" w:type="dxa"/>
          <w:start w:w="120" w:type="dxa"/>
          <w:bottom w:w="60" w:type="dxa"/>
          <w:end w:w="120" w:type="dxa"/>
        </w:tblCellMar>
      </w:tblPr>
      <w:tblGrid>
        <w:gridCol w:w="2198"/>
        <w:gridCol w:w="1560"/>
        <w:gridCol w:w="1402"/>
        <w:gridCol w:w="4200"/>
      </w:tblGrid>
      <w:tr>
        <w:trPr/>
        <w:tc>
          <w:tcPr>
            <w:tcW w:w="2198" w:type="dxa"/>
            <w:tcBorders>
              <w:top w:val="single" w:sz="2" w:space="0" w:color="AAAAAA"/>
              <w:start w:val="single" w:sz="2" w:space="0" w:color="AAAAAA"/>
              <w:bottom w:val="single" w:sz="2" w:space="0" w:color="AAAAAA"/>
              <w:end w:val="single" w:sz="2" w:space="0" w:color="AAAAAA"/>
            </w:tcBorders>
            <w:shd w:fill="D6E4F0" w:val="clear"/>
          </w:tcPr>
          <w:p>
            <w:pPr>
              <w:pStyle w:val="Normal"/>
              <w:jc w:val="center"/>
              <w:rPr/>
            </w:pPr>
            <w:r>
              <w:rPr>
                <w:rFonts w:eastAsia="Times New Roman" w:cs="Times New Roman"/>
                <w:b/>
                <w:bCs/>
                <w:sz w:val="20"/>
                <w:szCs w:val="20"/>
              </w:rPr>
              <w:t>Variable</w:t>
            </w:r>
          </w:p>
        </w:tc>
        <w:tc>
          <w:tcPr>
            <w:tcW w:w="1560" w:type="dxa"/>
            <w:tcBorders>
              <w:top w:val="single" w:sz="2" w:space="0" w:color="AAAAAA"/>
              <w:start w:val="single" w:sz="2" w:space="0" w:color="AAAAAA"/>
              <w:bottom w:val="single" w:sz="2" w:space="0" w:color="AAAAAA"/>
              <w:end w:val="single" w:sz="2" w:space="0" w:color="AAAAAA"/>
            </w:tcBorders>
            <w:shd w:fill="D6E4F0" w:val="clear"/>
          </w:tcPr>
          <w:p>
            <w:pPr>
              <w:pStyle w:val="Normal"/>
              <w:jc w:val="center"/>
              <w:rPr/>
            </w:pPr>
            <w:r>
              <w:rPr>
                <w:rFonts w:eastAsia="Times New Roman" w:cs="Times New Roman"/>
                <w:b/>
                <w:bCs/>
                <w:sz w:val="20"/>
                <w:szCs w:val="20"/>
              </w:rPr>
              <w:t>r con Resultado</w:t>
            </w:r>
          </w:p>
        </w:tc>
        <w:tc>
          <w:tcPr>
            <w:tcW w:w="1402" w:type="dxa"/>
            <w:tcBorders>
              <w:top w:val="single" w:sz="2" w:space="0" w:color="AAAAAA"/>
              <w:start w:val="single" w:sz="2" w:space="0" w:color="AAAAAA"/>
              <w:bottom w:val="single" w:sz="2" w:space="0" w:color="AAAAAA"/>
              <w:end w:val="single" w:sz="2" w:space="0" w:color="AAAAAA"/>
            </w:tcBorders>
            <w:shd w:fill="D6E4F0" w:val="clear"/>
          </w:tcPr>
          <w:p>
            <w:pPr>
              <w:pStyle w:val="Normal"/>
              <w:jc w:val="center"/>
              <w:rPr/>
            </w:pPr>
            <w:r>
              <w:rPr>
                <w:rFonts w:eastAsia="Times New Roman" w:cs="Times New Roman"/>
                <w:b/>
                <w:bCs/>
                <w:sz w:val="20"/>
                <w:szCs w:val="20"/>
              </w:rPr>
              <w:t>Dirección</w:t>
            </w:r>
          </w:p>
        </w:tc>
        <w:tc>
          <w:tcPr>
            <w:tcW w:w="4200" w:type="dxa"/>
            <w:tcBorders>
              <w:top w:val="single" w:sz="2" w:space="0" w:color="AAAAAA"/>
              <w:start w:val="single" w:sz="2" w:space="0" w:color="AAAAAA"/>
              <w:bottom w:val="single" w:sz="2" w:space="0" w:color="AAAAAA"/>
              <w:end w:val="single" w:sz="2" w:space="0" w:color="AAAAAA"/>
            </w:tcBorders>
            <w:shd w:fill="D6E4F0" w:val="clear"/>
          </w:tcPr>
          <w:p>
            <w:pPr>
              <w:pStyle w:val="Normal"/>
              <w:jc w:val="center"/>
              <w:rPr/>
            </w:pPr>
            <w:r>
              <w:rPr>
                <w:rFonts w:eastAsia="Times New Roman" w:cs="Times New Roman"/>
                <w:b/>
                <w:bCs/>
                <w:sz w:val="20"/>
                <w:szCs w:val="20"/>
              </w:rPr>
              <w:t>Interpretación</w:t>
            </w:r>
          </w:p>
        </w:tc>
      </w:tr>
      <w:tr>
        <w:trPr/>
        <w:tc>
          <w:tcPr>
            <w:tcW w:w="2198"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Créditos</w:t>
            </w:r>
          </w:p>
        </w:tc>
        <w:tc>
          <w:tcPr>
            <w:tcW w:w="156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-0.162</w:t>
            </w:r>
          </w:p>
        </w:tc>
        <w:tc>
          <w:tcPr>
            <w:tcW w:w="1402"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Negativa</w:t>
            </w:r>
          </w:p>
        </w:tc>
        <w:tc>
          <w:tcPr>
            <w:tcW w:w="42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Más créditos = peor resultado</w:t>
            </w:r>
          </w:p>
        </w:tc>
      </w:tr>
      <w:tr>
        <w:trPr/>
        <w:tc>
          <w:tcPr>
            <w:tcW w:w="2198"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Nivel Educativo</w:t>
            </w:r>
          </w:p>
        </w:tc>
        <w:tc>
          <w:tcPr>
            <w:tcW w:w="156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+0.142</w:t>
            </w:r>
          </w:p>
        </w:tc>
        <w:tc>
          <w:tcPr>
            <w:tcW w:w="1402"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Positiva</w:t>
            </w:r>
          </w:p>
        </w:tc>
        <w:tc>
          <w:tcPr>
            <w:tcW w:w="420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Mayor educación = mejor resultado</w:t>
            </w:r>
          </w:p>
        </w:tc>
      </w:tr>
      <w:tr>
        <w:trPr/>
        <w:tc>
          <w:tcPr>
            <w:tcW w:w="2198"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Índice IMD</w:t>
            </w:r>
          </w:p>
        </w:tc>
        <w:tc>
          <w:tcPr>
            <w:tcW w:w="156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+0.097</w:t>
            </w:r>
          </w:p>
        </w:tc>
        <w:tc>
          <w:tcPr>
            <w:tcW w:w="1402"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Positiva</w:t>
            </w:r>
          </w:p>
        </w:tc>
        <w:tc>
          <w:tcPr>
            <w:tcW w:w="42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Mayor nivel económico = mejor resultado</w:t>
            </w:r>
          </w:p>
        </w:tc>
      </w:tr>
      <w:tr>
        <w:trPr/>
        <w:tc>
          <w:tcPr>
            <w:tcW w:w="2198"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Grupo Etario</w:t>
            </w:r>
          </w:p>
        </w:tc>
        <w:tc>
          <w:tcPr>
            <w:tcW w:w="156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+0.076</w:t>
            </w:r>
          </w:p>
        </w:tc>
        <w:tc>
          <w:tcPr>
            <w:tcW w:w="1402"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Positiva</w:t>
            </w:r>
          </w:p>
        </w:tc>
        <w:tc>
          <w:tcPr>
            <w:tcW w:w="420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Mayor edad = ligera ventaja</w:t>
            </w:r>
          </w:p>
        </w:tc>
      </w:tr>
      <w:tr>
        <w:trPr/>
        <w:tc>
          <w:tcPr>
            <w:tcW w:w="2198"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Discapacidad</w:t>
            </w:r>
          </w:p>
        </w:tc>
        <w:tc>
          <w:tcPr>
            <w:tcW w:w="156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-0.064</w:t>
            </w:r>
          </w:p>
        </w:tc>
        <w:tc>
          <w:tcPr>
            <w:tcW w:w="1402"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Negativa</w:t>
            </w:r>
          </w:p>
        </w:tc>
        <w:tc>
          <w:tcPr>
            <w:tcW w:w="42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Leve desventaja</w:t>
            </w:r>
          </w:p>
        </w:tc>
      </w:tr>
      <w:tr>
        <w:trPr/>
        <w:tc>
          <w:tcPr>
            <w:tcW w:w="2198"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Intentos Previos</w:t>
            </w:r>
          </w:p>
        </w:tc>
        <w:tc>
          <w:tcPr>
            <w:tcW w:w="156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-0.059</w:t>
            </w:r>
          </w:p>
        </w:tc>
        <w:tc>
          <w:tcPr>
            <w:tcW w:w="1402"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Negativa</w:t>
            </w:r>
          </w:p>
        </w:tc>
        <w:tc>
          <w:tcPr>
            <w:tcW w:w="4200" w:type="dxa"/>
            <w:tcBorders>
              <w:top w:val="single" w:sz="2" w:space="0" w:color="AAAAAA"/>
              <w:start w:val="single" w:sz="2" w:space="0" w:color="AAAAAA"/>
              <w:bottom w:val="single" w:sz="2" w:space="0" w:color="AAAAAA"/>
              <w:end w:val="single" w:sz="2" w:space="0" w:color="AAAAAA"/>
            </w:tcBorders>
            <w:shd w:fill="F5F5F5" w:val="clear"/>
          </w:tcPr>
          <w:p>
            <w:pPr>
              <w:pStyle w:val="Normal"/>
              <w:jc w:val="center"/>
              <w:rPr/>
            </w:pPr>
            <w:r>
              <w:rPr>
                <w:rFonts w:eastAsia="Times New Roman" w:cs="Times New Roman"/>
                <w:b w:val="false"/>
                <w:bCs w:val="false"/>
                <w:sz w:val="20"/>
                <w:szCs w:val="20"/>
              </w:rPr>
              <w:t>Más intentos = peor resultado</w:t>
            </w:r>
          </w:p>
        </w:tc>
      </w:tr>
      <w:tr>
        <w:trPr/>
        <w:tc>
          <w:tcPr>
            <w:tcW w:w="2198"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Género</w:t>
            </w:r>
          </w:p>
        </w:tc>
        <w:tc>
          <w:tcPr>
            <w:tcW w:w="156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-0.033</w:t>
            </w:r>
          </w:p>
        </w:tc>
        <w:tc>
          <w:tcPr>
            <w:tcW w:w="1402"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Negativa</w:t>
            </w:r>
          </w:p>
        </w:tc>
        <w:tc>
          <w:tcPr>
            <w:tcW w:w="42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0"/>
                <w:szCs w:val="20"/>
              </w:rPr>
              <w:t>Prácticamente nula</w:t>
            </w:r>
          </w:p>
        </w:tc>
      </w:tr>
    </w:tbl>
    <w:p>
      <w:pPr>
        <w:pStyle w:val="Normal"/>
        <w:spacing w:before="60" w:after="200"/>
        <w:jc w:val="center"/>
        <w:rPr/>
      </w:pPr>
      <w:r>
        <w:rPr>
          <w:rFonts w:eastAsia="Times New Roman" w:cs="Times New Roman"/>
          <w:i/>
          <w:iCs/>
          <w:sz w:val="20"/>
          <w:szCs w:val="20"/>
        </w:rPr>
        <w:t>Tabla 2. Correlaciones de Pearson con el resultado final, ordenadas por magnitud. Fuente: Elaboración propia.</w:t>
      </w:r>
    </w:p>
    <w:p>
      <w:pPr>
        <w:pStyle w:val="Heading2"/>
        <w:spacing w:before="320" w:after="160"/>
        <w:jc w:val="start"/>
        <w:rPr/>
      </w:pPr>
      <w:r>
        <w:rPr>
          <w:rFonts w:eastAsia="Times New Roman" w:cs="Times New Roman"/>
          <w:b/>
          <w:bCs/>
          <w:color w:val="2E5090"/>
          <w:sz w:val="26"/>
          <w:szCs w:val="26"/>
        </w:rPr>
        <w:t>4.4 Análisis de Varianza (ANOVA)</w:t>
      </w:r>
    </w:p>
    <w:p>
      <w:pPr>
        <w:pStyle w:val="Normal"/>
        <w:spacing w:lineRule="auto" w:line="480" w:before="0" w:after="80"/>
        <w:ind w:firstLine="720"/>
        <w:jc w:val="both"/>
        <w:rPr/>
      </w:pPr>
      <w:r>
        <w:rPr>
          <w:rFonts w:eastAsia="Times New Roman" w:cs="Times New Roman"/>
          <w:b w:val="false"/>
          <w:bCs w:val="false"/>
          <w:i w:val="false"/>
          <w:iCs w:val="false"/>
          <w:sz w:val="24"/>
          <w:szCs w:val="24"/>
        </w:rPr>
        <w:t>El ANOVA de un factor aplicado sobre los puntajes agrupados por resultado final arrojó F = 9,154.25 y p ≈ 0 (α = 0.05), confirmando que las diferencias de puntaje entre los cuatro grupos son estadísticamente significativas. Las medianas por grupo muestran una separación clara: Distinción (91.0), Aprobado (80.0), Retirado (73.0) y Reprobado (67.0). El análisis de tasa de éxito por nivel educativo mostró una tendencia perfectamente escalonada: desde 30.7% (sin cualificación formal) hasta 65.1% (postgrado), sin excepciones en la secuencia ascendente.</w:t>
      </w:r>
    </w:p>
    <w:p>
      <w:pPr>
        <w:pStyle w:val="Heading2"/>
        <w:spacing w:before="320" w:after="160"/>
        <w:jc w:val="start"/>
        <w:rPr/>
      </w:pPr>
      <w:r>
        <w:rPr>
          <w:rFonts w:eastAsia="Times New Roman" w:cs="Times New Roman"/>
          <w:b/>
          <w:bCs/>
          <w:color w:val="2E5090"/>
          <w:sz w:val="26"/>
          <w:szCs w:val="26"/>
        </w:rPr>
        <w:t>4.5 Prueba T de Student (Welch)</w:t>
      </w:r>
    </w:p>
    <w:p>
      <w:pPr>
        <w:pStyle w:val="Normal"/>
        <w:spacing w:lineRule="auto" w:line="480" w:before="0" w:after="80"/>
        <w:ind w:firstLine="720"/>
        <w:jc w:val="both"/>
        <w:rPr/>
      </w:pPr>
      <w:r>
        <w:rPr>
          <w:rFonts w:eastAsia="Times New Roman" w:cs="Times New Roman"/>
          <w:b w:val="false"/>
          <w:bCs w:val="false"/>
          <w:i w:val="false"/>
          <w:iCs w:val="false"/>
          <w:sz w:val="24"/>
          <w:szCs w:val="24"/>
        </w:rPr>
        <w:t>La prueba t de Welch para diferencias de puntaje entre géneros produjo t = -2.484 y p = 0.013, con medias de 75.70 (masculino, n = 93,782) y 75.92 (femenino, n = 79,957). Aunque estadísticamente significativo, la diferencia absoluta de 0.22 puntos sobre una escala de 100 es educativamente irrelevante. Este caso ilustra la distinción entre significancia estadística y práctica señalada por Cohen (1988): con muestras grandes cualquier diferencia mínima resulta significativa. En términos aplicados, el género no constituye un factor determinante del rendimiento académico en este contexto.</w:t>
      </w:r>
    </w:p>
    <w:p>
      <w:pPr>
        <w:pStyle w:val="Heading2"/>
        <w:spacing w:before="320" w:after="160"/>
        <w:jc w:val="start"/>
        <w:rPr/>
      </w:pPr>
      <w:r>
        <w:rPr>
          <w:rFonts w:eastAsia="Times New Roman" w:cs="Times New Roman"/>
          <w:b/>
          <w:bCs/>
          <w:color w:val="2E5090"/>
          <w:sz w:val="26"/>
          <w:szCs w:val="26"/>
        </w:rPr>
        <w:t>4.6 Dispersión y Análisis Socioeconómico</w:t>
      </w:r>
    </w:p>
    <w:p>
      <w:pPr>
        <w:pStyle w:val="Normal"/>
        <w:spacing w:lineRule="auto" w:line="480" w:before="0" w:after="80"/>
        <w:ind w:firstLine="720"/>
        <w:jc w:val="both"/>
        <w:rPr/>
      </w:pPr>
      <w:r>
        <w:rPr>
          <w:rFonts w:eastAsia="Times New Roman" w:cs="Times New Roman"/>
          <w:b w:val="false"/>
          <w:bCs w:val="false"/>
          <w:i w:val="false"/>
          <w:iCs w:val="false"/>
          <w:sz w:val="24"/>
          <w:szCs w:val="24"/>
        </w:rPr>
        <w:t>La regresión lineal entre índice IMD y resultado final mostró pendiente positiva (m = 0.030, r = 0.097, p = 1.05e-60). La tasa de abandono/reprobación por decil IMD siguió una tendencia descendente consistente: 65.2% en el decil de mayor privación (0-10%) hasta 43.0% en el de menor privación (90-100%), una diferencia de 22.2 puntos porcentuales. El análisis de intentos previos (grupos con n ≥ 97) reveló una tendencia descendente perfectamente monótona: 48.1% con 0 intentos, 36.8% con 1, 29.8% con 2 y 23.7% con 3 intentos previos, indicando que cada intento adicional reduce la probabilidad de éxito aproximadamente 8 puntos porcentuales.</w:t>
      </w:r>
    </w:p>
    <w:p>
      <w:pPr>
        <w:pStyle w:val="Heading2"/>
        <w:spacing w:before="320" w:after="160"/>
        <w:jc w:val="start"/>
        <w:rPr/>
      </w:pPr>
      <w:r>
        <w:rPr>
          <w:rFonts w:eastAsia="Times New Roman" w:cs="Times New Roman"/>
          <w:b/>
          <w:bCs/>
          <w:color w:val="2E5090"/>
          <w:sz w:val="26"/>
          <w:szCs w:val="26"/>
        </w:rPr>
        <w:t>4.7 Modelo Predictivo y Variables más Importantes</w:t>
      </w:r>
    </w:p>
    <w:p>
      <w:pPr>
        <w:pStyle w:val="Normal"/>
        <w:spacing w:lineRule="auto" w:line="480" w:before="0" w:after="80"/>
        <w:ind w:firstLine="720"/>
        <w:jc w:val="both"/>
        <w:rPr/>
      </w:pPr>
      <w:r>
        <w:rPr>
          <w:rFonts w:eastAsia="Times New Roman" w:cs="Times New Roman"/>
          <w:b w:val="false"/>
          <w:bCs w:val="false"/>
          <w:i w:val="false"/>
          <w:iCs w:val="false"/>
          <w:sz w:val="24"/>
          <w:szCs w:val="24"/>
        </w:rPr>
        <w:t>El clasificador Random Forest alcanzó una precisión del 31.5% usando las siete variables demográficas, superior al clasificador aleatorio (25%). El análisis de importancia Gini reveló que el Índice IMD (33.7%) y los Créditos matriculados (29.4%) son los predictores más relevantes, seguidos del Nivel Educativo (14.2%), Intentos Previos (7.2%), Género (5.9%), Grupo Etario (5.6%) y Discapacidad (4.1%). La performance moderada refleja que las variables demográficas, si bien informativas, son insuficientes para predecir el resultado con alta precisión sin incorporar datos de interacción VLE.</w:t>
      </w:r>
    </w:p>
    <w:p>
      <w:pPr>
        <w:pStyle w:val="Heading2"/>
        <w:spacing w:before="320" w:after="160"/>
        <w:jc w:val="start"/>
        <w:rPr/>
      </w:pPr>
      <w:r>
        <w:rPr>
          <w:rFonts w:eastAsia="Times New Roman" w:cs="Times New Roman"/>
          <w:b/>
          <w:bCs/>
          <w:color w:val="2E5090"/>
          <w:sz w:val="26"/>
          <w:szCs w:val="26"/>
        </w:rPr>
        <w:t>4.8 Actividad en el Entorno Virtual de Aprendizaje</w:t>
      </w:r>
    </w:p>
    <w:p>
      <w:pPr>
        <w:pStyle w:val="Normal"/>
        <w:spacing w:lineRule="auto" w:line="480" w:before="0" w:after="80"/>
        <w:ind w:firstLine="720"/>
        <w:jc w:val="both"/>
        <w:rPr/>
      </w:pPr>
      <w:r>
        <w:rPr>
          <w:rFonts w:eastAsia="Times New Roman" w:cs="Times New Roman"/>
          <w:b w:val="false"/>
          <w:bCs w:val="false"/>
          <w:i w:val="false"/>
          <w:iCs w:val="false"/>
          <w:sz w:val="24"/>
          <w:szCs w:val="24"/>
        </w:rPr>
        <w:t>El análisis de los 1,960,496 registros VLE reveló que el Contenido OU concentra la mayor actividad (2,208,258 clics), seguido de Subpágina (730,278), Recurso (595,446) y Cuestionario (486,134). El promedio de clics por sesión mostró coherencia con el resultado: Aprobado (2.60) &gt; Distinción (2.52) &gt; Reprobado (2.42) &gt; Retirado (2.31), sugiriendo que el nivel de engagement con el VLE constituye un indicador temprano de riesgo de abandono.</w:t>
      </w:r>
    </w:p>
    <w:p>
      <w:pPr>
        <w:pStyle w:val="Heading2"/>
        <w:spacing w:before="320" w:after="160"/>
        <w:jc w:val="start"/>
        <w:rPr/>
      </w:pPr>
      <w:r>
        <w:rPr>
          <w:rFonts w:eastAsia="Times New Roman" w:cs="Times New Roman"/>
          <w:b/>
          <w:bCs/>
          <w:color w:val="2E5090"/>
          <w:sz w:val="26"/>
          <w:szCs w:val="26"/>
        </w:rPr>
        <w:t>4.9 Análisis por Módulo</w:t>
      </w:r>
    </w:p>
    <w:p>
      <w:pPr>
        <w:pStyle w:val="Normal"/>
        <w:spacing w:lineRule="auto" w:line="480" w:before="0" w:after="80"/>
        <w:ind w:firstLine="720"/>
        <w:jc w:val="both"/>
        <w:rPr/>
      </w:pPr>
      <w:r>
        <w:rPr>
          <w:rFonts w:eastAsia="Times New Roman" w:cs="Times New Roman"/>
          <w:b w:val="false"/>
          <w:bCs w:val="false"/>
          <w:i w:val="false"/>
          <w:iCs w:val="false"/>
          <w:sz w:val="24"/>
          <w:szCs w:val="24"/>
        </w:rPr>
        <w:t>Las tasas de éxito por módulo muestran variaciones sustanciales: AAA (71.9%), GGG (58.9%) y EEE (54.7%) superan el 50%, mientras CCC (38.3%) y DDD (39.8%) presentan las tasas más bajas. BBB, el módulo más grande (n = 7,692), concentra la mayor cantidad de abandonos absolutos con 47.9% de éxito. Esta heterogeneidad sugiere que el diseño curricular influye significativamente en los resultados, independientemente del perfil demográfico del estudiante.</w:t>
      </w:r>
    </w:p>
    <w:p>
      <w:pPr>
        <w:pStyle w:val="Heading1"/>
        <w:spacing w:before="320" w:after="160"/>
        <w:jc w:val="center"/>
        <w:rPr/>
      </w:pPr>
      <w:r>
        <w:rPr>
          <w:rFonts w:eastAsia="Times New Roman" w:cs="Times New Roman"/>
          <w:b/>
          <w:bCs/>
          <w:color w:val="1F3864"/>
          <w:sz w:val="28"/>
          <w:szCs w:val="28"/>
        </w:rPr>
        <w:t>5. Conclusiones y Recomendaciones</w:t>
      </w:r>
    </w:p>
    <w:p>
      <w:pPr>
        <w:pStyle w:val="Normal"/>
        <w:spacing w:lineRule="auto" w:line="480" w:before="0" w:after="80"/>
        <w:ind w:firstLine="720"/>
        <w:jc w:val="both"/>
        <w:rPr/>
      </w:pPr>
      <w:r>
        <w:rPr>
          <w:rFonts w:eastAsia="Times New Roman" w:cs="Times New Roman"/>
          <w:b w:val="false"/>
          <w:bCs w:val="false"/>
          <w:i w:val="false"/>
          <w:iCs w:val="false"/>
          <w:sz w:val="24"/>
          <w:szCs w:val="24"/>
        </w:rPr>
        <w:t>El análisis exploratorio extendido del dataset OULAD permitió identificar patrones estadísticos relevantes con implicaciones directas para la gestión de la educación a distancia. Las principales conclusiones son:</w:t>
      </w:r>
    </w:p>
    <w:p>
      <w:pPr>
        <w:pStyle w:val="Normal"/>
        <w:spacing w:lineRule="auto" w:line="480" w:before="0" w:after="80"/>
        <w:ind w:firstLine="720"/>
        <w:jc w:val="both"/>
        <w:rPr/>
      </w:pPr>
      <w:r>
        <w:rPr>
          <w:rFonts w:eastAsia="Times New Roman" w:cs="Times New Roman"/>
          <w:b w:val="false"/>
          <w:bCs w:val="false"/>
          <w:i w:val="false"/>
          <w:iCs w:val="false"/>
          <w:sz w:val="24"/>
          <w:szCs w:val="24"/>
        </w:rPr>
        <w:t>(1) La distribución de puntajes es leptocúrtica (K = 1.529) con sesgo negativo (-1.076), indicando evaluaciones con buena discriminación y tendencia hacia calificaciones altas. Los estudiantes con Distinción son el grupo más homogéneo y predecible (K = 12.179, media = 88.67).</w:t>
      </w:r>
    </w:p>
    <w:p>
      <w:pPr>
        <w:pStyle w:val="Normal"/>
        <w:spacing w:lineRule="auto" w:line="480" w:before="0" w:after="80"/>
        <w:ind w:firstLine="720"/>
        <w:jc w:val="both"/>
        <w:rPr/>
      </w:pPr>
      <w:r>
        <w:rPr>
          <w:rFonts w:eastAsia="Times New Roman" w:cs="Times New Roman"/>
          <w:b w:val="false"/>
          <w:bCs w:val="false"/>
          <w:i w:val="false"/>
          <w:iCs w:val="false"/>
          <w:sz w:val="24"/>
          <w:szCs w:val="24"/>
        </w:rPr>
        <w:t>(2) El índice IMD es el predictor más importante (33.7% importancia Gini). La brecha entre el decil de mayor y menor privación es de 22.2 puntos porcentuales en tasa de abandono, evidenciando el impacto de la desigualdad socioeconómica en el rendimiento académico.</w:t>
      </w:r>
    </w:p>
    <w:p>
      <w:pPr>
        <w:pStyle w:val="Normal"/>
        <w:spacing w:lineRule="auto" w:line="480" w:before="0" w:after="80"/>
        <w:ind w:firstLine="720"/>
        <w:jc w:val="both"/>
        <w:rPr/>
      </w:pPr>
      <w:r>
        <w:rPr>
          <w:rFonts w:eastAsia="Times New Roman" w:cs="Times New Roman"/>
          <w:b w:val="false"/>
          <w:bCs w:val="false"/>
          <w:i w:val="false"/>
          <w:iCs w:val="false"/>
          <w:sz w:val="24"/>
          <w:szCs w:val="24"/>
        </w:rPr>
        <w:t>(3) El nivel educativo previo tiene un efecto escalonado perfecto: cada nivel adicional de formación incrementa la tasa de éxito desde 30.7% hasta 65.1%, una diferencia de 34.4 puntos porcentuales entre los extremos.</w:t>
      </w:r>
    </w:p>
    <w:p>
      <w:pPr>
        <w:pStyle w:val="Normal"/>
        <w:spacing w:lineRule="auto" w:line="480" w:before="0" w:after="80"/>
        <w:ind w:firstLine="720"/>
        <w:jc w:val="both"/>
        <w:rPr/>
      </w:pPr>
      <w:r>
        <w:rPr>
          <w:rFonts w:eastAsia="Times New Roman" w:cs="Times New Roman"/>
          <w:b w:val="false"/>
          <w:bCs w:val="false"/>
          <w:i w:val="false"/>
          <w:iCs w:val="false"/>
          <w:sz w:val="24"/>
          <w:szCs w:val="24"/>
        </w:rPr>
        <w:t>(4) El género no es un factor determinante del rendimiento (diferencia de 0.22 puntos, p = 0.013), ilustrando la distinción entre significancia estadística y práctica en estudios con grandes muestras.</w:t>
      </w:r>
    </w:p>
    <w:p>
      <w:pPr>
        <w:pStyle w:val="Normal"/>
        <w:spacing w:lineRule="auto" w:line="480" w:before="0" w:after="80"/>
        <w:ind w:firstLine="720"/>
        <w:jc w:val="both"/>
        <w:rPr/>
      </w:pPr>
      <w:r>
        <w:rPr>
          <w:rFonts w:eastAsia="Times New Roman" w:cs="Times New Roman"/>
          <w:b w:val="false"/>
          <w:bCs w:val="false"/>
          <w:i w:val="false"/>
          <w:iCs w:val="false"/>
          <w:sz w:val="24"/>
          <w:szCs w:val="24"/>
        </w:rPr>
        <w:t>(5) El ANOVA confirmó diferencias altamente significativas entre grupos de resultado (F = 9,154.25), y la variación entre módulos (38.3% a 71.9% de éxito) evidencia que el diseño curricular es tan importante como el perfil del estudiante.</w:t>
      </w:r>
    </w:p>
    <w:p>
      <w:pPr>
        <w:pStyle w:val="Heading2"/>
        <w:spacing w:before="320" w:after="160"/>
        <w:jc w:val="start"/>
        <w:rPr/>
      </w:pPr>
      <w:r>
        <w:rPr>
          <w:rFonts w:eastAsia="Times New Roman" w:cs="Times New Roman"/>
          <w:b/>
          <w:bCs/>
          <w:color w:val="2E5090"/>
          <w:sz w:val="26"/>
          <w:szCs w:val="26"/>
        </w:rPr>
        <w:t>5.1 Recomendaciones</w:t>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(1) Implementar sistemas de alerta temprana basados en IMD, créditos matriculados y nivel educativo desde el inicio de cada módulo.</w:t>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(2) Diseñar programas de apoyo diferenciado para estudiantes en los cuatro deciles IMD inferiores, que concentran las tasas de abandono más elevadas.</w:t>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(3) Establecer límites de créditos recomendados por perfil de estudiante, dado que la sobrecarga crediticia es el segundo predictor más fuerte de fracaso.</w:t>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(4) Investigar las causas de la alta variabilidad entre módulos, particularmente en CCC y DDD.</w:t>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(5) Incorporar métricas de interacción VLE en modelos predictivos para elevar la precisión de clasificación más allá del 31.5% obtenido con variables demográficas únicamente.</w:t>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80"/>
        <w:ind w:firstLine="72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Heading1"/>
        <w:spacing w:before="320" w:after="160"/>
        <w:jc w:val="center"/>
        <w:rPr/>
      </w:pPr>
      <w:r>
        <w:rPr>
          <w:rFonts w:eastAsia="Times New Roman" w:cs="Times New Roman"/>
          <w:b/>
          <w:bCs/>
          <w:color w:val="1F3864"/>
          <w:sz w:val="28"/>
          <w:szCs w:val="28"/>
        </w:rPr>
        <w:t>Referencias</w:t>
      </w:r>
    </w:p>
    <w:p>
      <w:pPr>
        <w:pStyle w:val="BodyText"/>
        <w:numPr>
          <w:ilvl w:val="0"/>
          <w:numId w:val="0"/>
        </w:numPr>
        <w:spacing w:lineRule="auto" w:line="480" w:before="0" w:after="80"/>
        <w:ind w:hanging="0" w:start="720"/>
        <w:jc w:val="both"/>
        <w:rPr>
          <w:sz w:val="24"/>
          <w:szCs w:val="24"/>
        </w:rPr>
      </w:pPr>
      <w:r>
        <w:rPr>
          <w:sz w:val="24"/>
          <w:szCs w:val="24"/>
        </w:rPr>
      </w:r>
    </w:p>
    <w:p>
      <w:pPr>
        <w:pStyle w:val="BodyText"/>
        <w:spacing w:lineRule="auto" w:line="480" w:before="0" w:after="80"/>
        <w:jc w:val="both"/>
        <w:rPr/>
      </w:pPr>
      <w:r>
        <w:rPr/>
        <w:t xml:space="preserve">Cohen, J. (1988). </w:t>
      </w:r>
      <w:r>
        <w:rPr>
          <w:rStyle w:val="Emphasis"/>
        </w:rPr>
        <w:t>Statistical power analysis for the behavioral sciences</w:t>
      </w:r>
      <w:r>
        <w:rPr/>
        <w:t xml:space="preserve"> (2nd ed.). Lawrence Erlbaum Associates.</w:t>
      </w:r>
    </w:p>
    <w:p>
      <w:pPr>
        <w:pStyle w:val="BodyText"/>
        <w:spacing w:lineRule="auto" w:line="480" w:before="0" w:after="80"/>
        <w:jc w:val="both"/>
        <w:rPr/>
      </w:pPr>
      <w:r>
        <w:rPr/>
        <w:t xml:space="preserve">DeCarlo, L. T. (1997). On the meaning and use of kurtosis. </w:t>
      </w:r>
      <w:r>
        <w:rPr>
          <w:rStyle w:val="Emphasis"/>
        </w:rPr>
        <w:t>Psychological Methods, 2</w:t>
      </w:r>
      <w:r>
        <w:rPr/>
        <w:t xml:space="preserve">(3), 292–307. </w:t>
      </w:r>
    </w:p>
    <w:p>
      <w:pPr>
        <w:pStyle w:val="BodyText"/>
        <w:spacing w:lineRule="auto" w:line="480" w:before="0" w:after="80"/>
        <w:jc w:val="both"/>
        <w:rPr/>
      </w:pPr>
      <w:r>
        <w:rPr/>
        <w:t xml:space="preserve">Ferguson, R. (2012). Learning analytics: Drivers, developments and challenges. </w:t>
      </w:r>
      <w:r>
        <w:rPr>
          <w:rStyle w:val="Emphasis"/>
        </w:rPr>
        <w:t>International Journal of Technology Enhanced Learning, 4</w:t>
      </w:r>
      <w:r>
        <w:rPr/>
        <w:t xml:space="preserve">(5/6), 304–317. </w:t>
      </w:r>
    </w:p>
    <w:p>
      <w:pPr>
        <w:pStyle w:val="BodyText"/>
        <w:spacing w:lineRule="auto" w:line="480" w:before="0" w:after="80"/>
        <w:jc w:val="both"/>
        <w:rPr/>
      </w:pPr>
      <w:r>
        <w:rPr/>
        <w:t xml:space="preserve">Kuzilek, J., Hlosta, M., &amp; Zdrahal, Z. (2017). Open University Learning Analytics Dataset. </w:t>
      </w:r>
      <w:r>
        <w:rPr>
          <w:rStyle w:val="Emphasis"/>
        </w:rPr>
        <w:t>Scientific Data, 4</w:t>
      </w:r>
      <w:r>
        <w:rPr/>
        <w:t xml:space="preserve">, 170171. </w:t>
      </w:r>
    </w:p>
    <w:p>
      <w:pPr>
        <w:pStyle w:val="BodyText"/>
        <w:spacing w:lineRule="auto" w:line="480" w:before="0" w:after="80"/>
        <w:jc w:val="both"/>
        <w:rPr/>
      </w:pPr>
      <w:r>
        <w:rPr/>
        <w:t xml:space="preserve">Macfadyen, L. P., &amp; Dawson, S. (2010). Mining LMS data to develop an "early warning system" for educators: A proof of concept. </w:t>
      </w:r>
      <w:r>
        <w:rPr>
          <w:rStyle w:val="Emphasis"/>
        </w:rPr>
        <w:t>Computers &amp; Education, 54</w:t>
      </w:r>
      <w:r>
        <w:rPr/>
        <w:t xml:space="preserve">(2), 588–599. </w:t>
      </w:r>
    </w:p>
    <w:p>
      <w:pPr>
        <w:pStyle w:val="BodyText"/>
        <w:spacing w:lineRule="auto" w:line="480" w:before="0" w:after="80"/>
        <w:jc w:val="both"/>
        <w:rPr/>
      </w:pPr>
      <w:r>
        <w:rPr/>
        <w:t xml:space="preserve">Richardson, J. T. E. (2012). The attainment of ethnic minority students in UK higher education. </w:t>
      </w:r>
      <w:r>
        <w:rPr>
          <w:rStyle w:val="Emphasis"/>
        </w:rPr>
        <w:t>Studies in Higher Education, 33</w:t>
      </w:r>
      <w:r>
        <w:rPr/>
        <w:t>(1), 33–48.</w:t>
      </w:r>
    </w:p>
    <w:p>
      <w:pPr>
        <w:pStyle w:val="Normal"/>
        <w:numPr>
          <w:ilvl w:val="0"/>
          <w:numId w:val="0"/>
        </w:numPr>
        <w:spacing w:lineRule="auto" w:line="480" w:before="0" w:after="80"/>
        <w:ind w:hanging="0" w:start="720"/>
        <w:jc w:val="both"/>
        <w:rPr>
          <w:rFonts w:eastAsia="Times New Roman" w:cs="Times New Roman"/>
          <w:sz w:val="24"/>
          <w:szCs w:val="24"/>
        </w:rPr>
      </w:pPr>
      <w:r>
        <w:rPr>
          <w:rFonts w:eastAsia="Times New Roman" w:cs="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s-MX" w:eastAsia="zh-CN" w:bidi="hi-IN"/>
    </w:rPr>
  </w:style>
  <w:style w:type="paragraph" w:styleId="Heading1">
    <w:name w:val="heading 1"/>
    <w:basedOn w:val="Ttulouser"/>
    <w:qFormat/>
    <w:pPr>
      <w:spacing w:before="320" w:after="160"/>
      <w:jc w:val="center"/>
      <w:outlineLvl w:val="0"/>
    </w:pPr>
    <w:rPr>
      <w:rFonts w:ascii="Times New Roman" w:hAnsi="Times New Roman" w:eastAsia="Times New Roman" w:cs="Times New Roman"/>
      <w:b/>
      <w:bCs/>
      <w:color w:val="1F3864"/>
      <w:sz w:val="28"/>
      <w:szCs w:val="28"/>
    </w:rPr>
  </w:style>
  <w:style w:type="paragraph" w:styleId="Heading2">
    <w:name w:val="heading 2"/>
    <w:basedOn w:val="Ttulouser"/>
    <w:qFormat/>
    <w:pPr>
      <w:spacing w:before="240" w:after="120"/>
      <w:outlineLvl w:val="1"/>
    </w:pPr>
    <w:rPr>
      <w:rFonts w:ascii="Times New Roman" w:hAnsi="Times New Roman" w:eastAsia="Times New Roman" w:cs="Times New Roman"/>
      <w:b/>
      <w:bCs/>
      <w:color w:val="2E5090"/>
      <w:sz w:val="26"/>
      <w:szCs w:val="26"/>
    </w:rPr>
  </w:style>
  <w:style w:type="paragraph" w:styleId="Heading3">
    <w:name w:val="heading 3"/>
    <w:basedOn w:val="Ttulouser"/>
    <w:qFormat/>
    <w:pPr>
      <w:spacing w:before="180" w:after="80"/>
      <w:outlineLvl w:val="2"/>
    </w:pPr>
    <w:rPr>
      <w:rFonts w:ascii="Times New Roman" w:hAnsi="Times New Roman" w:eastAsia="Times New Roman" w:cs="Times New Roman"/>
      <w:b/>
      <w:bCs/>
      <w:color w:val="000000"/>
      <w:sz w:val="24"/>
      <w:szCs w:val="24"/>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mbolosdenumeracin">
    <w:name w:val="Símbolos de numeración"/>
    <w:qFormat/>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s-MX"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s-MX"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LibreOffice/25.8.7.3$Windows_X86_64 LibreOffice_project/30742500f2d3eb4366ac312fa33d3dcabdb3eba5</Application>
  <AppVersion>15.0000</AppVersion>
  <Pages>12</Pages>
  <Words>2384</Words>
  <Characters>14380</Characters>
  <CharactersWithSpaces>16631</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2026-06-20T19:50:05Z</dcterms:created>
  <dc:creator>Un-named</dc:creator>
  <dc:description/>
  <dc:language>es-MX</dc:language>
  <cp:lastModifiedBy/>
  <dcterms:modified xsi:type="dcterms:W3CDTF">2026-06-20T18:37:57Z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