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3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Page 1 -</w:t>
      </w:r>
    </w:p>
    <w:bookmarkStart w:id="22" w:name="아진산업-013310"/>
    <w:p>
      <w:pPr>
        <w:pStyle w:val="21"/>
      </w:pPr>
      <w:r>
        <w:t xml:space="preserve">아진산업 (013310)</w:t>
      </w:r>
    </w:p>
    <w:bookmarkEnd w:id="22"/>
    <w:bookmarkStart w:id="23" w:name="높아지는-미국-매출-suv-판매-호조-수혜"/>
    <w:p>
      <w:pPr>
        <w:pStyle w:val="21"/>
      </w:pPr>
      <w:r>
        <w:t xml:space="preserve">높아지는 미국 매출, SUV 판매 호조 수혜</w:t>
      </w:r>
    </w:p>
    <w:bookmarkEnd w:id="23"/>
    <w:bookmarkStart w:id="24" w:name="현대차-그룹향-차체-부품-공급-업체"/>
    <w:p>
      <w:pPr>
        <w:pStyle w:val="21"/>
      </w:pPr>
      <w:r>
        <w:t xml:space="preserve">현대차 그룹향 차체 부품 공급 업체</w:t>
      </w:r>
    </w:p>
    <w:p>
      <w:pPr>
        <w:pStyle w:val="FirstParagraph"/>
      </w:pPr>
      <w:r>
        <w:t xml:space="preserve">동사는 현대차그룹 차체부품 주 공급 업체로서 지위를 유지하며 현대자동차에 주력 공급 , 해외(미국) 법인을 통해 기아향 CKD 부품을 추가로 수주하고 있음 . 특히 , 주요 제품을 살펴 보면 제네시스 브랜드와 현대자동차의 SUV에 장착되는 차체 부품 공급이 주력 사업 .</w:t>
      </w:r>
    </w:p>
    <w:bookmarkEnd w:id="24"/>
    <w:bookmarkStart w:id="25" w:name="커져가는-미국-매출-비중"/>
    <w:p>
      <w:pPr>
        <w:pStyle w:val="21"/>
      </w:pPr>
      <w:r>
        <w:t xml:space="preserve">커져가는 미국 매출 비중</w:t>
      </w:r>
    </w:p>
    <w:p>
      <w:pPr>
        <w:pStyle w:val="FirstParagraph"/>
      </w:pPr>
      <w:r>
        <w:t xml:space="preserve">동사는 2021년 기준 57%에 불과하던 미국 매출 비중을 3Q25 누적 기준 83%까지 확대 중 . 현대차 앨라배마 공장이 SUV 모델 (투싼 , 싼타페 , GV70) 생산에 주력하는 만큼 , 향후 조지아 신공장 캐파 증설 시에도 추가 생산 모델은 SUV가 될 것이라 예상하며 이에 대한 추가적인 수혜가 가능할 것이라 예상함 .</w:t>
      </w:r>
    </w:p>
    <w:bookmarkEnd w:id="25"/>
    <w:bookmarkStart w:id="26" w:name="팰리세이드-효과에-대한-수혜-또한-기대-가능"/>
    <w:p>
      <w:pPr>
        <w:pStyle w:val="21"/>
      </w:pPr>
      <w:r>
        <w:t xml:space="preserve">팰리세이드 효과에 대한 수혜 또한 기대 가능</w:t>
      </w:r>
    </w:p>
    <w:p>
      <w:pPr>
        <w:pStyle w:val="FirstParagraph"/>
      </w:pPr>
      <w:r>
        <w:t xml:space="preserve">동사는 팰리세이드 LX3에 대한 차체 부품도 공급중이며 , 해당 모델의 생산량 증가에 따른 단가 인상 효과 또한 기대할 수 있다고 예상 . 싼타페의 경우 신규 모델 (MX5)의 동사 공급 차체 부품 (패널 어셈블리) 단가는 기준 이전 모델 (TM) 대비 80%가량 높음 . 따라서 현대 차의 주력 SUV 세대교체시 발생하는 단가 인상의 수혜를 누릴 수 있다고 판단 .</w:t>
      </w:r>
    </w:p>
    <w:bookmarkEnd w:id="26"/>
    <w:bookmarkStart w:id="27" w:name="투자의견-buy-목표주가-3200원으로-커버리지-개시"/>
    <w:p>
      <w:pPr>
        <w:pStyle w:val="21"/>
      </w:pPr>
      <w:r>
        <w:t xml:space="preserve">투자의견 BUY, 목표주가 3,200원으로 커버리지 개시</w:t>
      </w:r>
    </w:p>
    <w:p>
      <w:pPr>
        <w:pStyle w:val="FirstParagraph"/>
      </w:pPr>
      <w:r>
        <w:t xml:space="preserve">목표주가는 FY26F EPS에 Target P/E multiple 3.0x를 적용하였으며 , 이는 최근 36개월 P/E band의 최저점 . 해당 목표주가는 FY26F P/B multiple 환산시 0.3x 수준이며 이 또한 최근 36개월 P/B band의 최저점 . 특정 분기 비용 소급 적용으로 인한 분기별 영업이익률 변동성이 존재하는 것은 사실이나 , 현대자동차의 SUV 판매비중 상승에 따라 실질적 영업이 익 레버리지 효과가 실적에 반영될 가능성이 충분하다고 판단 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1"/>
        <w:gridCol w:w="2211"/>
        <w:gridCol w:w="998"/>
        <w:gridCol w:w="499"/>
        <w:gridCol w:w="998"/>
        <w:gridCol w:w="9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Quarterly earning Forecasts</w:t>
            </w:r>
          </w:p>
        </w:tc>
        <w:tc>
          <w:tcPr/>
          <w:p>
            <w:pPr>
              <w:pStyle w:val="Compact"/>
            </w:pPr>
            <w:r>
              <w:t xml:space="preserve">Quarterly earning Forecasts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(십억원 , %)</w:t>
            </w:r>
          </w:p>
        </w:tc>
        <w:tc>
          <w:tcPr/>
          <w:p>
            <w:pPr>
              <w:pStyle w:val="Compact"/>
            </w:pPr>
            <w:r>
              <w:t xml:space="preserve">(십억원 , 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4Q25E 전년동기대비</w:t>
            </w:r>
          </w:p>
        </w:tc>
        <w:tc>
          <w:tcPr/>
          <w:p>
            <w:pPr>
              <w:pStyle w:val="Compact"/>
            </w:pPr>
            <w:r>
              <w:t xml:space="preserve">전분기대비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컨센서스 컨센서스대비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매출액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131.4</w:t>
            </w:r>
          </w:p>
        </w:tc>
        <w:tc>
          <w:tcPr/>
          <w:p>
            <w:pPr>
              <w:pStyle w:val="Compact"/>
            </w:pPr>
            <w:r>
              <w:t xml:space="preserve">흑전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세전계속사업이익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-72.2</w:t>
            </w:r>
          </w:p>
        </w:tc>
        <w:tc>
          <w:tcPr/>
          <w:p>
            <w:pPr>
              <w:pStyle w:val="Compact"/>
            </w:pPr>
            <w:r>
              <w:t xml:space="preserve">흑전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지배순이익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38.1</w:t>
            </w:r>
          </w:p>
        </w:tc>
        <w:tc>
          <w:tcPr/>
          <w:p>
            <w:pPr>
              <w:pStyle w:val="Compact"/>
            </w:pPr>
            <w:r>
              <w:t xml:space="preserve">흑전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영업이익률 (%)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+0.9 %pt</w:t>
            </w:r>
          </w:p>
        </w:tc>
        <w:tc>
          <w:tcPr/>
          <w:p>
            <w:pPr>
              <w:pStyle w:val="Compact"/>
            </w:pPr>
            <w:r>
              <w:t xml:space="preserve">흑전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지배순이익률 (%)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+0.5 %pt</w:t>
            </w:r>
          </w:p>
        </w:tc>
        <w:tc>
          <w:tcPr/>
          <w:p>
            <w:pPr>
              <w:pStyle w:val="Compact"/>
            </w:pPr>
            <w:r>
              <w:t xml:space="preserve">흑전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2"/>
      </w:pPr>
      <w:r>
        <w:t xml:space="preserve">자료: 유안타증권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bookmarkEnd w:id="27"/>
    <w:bookmarkStart w:id="28" w:name="buy-i"/>
    <w:p>
      <w:pPr>
        <w:pStyle w:val="21"/>
      </w:pPr>
      <w:r>
        <w:t xml:space="preserve">BUY (I)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목표주가</w:t>
            </w:r>
          </w:p>
        </w:tc>
        <w:tc>
          <w:tcPr/>
          <w:p>
            <w:pPr>
              <w:pStyle w:val="Compact"/>
            </w:pPr>
            <w:r>
              <w:t xml:space="preserve">3,200원 (I)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목표주가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현재주가 (11/27)</w:t>
            </w:r>
          </w:p>
        </w:tc>
        <w:tc>
          <w:tcPr/>
          <w:p>
            <w:pPr>
              <w:pStyle w:val="Compact"/>
            </w:pPr>
            <w:r>
              <w:t xml:space="preserve">2,685원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상승여력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시가총액</w:t>
            </w:r>
          </w:p>
        </w:tc>
        <w:tc>
          <w:tcPr/>
          <w:p>
            <w:pPr>
              <w:pStyle w:val="Compact"/>
            </w:pPr>
            <w:r>
              <w:t xml:space="preserve">1,042억원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총발행주식수</w:t>
            </w:r>
          </w:p>
        </w:tc>
        <w:tc>
          <w:tcPr/>
          <w:p>
            <w:pPr>
              <w:pStyle w:val="Compact"/>
            </w:pPr>
            <w:r>
              <w:t xml:space="preserve">38,806,582주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60일 평균 거래대금</w:t>
            </w:r>
          </w:p>
        </w:tc>
        <w:tc>
          <w:tcPr/>
          <w:p>
            <w:pPr>
              <w:pStyle w:val="Compact"/>
            </w:pPr>
            <w:r>
              <w:t xml:space="preserve">13억원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60일 평균 거래량</w:t>
            </w:r>
          </w:p>
        </w:tc>
        <w:tc>
          <w:tcPr/>
          <w:p>
            <w:pPr>
              <w:pStyle w:val="Compact"/>
            </w:pPr>
            <w:r>
              <w:t xml:space="preserve">403,248주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52주 고/저</w:t>
            </w:r>
          </w:p>
        </w:tc>
        <w:tc>
          <w:tcPr/>
          <w:p>
            <w:pPr>
              <w:pStyle w:val="Compact"/>
            </w:pPr>
            <w:r>
              <w:t xml:space="preserve">3,745원 / 2,165원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외인지분율</w:t>
            </w:r>
          </w:p>
        </w:tc>
        <w:tc>
          <w:tcPr/>
          <w:p>
            <w:pPr>
              <w:pStyle w:val="Compact"/>
            </w:pPr>
            <w:r>
              <w:t xml:space="preserve">5.79%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배당수익률</w:t>
            </w:r>
          </w:p>
        </w:tc>
        <w:tc>
          <w:tcPr/>
          <w:p>
            <w:pPr>
              <w:pStyle w:val="Compact"/>
            </w:pPr>
            <w:r>
              <w:t xml:space="preserve">4.16%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주요주주</w:t>
            </w:r>
          </w:p>
        </w:tc>
        <w:tc>
          <w:tcPr/>
          <w:p>
            <w:pPr>
              <w:pStyle w:val="Compact"/>
            </w:pPr>
            <w:r>
              <w:t xml:space="preserve">우신산업 외 17 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주가수익률 (%)</w:t>
            </w:r>
          </w:p>
        </w:tc>
        <w:tc>
          <w:tcPr/>
          <w:p>
            <w:pPr>
              <w:pStyle w:val="Compact"/>
            </w:pPr>
            <w:r>
              <w:t xml:space="preserve">1개월 3개월 12개월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</w:t>
            </w:r>
          </w:p>
        </w:tc>
        <w:tc>
          <w:tcPr/>
          <w:p>
            <w:pPr>
              <w:pStyle w:val="Compact"/>
            </w:pPr>
            <w:r>
              <w:t xml:space="preserve">(19.6) (27.3) 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</w:t>
            </w:r>
          </w:p>
        </w:tc>
        <w:tc>
          <w:tcPr/>
          <w:p>
            <w:pPr>
              <w:pStyle w:val="Compact"/>
            </w:pPr>
            <w:r>
              <w:t xml:space="preserve">(17.5) (33.8) (14.0)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 (달러환산)</w:t>
            </w:r>
          </w:p>
        </w:tc>
        <w:tc>
          <w:tcPr/>
          <w:p>
            <w:pPr>
              <w:pStyle w:val="Compact"/>
            </w:pPr>
            <w:r>
              <w:t xml:space="preserve">(21.4) (30.7) 4.3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Forecasts and valuations (K-IFRS 연결)</w:t>
            </w:r>
          </w:p>
        </w:tc>
        <w:tc>
          <w:tcPr/>
          <w:p>
            <w:pPr>
              <w:pStyle w:val="Compact"/>
            </w:pPr>
            <w:r>
              <w:t xml:space="preserve">Forecasts and valuations (K-IFRS 연결)</w:t>
            </w:r>
          </w:p>
        </w:tc>
        <w:tc>
          <w:tcPr/>
          <w:p>
            <w:pPr>
              <w:pStyle w:val="Compact"/>
            </w:pPr>
            <w:r>
              <w:t xml:space="preserve">Forecasts and valuations (K-IFRS 연결)</w:t>
            </w:r>
          </w:p>
        </w:tc>
        <w:tc>
          <w:tcPr/>
          <w:p>
            <w:pPr>
              <w:pStyle w:val="Compact"/>
            </w:pPr>
            <w:r>
              <w:t xml:space="preserve">(십억원 , 원, %, 배)</w:t>
            </w:r>
          </w:p>
        </w:tc>
        <w:tc>
          <w:tcPr/>
          <w:p>
            <w:pPr>
              <w:pStyle w:val="Compact"/>
            </w:pPr>
            <w:r>
              <w:t xml:space="preserve">(십억원 , 원, %, 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결산 (12월)</w:t>
            </w:r>
          </w:p>
        </w:tc>
        <w:tc>
          <w:tcPr/>
          <w:p>
            <w:pPr>
              <w:pStyle w:val="Compact"/>
            </w:pPr>
            <w:r>
              <w:t xml:space="preserve">2023A</w:t>
            </w:r>
          </w:p>
        </w:tc>
        <w:tc>
          <w:tcPr/>
          <w:p>
            <w:pPr>
              <w:pStyle w:val="Compact"/>
            </w:pPr>
            <w:r>
              <w:t xml:space="preserve">2024A</w:t>
            </w:r>
          </w:p>
        </w:tc>
        <w:tc>
          <w:tcPr/>
          <w:p>
            <w:pPr>
              <w:pStyle w:val="Compact"/>
            </w:pPr>
            <w:r>
              <w:t xml:space="preserve">2025F</w:t>
            </w:r>
          </w:p>
        </w:tc>
        <w:tc>
          <w:tcPr/>
          <w:p>
            <w:pPr>
              <w:pStyle w:val="Compact"/>
            </w:pPr>
            <w:r>
              <w:t xml:space="preserve">2026F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매출액</w:t>
            </w:r>
          </w:p>
        </w:tc>
        <w:tc>
          <w:tcPr/>
          <w:p>
            <w:pPr>
              <w:pStyle w:val="Compact"/>
            </w:pPr>
            <w:r>
              <w:t xml:space="preserve">764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1,091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지배순이익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</w:tr>
    </w:tbl>
    <w:p>
      <w:pPr>
        <w:pStyle w:val="a2"/>
      </w:pPr>
      <w:r>
        <w:t xml:space="preserve">자료: 유안타증권</w:t>
      </w:r>
    </w:p>
    <w:p>
      <w:pPr>
        <w:pStyle w:val="Compact"/>
        <w:numPr>
          <w:ilvl w:val="0"/>
          <w:numId w:val="1002"/>
        </w:numPr>
      </w:pPr>
      <w:r>
        <w:t xml:space="preserve">Page 2 -</w:t>
      </w:r>
    </w:p>
    <w:p>
      <w:pPr>
        <w:pStyle w:val="FirstParagraph"/>
      </w:pPr>
      <w:r>
        <w:t xml:space="preserve">자료: 유안타증권 리서치센터 , 아진산업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아진산업: 연간 매출 및 영업이익률 예상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자료: 유안타증권 리서치센터</w:t>
      </w:r>
    </w:p>
    <w:p>
      <w:pPr>
        <w:pStyle w:val="a2"/>
      </w:pPr>
      <w:r>
        <w:t xml:space="preserve">이는 유상사급 정책으로 인한 분기별 매출원가율 변동성에 기인함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자료: 유안타증권 리서치센터</w:t>
      </w:r>
    </w:p>
    <w:p>
      <w:pPr>
        <w:pStyle w:val="a2"/>
      </w:pPr>
      <w:r>
        <w:t xml:space="preserve">3Q25 기준 패널 어셈블리 단가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단가 (원) 모델</w:t>
            </w:r>
          </w:p>
        </w:tc>
        <w:tc>
          <w:tcPr/>
          <w:p>
            <w:pPr>
              <w:pStyle w:val="Compact"/>
            </w:pPr>
            <w:r>
              <w:t xml:space="preserve">단가 (원)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GV80 JX1</w:t>
            </w:r>
          </w:p>
        </w:tc>
        <w:tc>
          <w:tcPr/>
          <w:p>
            <w:pPr>
              <w:pStyle w:val="Compact"/>
            </w:pPr>
            <w:r>
              <w:t xml:space="preserve">145,958 스타리아 US4</w:t>
            </w:r>
          </w:p>
        </w:tc>
        <w:tc>
          <w:tcPr/>
          <w:p>
            <w:pPr>
              <w:pStyle w:val="Compact"/>
            </w:pPr>
            <w:r>
              <w:t xml:space="preserve">86,056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GV70 JK1</w:t>
            </w:r>
          </w:p>
        </w:tc>
        <w:tc>
          <w:tcPr/>
          <w:p>
            <w:pPr>
              <w:pStyle w:val="Compact"/>
            </w:pPr>
            <w:r>
              <w:t xml:space="preserve">135,464 G70 IK</w:t>
            </w:r>
          </w:p>
        </w:tc>
        <w:tc>
          <w:tcPr/>
          <w:p>
            <w:pPr>
              <w:pStyle w:val="Compact"/>
            </w:pPr>
            <w:r>
              <w:t xml:space="preserve">63,301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G90 RS4</w:t>
            </w:r>
          </w:p>
        </w:tc>
        <w:tc>
          <w:tcPr/>
          <w:p>
            <w:pPr>
              <w:pStyle w:val="Compact"/>
            </w:pPr>
            <w:r>
              <w:t xml:space="preserve">127,112 팰리세이드 LX2</w:t>
            </w:r>
          </w:p>
        </w:tc>
        <w:tc>
          <w:tcPr/>
          <w:p>
            <w:pPr>
              <w:pStyle w:val="Compact"/>
            </w:pPr>
            <w:r>
              <w:t xml:space="preserve">61,564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G80 RG3</w:t>
            </w:r>
          </w:p>
        </w:tc>
        <w:tc>
          <w:tcPr/>
          <w:p>
            <w:pPr>
              <w:pStyle w:val="Compact"/>
            </w:pPr>
            <w:r>
              <w:t xml:space="preserve">117,925 아이오닉5 NE</w:t>
            </w:r>
          </w:p>
        </w:tc>
        <w:tc>
          <w:tcPr/>
          <w:p>
            <w:pPr>
              <w:pStyle w:val="Compact"/>
            </w:pPr>
            <w:r>
              <w:t xml:space="preserve">60,024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코나 SX2</w:t>
            </w:r>
          </w:p>
        </w:tc>
        <w:tc>
          <w:tcPr/>
          <w:p>
            <w:pPr>
              <w:pStyle w:val="Compact"/>
            </w:pPr>
            <w:r>
              <w:t xml:space="preserve">100,350 코나 OS</w:t>
            </w:r>
          </w:p>
        </w:tc>
        <w:tc>
          <w:tcPr/>
          <w:p>
            <w:pPr>
              <w:pStyle w:val="Compact"/>
            </w:pPr>
            <w:r>
              <w:t xml:space="preserve">57,788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싼타페 MX5</w:t>
            </w:r>
          </w:p>
        </w:tc>
        <w:tc>
          <w:tcPr/>
          <w:p>
            <w:pPr>
              <w:pStyle w:val="Compact"/>
            </w:pPr>
            <w:r>
              <w:t xml:space="preserve">100,083 싼타페 TM</w:t>
            </w:r>
          </w:p>
        </w:tc>
        <w:tc>
          <w:tcPr/>
          <w:p>
            <w:pPr>
              <w:pStyle w:val="Compact"/>
            </w:pPr>
            <w:r>
              <w:t xml:space="preserve">55,519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투싼 NX4</w:t>
            </w:r>
          </w:p>
        </w:tc>
        <w:tc>
          <w:tcPr/>
          <w:p>
            <w:pPr>
              <w:pStyle w:val="Compact"/>
            </w:pPr>
            <w:r>
              <w:t xml:space="preserve">89,717 베뉴 QX</w:t>
            </w:r>
          </w:p>
        </w:tc>
        <w:tc>
          <w:tcPr/>
          <w:p>
            <w:pPr>
              <w:pStyle w:val="Compact"/>
            </w:pPr>
            <w:r>
              <w:t xml:space="preserve">50,987</w:t>
            </w:r>
          </w:p>
        </w:tc>
      </w:tr>
    </w:tbl>
    <w:p>
      <w:pPr>
        <w:pStyle w:val="a2"/>
      </w:pPr>
      <w:r>
        <w:t xml:space="preserve">자료: 유안타증권 리서치센터 , 아진산업 , 주: 팰리세이드 LX3 향 공급단가는 현재 미공시</w:t>
      </w:r>
    </w:p>
    <w:p>
      <w:pPr>
        <w:pStyle w:val="a2"/>
      </w:pPr>
      <w:r>
        <w:t xml:space="preserve">분기별 영업이익률의 변동성은 상당히 큰 편인데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자료: 유안타증권 리서치센터</w:t>
      </w:r>
    </w:p>
    <w:p>
      <w:pPr>
        <w:pStyle w:val="a2"/>
      </w:pPr>
      <w:r>
        <w:t xml:space="preserve">연간 매출원가율은 우하향 추세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자료: 유안타증권 리서치센터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Compact"/>
        <w:numPr>
          <w:ilvl w:val="0"/>
          <w:numId w:val="1003"/>
        </w:numPr>
      </w:pPr>
      <w:r>
        <w:t xml:space="preserve">Page 3 -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자료: 유안타증권 리서치센터 , Quantiwise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a2"/>
      </w:pPr>
      <w:r>
        <w:t xml:space="preserve">자료: 유안타증권 리서치센터 , Quantiwise</w:t>
      </w:r>
    </w:p>
    <w:p>
      <w:pPr>
        <w:pStyle w:val="Compact"/>
        <w:numPr>
          <w:ilvl w:val="0"/>
          <w:numId w:val="1004"/>
        </w:numPr>
      </w:pPr>
      <w:r>
        <w:t xml:space="preserve">Page 4 -</w:t>
      </w:r>
    </w:p>
    <w:bookmarkEnd w:id="28"/>
    <w:bookmarkStart w:id="29" w:name="아진산업-013310-추정재무제표-k-ifrs-연결"/>
    <w:p>
      <w:pPr>
        <w:pStyle w:val="21"/>
      </w:pPr>
      <w:r>
        <w:t xml:space="preserve">아진산업 (013310) 추정재무제표 (K-IFRS 연결)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손익계산서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(단위: 십억원)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결산(12월)</w:t>
            </w:r>
          </w:p>
        </w:tc>
        <w:tc>
          <w:tcPr/>
          <w:p>
            <w:pPr>
              <w:pStyle w:val="Compact"/>
            </w:pPr>
            <w:r>
              <w:t xml:space="preserve">2023A</w:t>
            </w:r>
          </w:p>
        </w:tc>
        <w:tc>
          <w:tcPr/>
          <w:p>
            <w:pPr>
              <w:pStyle w:val="Compact"/>
            </w:pPr>
            <w:r>
              <w:t xml:space="preserve">2024A</w:t>
            </w:r>
          </w:p>
        </w:tc>
        <w:tc>
          <w:tcPr/>
          <w:p>
            <w:pPr>
              <w:pStyle w:val="Compact"/>
            </w:pPr>
            <w:r>
              <w:t xml:space="preserve">2025F</w:t>
            </w:r>
          </w:p>
        </w:tc>
        <w:tc>
          <w:tcPr/>
          <w:p>
            <w:pPr>
              <w:pStyle w:val="Compact"/>
            </w:pPr>
            <w:r>
              <w:t xml:space="preserve">2026F</w:t>
            </w:r>
          </w:p>
        </w:tc>
        <w:tc>
          <w:tcPr/>
          <w:p>
            <w:pPr>
              <w:pStyle w:val="Compact"/>
            </w:pPr>
            <w:r>
              <w:t xml:space="preserve">2027F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매출액</w:t>
            </w:r>
          </w:p>
        </w:tc>
        <w:tc>
          <w:tcPr/>
          <w:p>
            <w:pPr>
              <w:pStyle w:val="Compact"/>
            </w:pPr>
            <w:r>
              <w:t xml:space="preserve">764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1,091</w:t>
            </w:r>
          </w:p>
        </w:tc>
        <w:tc>
          <w:tcPr/>
          <w:p>
            <w:pPr>
              <w:pStyle w:val="Compact"/>
            </w:pPr>
            <w:r>
              <w:t xml:space="preserve">1,204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매출원가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788</w:t>
            </w:r>
          </w:p>
        </w:tc>
        <w:tc>
          <w:tcPr/>
          <w:p>
            <w:pPr>
              <w:pStyle w:val="Compact"/>
            </w:pPr>
            <w:r>
              <w:t xml:space="preserve">848</w:t>
            </w:r>
          </w:p>
        </w:tc>
        <w:tc>
          <w:tcPr/>
          <w:p>
            <w:pPr>
              <w:pStyle w:val="Compact"/>
            </w:pPr>
            <w:r>
              <w:t xml:space="preserve">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매출총이익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판관비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영업외손익</w:t>
            </w:r>
          </w:p>
        </w:tc>
        <w:tc>
          <w:tcPr/>
          <w:p>
            <w:pPr>
              <w:pStyle w:val="Compact"/>
            </w:pPr>
            <w:r>
              <w:t xml:space="preserve">- 20</w:t>
            </w:r>
          </w:p>
        </w:tc>
        <w:tc>
          <w:tcPr/>
          <w:p>
            <w:pPr>
              <w:pStyle w:val="Compact"/>
            </w:pPr>
            <w:r>
              <w:t xml:space="preserve">- 2</w:t>
            </w:r>
          </w:p>
        </w:tc>
        <w:tc>
          <w:tcPr/>
          <w:p>
            <w:pPr>
              <w:pStyle w:val="Compact"/>
            </w:pPr>
            <w:r>
              <w:t xml:space="preserve">- 27</w:t>
            </w:r>
          </w:p>
        </w:tc>
        <w:tc>
          <w:tcPr/>
          <w:p>
            <w:pPr>
              <w:pStyle w:val="Compact"/>
            </w:pPr>
            <w:r>
              <w:t xml:space="preserve">- 17</w:t>
            </w:r>
          </w:p>
        </w:tc>
        <w:tc>
          <w:tcPr/>
          <w:p>
            <w:pPr>
              <w:pStyle w:val="Compact"/>
            </w:pPr>
            <w:r>
              <w:t xml:space="preserve">- 11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외환관련손익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이자손익</w:t>
            </w:r>
          </w:p>
        </w:tc>
        <w:tc>
          <w:tcPr/>
          <w:p>
            <w:pPr>
              <w:pStyle w:val="Compact"/>
            </w:pPr>
            <w:r>
              <w:t xml:space="preserve">- 16</w:t>
            </w:r>
          </w:p>
        </w:tc>
        <w:tc>
          <w:tcPr/>
          <w:p>
            <w:pPr>
              <w:pStyle w:val="Compact"/>
            </w:pPr>
            <w:r>
              <w:t xml:space="preserve">- 20</w:t>
            </w:r>
          </w:p>
        </w:tc>
        <w:tc>
          <w:tcPr/>
          <w:p>
            <w:pPr>
              <w:pStyle w:val="Compact"/>
            </w:pPr>
            <w:r>
              <w:t xml:space="preserve">- 22</w:t>
            </w:r>
          </w:p>
        </w:tc>
        <w:tc>
          <w:tcPr/>
          <w:p>
            <w:pPr>
              <w:pStyle w:val="Compact"/>
            </w:pPr>
            <w:r>
              <w:t xml:space="preserve">- 12</w:t>
            </w:r>
          </w:p>
        </w:tc>
        <w:tc>
          <w:tcPr/>
          <w:p>
            <w:pPr>
              <w:pStyle w:val="Compact"/>
            </w:pPr>
            <w:r>
              <w:t xml:space="preserve">- 6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관계기업관련손익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- 4</w:t>
            </w:r>
          </w:p>
        </w:tc>
        <w:tc>
          <w:tcPr/>
          <w:p>
            <w:pPr>
              <w:pStyle w:val="Compact"/>
            </w:pPr>
            <w:r>
              <w:t xml:space="preserve">- 5</w:t>
            </w:r>
          </w:p>
        </w:tc>
        <w:tc>
          <w:tcPr/>
          <w:p>
            <w:pPr>
              <w:pStyle w:val="Compact"/>
            </w:pPr>
            <w:r>
              <w:t xml:space="preserve">- 5</w:t>
            </w:r>
          </w:p>
        </w:tc>
        <w:tc>
          <w:tcPr/>
          <w:p>
            <w:pPr>
              <w:pStyle w:val="Compact"/>
            </w:pPr>
            <w:r>
              <w:t xml:space="preserve">- 5</w:t>
            </w:r>
          </w:p>
        </w:tc>
        <w:tc>
          <w:tcPr/>
          <w:p>
            <w:pPr>
              <w:pStyle w:val="Compact"/>
            </w:pPr>
            <w:r>
              <w:t xml:space="preserve">- 5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법인세비용차감전순손익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법인세비용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계속사업순손익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중단사업순손익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당기순이익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지배지분순이익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포괄순이익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지배지분포괄이익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</w:tbl>
    <w:p>
      <w:pPr>
        <w:pStyle w:val="a2"/>
      </w:pPr>
      <w:r>
        <w:t xml:space="preserve">주: 영업이익 산출 기준은 기존 k-GAAP과 동일 . 즉 , 매출액에서 매출원가와 판관비만 차감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3"/>
        <w:gridCol w:w="866"/>
        <w:gridCol w:w="866"/>
        <w:gridCol w:w="866"/>
        <w:gridCol w:w="1608"/>
        <w:gridCol w:w="1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현금흐름표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(단위: 십억원)</w:t>
            </w:r>
          </w:p>
        </w:tc>
        <w:tc>
          <w:tcPr/>
          <w:p>
            <w:pPr>
              <w:pStyle w:val="Compact"/>
            </w:pPr>
            <w:r>
              <w:t xml:space="preserve">(단위: 십억원)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결산(12월)</w:t>
            </w:r>
          </w:p>
        </w:tc>
        <w:tc>
          <w:tcPr/>
          <w:p>
            <w:pPr>
              <w:pStyle w:val="Compact"/>
            </w:pPr>
            <w:r>
              <w:t xml:space="preserve">2023A</w:t>
            </w:r>
          </w:p>
        </w:tc>
        <w:tc>
          <w:tcPr/>
          <w:p>
            <w:pPr>
              <w:pStyle w:val="Compact"/>
            </w:pPr>
            <w:r>
              <w:t xml:space="preserve">2024A</w:t>
            </w:r>
          </w:p>
        </w:tc>
        <w:tc>
          <w:tcPr/>
          <w:p>
            <w:pPr>
              <w:pStyle w:val="Compact"/>
            </w:pPr>
            <w:r>
              <w:t xml:space="preserve">2025F</w:t>
            </w:r>
          </w:p>
        </w:tc>
        <w:tc>
          <w:tcPr/>
          <w:p>
            <w:pPr>
              <w:pStyle w:val="Compact"/>
            </w:pPr>
            <w:r>
              <w:t xml:space="preserve">2026F</w:t>
            </w:r>
          </w:p>
        </w:tc>
        <w:tc>
          <w:tcPr/>
          <w:p>
            <w:pPr>
              <w:pStyle w:val="Compact"/>
            </w:pPr>
            <w:r>
              <w:t xml:space="preserve">2027F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영업활동 현금흐름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당기순이익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감가상각비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외환손익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- 14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 , 관계기업관련손익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자산부채의 증감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- 69</w:t>
            </w:r>
          </w:p>
        </w:tc>
        <w:tc>
          <w:tcPr/>
          <w:p>
            <w:pPr>
              <w:pStyle w:val="Compact"/>
            </w:pPr>
            <w:r>
              <w:t xml:space="preserve">- 7</w:t>
            </w:r>
          </w:p>
        </w:tc>
        <w:tc>
          <w:tcPr/>
          <w:p>
            <w:pPr>
              <w:pStyle w:val="Compact"/>
            </w:pPr>
            <w:r>
              <w:t xml:space="preserve">- 3</w:t>
            </w:r>
          </w:p>
        </w:tc>
        <w:tc>
          <w:tcPr/>
          <w:p>
            <w:pPr>
              <w:pStyle w:val="Compact"/>
            </w:pPr>
            <w:r>
              <w:t xml:space="preserve">- 4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기타현금흐름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투자활동 현금흐름</w:t>
            </w:r>
          </w:p>
        </w:tc>
        <w:tc>
          <w:tcPr/>
          <w:p>
            <w:pPr>
              <w:pStyle w:val="Compact"/>
            </w:pPr>
            <w:r>
              <w:t xml:space="preserve">-207</w:t>
            </w:r>
          </w:p>
        </w:tc>
        <w:tc>
          <w:tcPr/>
          <w:p>
            <w:pPr>
              <w:pStyle w:val="Compact"/>
            </w:pPr>
            <w:r>
              <w:t xml:space="preserve">-239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투자자산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- 1</w:t>
            </w:r>
          </w:p>
        </w:tc>
        <w:tc>
          <w:tcPr/>
          <w:p>
            <w:pPr>
              <w:pStyle w:val="Compact"/>
            </w:pPr>
            <w:r>
              <w:t xml:space="preserve">- 1</w:t>
            </w:r>
          </w:p>
        </w:tc>
        <w:tc>
          <w:tcPr/>
          <w:p>
            <w:pPr>
              <w:pStyle w:val="Compact"/>
            </w:pPr>
            <w:r>
              <w:t xml:space="preserve">- 1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유형자산 증가 (CAPEX)</w:t>
            </w:r>
          </w:p>
        </w:tc>
        <w:tc>
          <w:tcPr/>
          <w:p>
            <w:pPr>
              <w:pStyle w:val="Compact"/>
            </w:pPr>
            <w:r>
              <w:t xml:space="preserve">- 208</w:t>
            </w:r>
          </w:p>
        </w:tc>
        <w:tc>
          <w:tcPr/>
          <w:p>
            <w:pPr>
              <w:pStyle w:val="Compact"/>
            </w:pPr>
            <w:r>
              <w:t xml:space="preserve">- 249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유형자산 감소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기타현금흐름</w:t>
            </w:r>
          </w:p>
        </w:tc>
        <w:tc>
          <w:tcPr/>
          <w:p>
            <w:pPr>
              <w:pStyle w:val="Compact"/>
            </w:pPr>
            <w:r>
              <w:t xml:space="preserve">- 5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재무활동 현금흐름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-122</w:t>
            </w:r>
          </w:p>
        </w:tc>
        <w:tc>
          <w:tcPr/>
          <w:p>
            <w:pPr>
              <w:pStyle w:val="Compact"/>
            </w:pPr>
            <w:r>
              <w:t xml:space="preserve">-119</w:t>
            </w:r>
          </w:p>
        </w:tc>
        <w:tc>
          <w:tcPr/>
          <w:p>
            <w:pPr>
              <w:pStyle w:val="Compact"/>
            </w:pPr>
            <w:r>
              <w:t xml:space="preserve">-122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단기차입금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사채 및 장기차입금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-45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t xml:space="preserve">-58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현금배당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기타현금흐름</w:t>
            </w:r>
          </w:p>
        </w:tc>
        <w:tc>
          <w:tcPr/>
          <w:p>
            <w:pPr>
              <w:pStyle w:val="Compact"/>
            </w:pPr>
            <w:r>
              <w:t xml:space="preserve">- 19</w:t>
            </w:r>
          </w:p>
        </w:tc>
        <w:tc>
          <w:tcPr/>
          <w:p>
            <w:pPr>
              <w:pStyle w:val="Compact"/>
            </w:pPr>
            <w:r>
              <w:t xml:space="preserve">- 77</w:t>
            </w:r>
          </w:p>
        </w:tc>
        <w:tc>
          <w:tcPr/>
          <w:p>
            <w:pPr>
              <w:pStyle w:val="Compact"/>
            </w:pPr>
            <w:r>
              <w:t xml:space="preserve">- 73</w:t>
            </w:r>
          </w:p>
        </w:tc>
        <w:tc>
          <w:tcPr/>
          <w:p>
            <w:pPr>
              <w:pStyle w:val="Compact"/>
            </w:pPr>
            <w:r>
              <w:t xml:space="preserve">- 65</w:t>
            </w:r>
          </w:p>
        </w:tc>
        <w:tc>
          <w:tcPr/>
          <w:p>
            <w:pPr>
              <w:pStyle w:val="Compact"/>
            </w:pPr>
            <w:r>
              <w:t xml:space="preserve">- 61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연결범위변동 등 기타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현금의 증감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-75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기초 현금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기말 현금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NOPLAT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-57</w:t>
            </w:r>
          </w:p>
        </w:tc>
        <w:tc>
          <w:tcPr/>
          <w:p>
            <w:pPr>
              <w:pStyle w:val="Compact"/>
            </w:pPr>
            <w:r>
              <w:t xml:space="preserve">-188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</w:tr>
    </w:tbl>
    <w:p>
      <w:pPr>
        <w:pStyle w:val="a2"/>
      </w:pPr>
      <w:r>
        <w:t xml:space="preserve">자료: 유안타증권</w:t>
      </w:r>
    </w:p>
    <w:p>
      <w:pPr>
        <w:pStyle w:val="a2"/>
      </w:pPr>
      <w:r>
        <w:t xml:space="preserve">주: 1. EPS, BPS 및 PER, PBR은 지배주주 기준임</w:t>
      </w:r>
    </w:p>
    <w:p>
      <w:pPr>
        <w:numPr>
          <w:ilvl w:val="0"/>
          <w:numId w:val="1005"/>
        </w:numPr>
      </w:pPr>
      <w:r>
        <w:t xml:space="preserve">PER등 valuation 지표의 경우 , 확정치는 연평균 주가 기준 , 전망치는 현재주가 기준임</w:t>
      </w:r>
    </w:p>
    <w:p>
      <w:pPr>
        <w:numPr>
          <w:ilvl w:val="0"/>
          <w:numId w:val="1005"/>
        </w:numPr>
      </w:pPr>
      <w:r>
        <w:t xml:space="preserve">ROE,ROA의경우 , 자본 , 자산 항목은 연초 , 연말 평균을 기준일로 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7"/>
        <w:gridCol w:w="908"/>
        <w:gridCol w:w="908"/>
        <w:gridCol w:w="908"/>
        <w:gridCol w:w="1687"/>
        <w:gridCol w:w="1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재무상태표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(단위: 십억원)</w:t>
            </w:r>
          </w:p>
        </w:tc>
        <w:tc>
          <w:tcPr/>
          <w:p>
            <w:pPr>
              <w:pStyle w:val="Compact"/>
            </w:pPr>
            <w:r>
              <w:t xml:space="preserve">(단위: 십억원)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결산(12월)</w:t>
            </w:r>
          </w:p>
        </w:tc>
        <w:tc>
          <w:tcPr/>
          <w:p>
            <w:pPr>
              <w:pStyle w:val="Compact"/>
            </w:pPr>
            <w:r>
              <w:t xml:space="preserve">2023A</w:t>
            </w:r>
          </w:p>
        </w:tc>
        <w:tc>
          <w:tcPr/>
          <w:p>
            <w:pPr>
              <w:pStyle w:val="Compact"/>
            </w:pPr>
            <w:r>
              <w:t xml:space="preserve">2024A</w:t>
            </w:r>
          </w:p>
        </w:tc>
        <w:tc>
          <w:tcPr/>
          <w:p>
            <w:pPr>
              <w:pStyle w:val="Compact"/>
            </w:pPr>
            <w:r>
              <w:t xml:space="preserve">2025F</w:t>
            </w:r>
          </w:p>
        </w:tc>
        <w:tc>
          <w:tcPr/>
          <w:p>
            <w:pPr>
              <w:pStyle w:val="Compact"/>
            </w:pPr>
            <w:r>
              <w:t xml:space="preserve">2026F</w:t>
            </w:r>
          </w:p>
        </w:tc>
        <w:tc>
          <w:tcPr/>
          <w:p>
            <w:pPr>
              <w:pStyle w:val="Compact"/>
            </w:pPr>
            <w:r>
              <w:t xml:space="preserve">2027F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유동자산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현금및현금성자산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매출채권 및 기타채권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재고자산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비유동자산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유형자산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  <w:tc>
          <w:tcPr/>
          <w:p>
            <w:pPr>
              <w:pStyle w:val="Compact"/>
            </w:pPr>
            <w:r>
              <w:t xml:space="preserve">881</w:t>
            </w:r>
          </w:p>
        </w:tc>
        <w:tc>
          <w:tcPr/>
          <w:p>
            <w:pPr>
              <w:pStyle w:val="Compact"/>
            </w:pPr>
            <w:r>
              <w:t xml:space="preserve">806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관계기업등 지분관련자산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기타투자자산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자산총계</w:t>
            </w:r>
          </w:p>
        </w:tc>
        <w:tc>
          <w:tcPr/>
          <w:p>
            <w:pPr>
              <w:pStyle w:val="Compact"/>
            </w:pPr>
            <w:r>
              <w:t xml:space="preserve">1,009</w:t>
            </w:r>
          </w:p>
        </w:tc>
        <w:tc>
          <w:tcPr/>
          <w:p>
            <w:pPr>
              <w:pStyle w:val="Compact"/>
            </w:pPr>
            <w:r>
              <w:t xml:space="preserve">1,290</w:t>
            </w:r>
          </w:p>
        </w:tc>
        <w:tc>
          <w:tcPr/>
          <w:p>
            <w:pPr>
              <w:pStyle w:val="Compact"/>
            </w:pPr>
            <w:r>
              <w:t xml:space="preserve">1,359</w:t>
            </w:r>
          </w:p>
        </w:tc>
        <w:tc>
          <w:tcPr/>
          <w:p>
            <w:pPr>
              <w:pStyle w:val="Compact"/>
            </w:pPr>
            <w:r>
              <w:t xml:space="preserve">1,403</w:t>
            </w:r>
          </w:p>
        </w:tc>
        <w:tc>
          <w:tcPr/>
          <w:p>
            <w:pPr>
              <w:pStyle w:val="Compact"/>
            </w:pPr>
            <w:r>
              <w:t xml:space="preserve">1,468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유동부채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매입채무 및 기타채무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단기차입금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유동성장기부채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비유동부채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496</w:t>
            </w:r>
          </w:p>
        </w:tc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장기차입금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489</w:t>
            </w:r>
          </w:p>
        </w:tc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사채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부채총계</w:t>
            </w:r>
          </w:p>
        </w:tc>
        <w:tc>
          <w:tcPr/>
          <w:p>
            <w:pPr>
              <w:pStyle w:val="Compact"/>
            </w:pPr>
            <w:r>
              <w:t xml:space="preserve">717</w:t>
            </w:r>
          </w:p>
        </w:tc>
        <w:tc>
          <w:tcPr/>
          <w:p>
            <w:pPr>
              <w:pStyle w:val="Compact"/>
            </w:pPr>
            <w:r>
              <w:t xml:space="preserve">958</w:t>
            </w:r>
          </w:p>
        </w:tc>
        <w:tc>
          <w:tcPr/>
          <w:p>
            <w:pPr>
              <w:pStyle w:val="Compact"/>
            </w:pPr>
            <w:r>
              <w:t xml:space="preserve">988</w:t>
            </w:r>
          </w:p>
        </w:tc>
        <w:tc>
          <w:tcPr/>
          <w:p>
            <w:pPr>
              <w:pStyle w:val="Compact"/>
            </w:pPr>
            <w:r>
              <w:t xml:space="preserve">969</w:t>
            </w:r>
          </w:p>
        </w:tc>
        <w:tc>
          <w:tcPr/>
          <w:p>
            <w:pPr>
              <w:pStyle w:val="Compact"/>
            </w:pPr>
            <w:r>
              <w:t xml:space="preserve">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지배지분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자본금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자본잉여금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이익잉여금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비지배지분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자본총계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순차입금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555</w:t>
            </w:r>
          </w:p>
        </w:tc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총차입금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Valuation 지표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(단위: 원</w:t>
            </w:r>
          </w:p>
        </w:tc>
        <w:tc>
          <w:tcPr/>
          <w:p>
            <w:pPr>
              <w:pStyle w:val="Compact"/>
            </w:pPr>
            <w:r>
              <w:t xml:space="preserve">배,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결산(12월)</w:t>
            </w:r>
          </w:p>
        </w:tc>
        <w:tc>
          <w:tcPr/>
          <w:p>
            <w:pPr>
              <w:pStyle w:val="Compact"/>
            </w:pPr>
            <w:r>
              <w:t xml:space="preserve">2023A</w:t>
            </w:r>
          </w:p>
        </w:tc>
        <w:tc>
          <w:tcPr/>
          <w:p>
            <w:pPr>
              <w:pStyle w:val="Compact"/>
            </w:pPr>
            <w:r>
              <w:t xml:space="preserve">2024A</w:t>
            </w:r>
          </w:p>
        </w:tc>
        <w:tc>
          <w:tcPr/>
          <w:p>
            <w:pPr>
              <w:pStyle w:val="Compact"/>
            </w:pPr>
            <w:r>
              <w:t xml:space="preserve">2025F</w:t>
            </w:r>
          </w:p>
        </w:tc>
        <w:tc>
          <w:tcPr/>
          <w:p>
            <w:pPr>
              <w:pStyle w:val="Compact"/>
            </w:pPr>
            <w:r>
              <w:t xml:space="preserve">2026F</w:t>
            </w:r>
          </w:p>
        </w:tc>
        <w:tc>
          <w:tcPr/>
          <w:p>
            <w:pPr>
              <w:pStyle w:val="Compact"/>
            </w:pPr>
            <w:r>
              <w:t xml:space="preserve">2027F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</w:t>
            </w:r>
          </w:p>
        </w:tc>
        <w:tc>
          <w:tcPr/>
          <w:p>
            <w:pPr>
              <w:pStyle w:val="Compact"/>
            </w:pPr>
            <w:r>
              <w:t xml:space="preserve">1,315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1,064</w:t>
            </w:r>
          </w:p>
        </w:tc>
        <w:tc>
          <w:tcPr/>
          <w:p>
            <w:pPr>
              <w:pStyle w:val="Compact"/>
            </w:pPr>
            <w:r>
              <w:t xml:space="preserve">1,632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BPS</w:t>
            </w:r>
          </w:p>
        </w:tc>
        <w:tc>
          <w:tcPr/>
          <w:p>
            <w:pPr>
              <w:pStyle w:val="Compact"/>
            </w:pPr>
            <w:r>
              <w:t xml:space="preserve">7,523</w:t>
            </w:r>
          </w:p>
        </w:tc>
        <w:tc>
          <w:tcPr/>
          <w:p>
            <w:pPr>
              <w:pStyle w:val="Compact"/>
            </w:pPr>
            <w:r>
              <w:t xml:space="preserve">8,548</w:t>
            </w:r>
          </w:p>
        </w:tc>
        <w:tc>
          <w:tcPr/>
          <w:p>
            <w:pPr>
              <w:pStyle w:val="Compact"/>
            </w:pPr>
            <w:r>
              <w:t xml:space="preserve">9,581</w:t>
            </w:r>
          </w:p>
        </w:tc>
        <w:tc>
          <w:tcPr/>
          <w:p>
            <w:pPr>
              <w:pStyle w:val="Compact"/>
            </w:pPr>
            <w:r>
              <w:t xml:space="preserve">11,191</w:t>
            </w:r>
          </w:p>
        </w:tc>
        <w:tc>
          <w:tcPr/>
          <w:p>
            <w:pPr>
              <w:pStyle w:val="Compact"/>
            </w:pPr>
            <w:r>
              <w:t xml:space="preserve">13,369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EBITDAPS</w:t>
            </w:r>
          </w:p>
        </w:tc>
        <w:tc>
          <w:tcPr/>
          <w:p>
            <w:pPr>
              <w:pStyle w:val="Compact"/>
            </w:pPr>
            <w:r>
              <w:t xml:space="preserve">3,864</w:t>
            </w:r>
          </w:p>
        </w:tc>
        <w:tc>
          <w:tcPr/>
          <w:p>
            <w:pPr>
              <w:pStyle w:val="Compact"/>
            </w:pPr>
            <w:r>
              <w:t xml:space="preserve">3,006</w:t>
            </w:r>
          </w:p>
        </w:tc>
        <w:tc>
          <w:tcPr/>
          <w:p>
            <w:pPr>
              <w:pStyle w:val="Compact"/>
            </w:pPr>
            <w:r>
              <w:t xml:space="preserve">3,278</w:t>
            </w:r>
          </w:p>
        </w:tc>
        <w:tc>
          <w:tcPr/>
          <w:p>
            <w:pPr>
              <w:pStyle w:val="Compact"/>
            </w:pPr>
            <w:r>
              <w:t xml:space="preserve">3,572</w:t>
            </w:r>
          </w:p>
        </w:tc>
        <w:tc>
          <w:tcPr/>
          <w:p>
            <w:pPr>
              <w:pStyle w:val="Compact"/>
            </w:pPr>
            <w:r>
              <w:t xml:space="preserve">3,965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</w:t>
            </w:r>
          </w:p>
        </w:tc>
        <w:tc>
          <w:tcPr/>
          <w:p>
            <w:pPr>
              <w:pStyle w:val="Compact"/>
            </w:pPr>
            <w:r>
              <w:t xml:space="preserve">19,695</w:t>
            </w:r>
          </w:p>
        </w:tc>
        <w:tc>
          <w:tcPr/>
          <w:p>
            <w:pPr>
              <w:pStyle w:val="Compact"/>
            </w:pPr>
            <w:r>
              <w:t xml:space="preserve">20,018</w:t>
            </w:r>
          </w:p>
        </w:tc>
        <w:tc>
          <w:tcPr/>
          <w:p>
            <w:pPr>
              <w:pStyle w:val="Compact"/>
            </w:pPr>
            <w:r>
              <w:t xml:space="preserve">25,715</w:t>
            </w:r>
          </w:p>
        </w:tc>
        <w:tc>
          <w:tcPr/>
          <w:p>
            <w:pPr>
              <w:pStyle w:val="Compact"/>
            </w:pPr>
            <w:r>
              <w:t xml:space="preserve">28,102</w:t>
            </w:r>
          </w:p>
        </w:tc>
        <w:tc>
          <w:tcPr/>
          <w:p>
            <w:pPr>
              <w:pStyle w:val="Compact"/>
            </w:pPr>
            <w:r>
              <w:t xml:space="preserve">31,016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PSR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6"/>
        <w:gridCol w:w="866"/>
        <w:gridCol w:w="866"/>
        <w:gridCol w:w="866"/>
        <w:gridCol w:w="1732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재무비율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(단위: 배, %)</w:t>
            </w:r>
          </w:p>
        </w:tc>
        <w:tc>
          <w:tcPr/>
          <w:p>
            <w:pPr>
              <w:pStyle w:val="Compact"/>
            </w:pPr>
            <w:r>
              <w:t xml:space="preserve">(단위: 배,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결산(12월)</w:t>
            </w:r>
          </w:p>
        </w:tc>
        <w:tc>
          <w:tcPr/>
          <w:p>
            <w:pPr>
              <w:pStyle w:val="Compact"/>
            </w:pPr>
            <w:r>
              <w:t xml:space="preserve">2023A</w:t>
            </w:r>
          </w:p>
        </w:tc>
        <w:tc>
          <w:tcPr/>
          <w:p>
            <w:pPr>
              <w:pStyle w:val="Compact"/>
            </w:pPr>
            <w:r>
              <w:t xml:space="preserve">2024A</w:t>
            </w:r>
          </w:p>
        </w:tc>
        <w:tc>
          <w:tcPr/>
          <w:p>
            <w:pPr>
              <w:pStyle w:val="Compact"/>
            </w:pPr>
            <w:r>
              <w:t xml:space="preserve">2025F</w:t>
            </w:r>
          </w:p>
        </w:tc>
        <w:tc>
          <w:tcPr/>
          <w:p>
            <w:pPr>
              <w:pStyle w:val="Compact"/>
            </w:pPr>
            <w:r>
              <w:t xml:space="preserve">2026F</w:t>
            </w:r>
          </w:p>
        </w:tc>
        <w:tc>
          <w:tcPr/>
          <w:p>
            <w:pPr>
              <w:pStyle w:val="Compact"/>
            </w:pPr>
            <w:r>
              <w:t xml:space="preserve">2027F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매출액 증가율 (%)</w:t>
            </w:r>
          </w:p>
        </w:tc>
        <w:tc>
          <w:tcPr/>
          <w:p>
            <w:pPr>
              <w:pStyle w:val="Compact"/>
            </w:pPr>
            <w:r>
              <w:t xml:space="preserve">27.9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 증가율 (%)</w:t>
            </w:r>
          </w:p>
        </w:tc>
        <w:tc>
          <w:tcPr/>
          <w:p>
            <w:pPr>
              <w:pStyle w:val="Compact"/>
            </w:pPr>
            <w:r>
              <w:t xml:space="preserve">76.4</w:t>
            </w:r>
          </w:p>
        </w:tc>
        <w:tc>
          <w:tcPr/>
          <w:p>
            <w:pPr>
              <w:pStyle w:val="Compact"/>
            </w:pPr>
            <w:r>
              <w:t xml:space="preserve">-61.5</w:t>
            </w:r>
          </w:p>
        </w:tc>
        <w:tc>
          <w:tcPr/>
          <w:p>
            <w:pPr>
              <w:pStyle w:val="Compact"/>
            </w:pPr>
            <w:r>
              <w:t xml:space="preserve">62.7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31.5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지배순이익 증가율 (%)</w:t>
            </w:r>
          </w:p>
        </w:tc>
        <w:tc>
          <w:tcPr/>
          <w:p>
            <w:pPr>
              <w:pStyle w:val="Compact"/>
            </w:pPr>
            <w:r>
              <w:t xml:space="preserve">71.9</w:t>
            </w:r>
          </w:p>
        </w:tc>
        <w:tc>
          <w:tcPr/>
          <w:p>
            <w:pPr>
              <w:pStyle w:val="Compact"/>
            </w:pPr>
            <w:r>
              <w:t xml:space="preserve">-63.5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117.9</w:t>
            </w:r>
          </w:p>
        </w:tc>
        <w:tc>
          <w:tcPr/>
          <w:p>
            <w:pPr>
              <w:pStyle w:val="Compact"/>
            </w:pPr>
            <w:r>
              <w:t xml:space="preserve">53.4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매출총이익률 (%)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영업이익률 (%)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지배순이익률 (%)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마진 (%)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ROIC</w:t>
            </w:r>
          </w:p>
        </w:tc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부채비율 (%)</w:t>
            </w:r>
          </w:p>
        </w:tc>
        <w:tc>
          <w:tcPr/>
          <w:p>
            <w:pPr>
              <w:pStyle w:val="Compact"/>
            </w:pPr>
            <w:r>
              <w:t xml:space="preserve">245.7</w:t>
            </w:r>
          </w:p>
        </w:tc>
        <w:tc>
          <w:tcPr/>
          <w:p>
            <w:pPr>
              <w:pStyle w:val="Compact"/>
            </w:pPr>
            <w:r>
              <w:t xml:space="preserve">288.9</w:t>
            </w:r>
          </w:p>
        </w:tc>
        <w:tc>
          <w:tcPr/>
          <w:p>
            <w:pPr>
              <w:pStyle w:val="Compact"/>
            </w:pPr>
            <w:r>
              <w:t xml:space="preserve">265.7</w:t>
            </w:r>
          </w:p>
        </w:tc>
        <w:tc>
          <w:tcPr/>
          <w:p>
            <w:pPr>
              <w:pStyle w:val="Compact"/>
            </w:pPr>
            <w:r>
              <w:t xml:space="preserve">223.1</w:t>
            </w:r>
          </w:p>
        </w:tc>
        <w:tc>
          <w:tcPr/>
          <w:p>
            <w:pPr>
              <w:pStyle w:val="Compact"/>
            </w:pPr>
            <w:r>
              <w:t xml:space="preserve">182.9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순차입금/자기자본 (%)</w:t>
            </w:r>
          </w:p>
        </w:tc>
        <w:tc>
          <w:tcPr/>
          <w:p>
            <w:pPr>
              <w:pStyle w:val="Compact"/>
            </w:pPr>
            <w:r>
              <w:t xml:space="preserve">105.9</w:t>
            </w:r>
          </w:p>
        </w:tc>
        <w:tc>
          <w:tcPr/>
          <w:p>
            <w:pPr>
              <w:pStyle w:val="Compact"/>
            </w:pPr>
            <w:r>
              <w:t xml:space="preserve">167.4</w:t>
            </w:r>
          </w:p>
        </w:tc>
        <w:tc>
          <w:tcPr/>
          <w:p>
            <w:pPr>
              <w:pStyle w:val="Compact"/>
            </w:pPr>
            <w:r>
              <w:t xml:space="preserve">117.9</w:t>
            </w:r>
          </w:p>
        </w:tc>
        <w:tc>
          <w:tcPr/>
          <w:p>
            <w:pPr>
              <w:pStyle w:val="Compact"/>
            </w:pPr>
            <w:r>
              <w:t xml:space="preserve">71.1</w:t>
            </w:r>
          </w:p>
        </w:tc>
        <w:tc>
          <w:tcPr/>
          <w:p>
            <w:pPr>
              <w:pStyle w:val="Compact"/>
            </w:pPr>
            <w:r>
              <w:t xml:space="preserve">31.7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영업이익/금융비용 (배)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Compact"/>
        <w:numPr>
          <w:ilvl w:val="0"/>
          <w:numId w:val="1006"/>
        </w:numPr>
      </w:pPr>
      <w:r>
        <w:t xml:space="preserve">Page 5 -</w:t>
      </w:r>
    </w:p>
    <w:bookmarkEnd w:id="29"/>
    <w:bookmarkStart w:id="30" w:name="pe-band-chart"/>
    <w:p>
      <w:pPr>
        <w:pStyle w:val="21"/>
      </w:pPr>
      <w:r>
        <w:t xml:space="preserve">P/E band chart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bookmarkEnd w:id="30"/>
    <w:bookmarkStart w:id="31" w:name="아진산업-013310-투자등급-및-목표주가-추이"/>
    <w:p>
      <w:pPr>
        <w:pStyle w:val="21"/>
      </w:pPr>
      <w:r>
        <w:t xml:space="preserve">아진산업 (013310) 투자등급 및 목표주가 추이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9"/>
        <w:gridCol w:w="784"/>
        <w:gridCol w:w="1254"/>
        <w:gridCol w:w="705"/>
        <w:gridCol w:w="862"/>
        <w:gridCol w:w="1646"/>
        <w:gridCol w:w="548"/>
        <w:gridCol w:w="10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(원)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투자 의견</w:t>
            </w:r>
          </w:p>
        </w:tc>
        <w:tc>
          <w:tcPr/>
          <w:p>
            <w:pPr>
              <w:pStyle w:val="Compact"/>
            </w:pPr>
            <w:r>
              <w:t xml:space="preserve">목표가 (원)</w:t>
            </w:r>
          </w:p>
        </w:tc>
        <w:tc>
          <w:tcPr/>
          <w:p>
            <w:pPr>
              <w:pStyle w:val="Compact"/>
            </w:pPr>
            <w:r>
              <w:t xml:space="preserve">목표가격 대상시점 평균주가 대비</w:t>
            </w:r>
          </w:p>
        </w:tc>
        <w:tc>
          <w:tcPr/>
          <w:p>
            <w:pPr>
              <w:pStyle w:val="Compact"/>
            </w:pPr>
            <w:r>
              <w:t xml:space="preserve">괴리율</w:t>
            </w:r>
          </w:p>
        </w:tc>
        <w:tc>
          <w:tcPr/>
          <w:p>
            <w:pPr>
              <w:pStyle w:val="Compact"/>
            </w:pPr>
            <w:r>
              <w:t xml:space="preserve">괴리율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주가 목표주가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투자 의견</w:t>
            </w:r>
          </w:p>
        </w:tc>
        <w:tc>
          <w:tcPr/>
          <w:p>
            <w:pPr>
              <w:pStyle w:val="Compact"/>
            </w:pPr>
            <w:r>
              <w:t xml:space="preserve">목표가 (원)</w:t>
            </w:r>
          </w:p>
        </w:tc>
        <w:tc>
          <w:tcPr/>
          <w:p>
            <w:pPr>
              <w:pStyle w:val="Compact"/>
            </w:pPr>
            <w:r>
              <w:t xml:space="preserve">목표가격 대상시점 평균주가 대비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최고(최저) 주가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2025 - 11 - 28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1년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3,500 4,000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25.05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0 500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23.11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24.11 25.11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자료-유안타증권"/>
    <w:p>
      <w:pPr>
        <w:pStyle w:val="21"/>
      </w:pPr>
      <w:r>
        <w:t xml:space="preserve">자료: 유안타증권</w:t>
      </w:r>
    </w:p>
    <w:p>
      <w:pPr>
        <w:pStyle w:val="FirstParagraph"/>
      </w:pPr>
      <w:r>
        <w:t xml:space="preserve">주: 괴리율 = (실제주가 * -목표주가) / 목표주가 X 100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목표주가 제시 대상시점까지의 ” 평균주가 ”</w:t>
      </w:r>
    </w:p>
    <w:p>
      <w:pPr>
        <w:pStyle w:val="Compact"/>
        <w:numPr>
          <w:ilvl w:val="0"/>
          <w:numId w:val="1009"/>
        </w:numPr>
      </w:pPr>
      <w:r>
        <w:t xml:space="preserve">목표주가 제시 대상시점까지의 ” 최고(또는 최저) 주가 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투자의견 비율(%)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Buy(매수)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Buy(매수)</w:t>
            </w:r>
          </w:p>
        </w:tc>
        <w:tc>
          <w:tcPr/>
          <w:p>
            <w:pPr>
              <w:pStyle w:val="Compact"/>
            </w:pPr>
            <w:r>
              <w:t xml:space="preserve">94.2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Hold(중립)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Sell(비중축소)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a2"/>
      </w:pPr>
      <w:r>
        <w:t xml:space="preserve">주: 기준일 2025-11-28</w:t>
      </w:r>
    </w:p>
    <w:p>
      <w:pPr>
        <w:pStyle w:val="a2"/>
      </w:pPr>
      <w:r>
        <w:t xml:space="preserve">※해외 계열회사 등이 작성하거나 공표한 리포트는 투자등급 비율 산정시 제외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bookmarkEnd w:id="32"/>
    <w:bookmarkStart w:id="33" w:name="pb-band-chart"/>
    <w:p>
      <w:pPr>
        <w:pStyle w:val="21"/>
      </w:pPr>
      <w:r>
        <w:t xml:space="preserve">P/B band chart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p>
      <w:pPr>
        <w:pStyle w:val="Compact"/>
        <w:numPr>
          <w:ilvl w:val="0"/>
          <w:numId w:val="1010"/>
        </w:numPr>
      </w:pPr>
      <w:r>
        <w:t xml:space="preserve">Page 6 -</w:t>
      </w:r>
    </w:p>
    <w:bookmarkEnd w:id="33"/>
    <w:bookmarkStart w:id="34" w:name="appendix"/>
    <w:p>
      <w:pPr>
        <w:pStyle w:val="21"/>
      </w:pPr>
      <w:r>
        <w:t xml:space="preserve">Appendix</w:t>
      </w:r>
    </w:p>
    <w:p>
      <w:pPr>
        <w:pStyle w:val="Compact"/>
        <w:numPr>
          <w:ilvl w:val="0"/>
          <w:numId w:val="1011"/>
        </w:numPr>
      </w:pPr>
      <w:r>
        <w:t xml:space="preserve"> 이 자료에 게재된 내용들은 본인의 의견을 정확하게 반영하고 있으며 타인의 부당한 압력이나 간섭 없이 작성되었음을 확인함. (작성자 : 김용민)</w:t>
      </w:r>
    </w:p>
    <w:p>
      <w:pPr>
        <w:pStyle w:val="Compact"/>
        <w:numPr>
          <w:ilvl w:val="0"/>
          <w:numId w:val="1011"/>
        </w:numPr>
      </w:pPr>
      <w:r>
        <w:t xml:space="preserve"> 당사는 자료공표일 현재 동 종목 발행주식을 1%이상 보유하고 있지 않습니다 .</w:t>
      </w:r>
    </w:p>
    <w:p>
      <w:pPr>
        <w:pStyle w:val="Compact"/>
        <w:numPr>
          <w:ilvl w:val="0"/>
          <w:numId w:val="1011"/>
        </w:numPr>
      </w:pPr>
      <w:r>
        <w:t xml:space="preserve"> 당사는 자료공표일 현재 해당 기업과 관련하여 특별한 이해관계가 없습니다 .</w:t>
      </w:r>
    </w:p>
    <w:p>
      <w:pPr>
        <w:pStyle w:val="Compact"/>
        <w:numPr>
          <w:ilvl w:val="0"/>
          <w:numId w:val="1011"/>
        </w:numPr>
      </w:pPr>
      <w:r>
        <w:t xml:space="preserve"> 당사는 동 자료를 전문투자자 및 제 3자에게 사전 제공한 사실이 없습니다 .</w:t>
      </w:r>
    </w:p>
    <w:p>
      <w:pPr>
        <w:pStyle w:val="Compact"/>
        <w:numPr>
          <w:ilvl w:val="0"/>
          <w:numId w:val="1011"/>
        </w:numPr>
      </w:pPr>
      <w:r>
        <w:t xml:space="preserve"> 동 자료의 금융투자분석사와 배우자는 자료공표일 현재 대상법인의 주식관련 금융투자상품 및 권리를 보유하고 있지 않습니다 .</w:t>
      </w:r>
    </w:p>
    <w:p>
      <w:pPr>
        <w:pStyle w:val="Compact"/>
        <w:numPr>
          <w:ilvl w:val="0"/>
          <w:numId w:val="1011"/>
        </w:numPr>
      </w:pPr>
      <w:r>
        <w:t xml:space="preserve"> 종목 투자등급 (Guide Line): 투자기간 12개월 , 절대수익률 기준 투자등급 4단계(Strong Buy, Buy, Hold, Sell)로 구분한다</w:t>
      </w:r>
    </w:p>
    <w:p>
      <w:pPr>
        <w:pStyle w:val="Compact"/>
        <w:numPr>
          <w:ilvl w:val="0"/>
          <w:numId w:val="1011"/>
        </w:numPr>
      </w:pPr>
      <w:r>
        <w:t xml:space="preserve"> Strong Buy: +30%이상 Buy: 15%이상, Hold: -15% 미만 ~ +15% 미만, Sell: -15%이하로 구분</w:t>
      </w:r>
    </w:p>
    <w:p>
      <w:pPr>
        <w:pStyle w:val="Compact"/>
        <w:numPr>
          <w:ilvl w:val="0"/>
          <w:numId w:val="1011"/>
        </w:numPr>
      </w:pPr>
      <w:r>
        <w:t xml:space="preserve"> 업종 투자등급 Guide Line: 투자기간 12개월 , 시가총액 대비 업종 비중 기준의 투자등급 3단계(Overweight, Neutral, Underweight)로 구분</w:t>
      </w:r>
    </w:p>
    <w:p>
      <w:pPr>
        <w:pStyle w:val="Compact"/>
        <w:numPr>
          <w:ilvl w:val="0"/>
          <w:numId w:val="1011"/>
        </w:numPr>
      </w:pPr>
      <w:r>
        <w:t xml:space="preserve"> 2014년 2월21일부터 당사 투자등급이 기존 3단계 + 2단계에서 4단계로 변경</w:t>
      </w:r>
    </w:p>
    <w:p>
      <w:pPr>
        <w:pStyle w:val="FirstParagraph"/>
      </w:pPr>
      <w:r>
        <w:t xml:space="preserve">본 자료는 투자자의 투자를 권유할 목적으로 작성된 것이 아니라 , 투자자의 투자판단에 참고가 되는 정보제공을 목적으로 작성된 참고 자료입니다 . 본 자료는 금융투자분석사가 신뢰할만 하다고 판단되는 자료와 정보에 의거하여 만들어진 것이지만 , 당사와 금융투자분석사가 그 정확성이나 완전성을 보장할 수는 없습 니다 . 따라서 , 본 자료를 참고한 투자자의 투자의사결정은 전적으로 투자자 자신의 판단과 책임하에 이루어져야 하며 , 당사는 본 자료의 내용에 의거하여 행해 진 일체의 투자행위 결과에 대하여 어떠한 책임도 지지 않습니다 . 또한 , 본 자료는 당사 투자자에게만 제공되는 자료로 당사의 동의 없이 본 자료를 무단으로 복제 전송 인용 배포하는 행위는 법으로 금지되어 있습니다 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</w:t>
            </w:r>
          </w:p>
        </w:tc>
      </w:tr>
    </w:tbl>
    <w:p>
      <w:pPr>
        <w:pStyle w:val="ImageCaption"/>
      </w:pPr>
      <w:r>
        <w:t xml:space="preserve">Image</w:t>
      </w:r>
    </w:p>
    <w:bookmarkEnd w:id="34"/>
    <w:sectPr w:rsidR="008853C4" w:rsidRPr="000A16BA" w:rsidSect="004B2039">
      <w:footerReference r:id="rId11" w:type="default"/>
      <w:headerReference r:id="rId12" w:type="first"/>
      <w:footerReference r:id="rId13" w:type="first"/>
      <w:type w:val="continuous"/>
      <w:pgSz w:code="9" w:h="16838" w:w="11906"/>
      <w:pgMar w:bottom="864" w:footer="432" w:gutter="0" w:header="432" w:left="864" w:right="821" w:top="86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hanging="360" w:left="720"/>
      </w:pPr>
      <w:rPr>
        <w:rFonts w:asciiTheme="majorHAnsi" w:hAnsiTheme="majorHAnsi" w:hint="default"/>
      </w:rPr>
    </w:lvl>
  </w:abstractNum>
  <w:abstractNum w15:restartNumberingAfterBreak="0" w:abstractNumId="1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hanging="360" w:left="1080"/>
      </w:pPr>
      <w:rPr>
        <w:rFonts w:ascii="Arial" w:hAnsi="Arial" w:hint="default"/>
      </w:rPr>
    </w:lvl>
  </w:abstractNum>
  <w:abstractNum w15:restartNumberingAfterBreak="0" w:abstractNumId="2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hanging="360" w:left="360"/>
      </w:pPr>
      <w:rPr>
        <w:rFonts w:asciiTheme="majorHAnsi" w:hAnsiTheme="majorHAnsi" w:hint="default"/>
      </w:rPr>
    </w:lvl>
  </w:abstractNum>
  <w:abstractNum w15:restartNumberingAfterBreak="0" w:abstractNumId="3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</w:rPr>
    </w:lvl>
    <w:lvl w:ilvl="1">
      <w:start w:val="1"/>
      <w:numFmt w:val="bullet"/>
      <w:pStyle w:val="20"/>
      <w:lvlText w:val="–"/>
      <w:lvlJc w:val="left"/>
      <w:pPr>
        <w:ind w:firstLine="273" w:left="821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pos="547" w:val="num"/>
        </w:tabs>
        <w:ind w:hanging="273" w:left="547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hanging="360" w:left="1181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hanging="360" w:left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hanging="360" w:left="72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7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pos="720" w:val="num"/>
        </w:tabs>
        <w:ind w:hanging="360" w:left="72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pos="360" w:val="num"/>
        </w:tabs>
        <w:ind w:hanging="360" w:left="360"/>
      </w:pPr>
      <w:rPr>
        <w:rFonts w:asciiTheme="minorHAnsi" w:hAnsiTheme="minorHAnsi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16cid:durableId="253438488" w:numId="1">
    <w:abstractNumId w:val="8"/>
  </w:num>
  <w:num w16cid:durableId="354039856" w:numId="2">
    <w:abstractNumId w:val="7"/>
  </w:num>
  <w:num w16cid:durableId="1341615510" w:numId="3">
    <w:abstractNumId w:val="2"/>
  </w:num>
  <w:num w16cid:durableId="1767964964" w:numId="4">
    <w:abstractNumId w:val="0"/>
  </w:num>
  <w:num w16cid:durableId="1825509643" w:numId="5">
    <w:abstractNumId w:val="5"/>
  </w:num>
  <w:num w16cid:durableId="2147043584" w:numId="6">
    <w:abstractNumId w:val="6"/>
  </w:num>
  <w:num w16cid:durableId="1330982354" w:numId="7">
    <w:abstractNumId w:val="1"/>
  </w:num>
  <w:num w16cid:durableId="1584215922" w:numId="8">
    <w:abstractNumId w:val="4"/>
  </w:num>
  <w:num w16cid:durableId="1115440784" w:numId="9">
    <w:abstractNumId w:val="3"/>
  </w:num>
  <w:num w16cid:durableId="1527449130" w:numId="10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removePersonalInformation/>
  <w:removeDateAndTime/>
  <w:embedSystemFonts/>
  <w:bordersDoNotSurroundHeader/>
  <w:bordersDoNotSurroundFooter/>
  <w:proofState w:grammar="clean" w:spelling="clean"/>
  <w:attachedTemplate r:id="rId1"/>
  <w:stylePaneFormatFilter w:val="0004"/>
  <w:doNotTrackMoves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5"/>
    <w:lsdException w:name="heading 1" w:qFormat="1" w:uiPriority="9"/>
    <w:lsdException w:name="heading 2" w:qFormat="1" w:semiHidden="1" w:uiPriority="9" w:unhideWhenUsed="1"/>
    <w:lsdException w:name="heading 3" w:qFormat="1" w:semiHidden="1" w:uiPriority="9"/>
    <w:lsdException w:name="heading 4" w:qFormat="1" w:semiHidden="1" w:uiPriority="9"/>
    <w:lsdException w:name="heading 5" w:qFormat="1" w:semiHidden="1" w:uiPriority="11"/>
    <w:lsdException w:name="heading 6" w:qFormat="1" w:semiHidden="1" w:uiPriority="11"/>
    <w:lsdException w:name="heading 7" w:qFormat="1" w:semiHidden="1" w:uiPriority="11"/>
    <w:lsdException w:name="heading 8" w:qFormat="1" w:semiHidden="1" w:uiPriority="11"/>
    <w:lsdException w:name="heading 9" w:qFormat="1" w:semiHidden="1" w:uiPriority="1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qFormat="1" w:semiHidden="1" w:uiPriority="98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iPriority="6" w:unhideWhenUsed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iPriority="8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qFormat="1" w:semiHidden="1" w:uiPriority="4" w:unhideWhenUsed="1"/>
    <w:lsdException w:name="Signature" w:qFormat="1" w:semiHidden="1" w:uiPriority="3" w:unhideWhenUsed="1"/>
    <w:lsdException w:name="Default Paragraph Font" w:semiHidden="1" w:uiPriority="1" w:unhideWhenUsed="1"/>
    <w:lsdException w:name="Body Text" w:qFormat="1" w:semiHidden="1" w:uiPriority="6" w:unhideWhenUsed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qFormat="1" w:semiHidden="1" w:uiPriority="3" w:unhideWhenUsed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qFormat="1" w:semiHidden="1" w:uiPriority="22"/>
    <w:lsdException w:name="Emphasis" w:qFormat="1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/>
    <w:lsdException w:name="Quote" w:qFormat="1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qFormat="1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next w:val="a2"/>
    <w:semiHidden/>
    <w:rsid w:val="000A16BA"/>
    <w:pPr>
      <w:spacing w:after="280" w:line="252" w:lineRule="auto"/>
    </w:pPr>
    <w:rPr>
      <w:rFonts w:cs="Times New Roman" w:eastAsia="Times New Roman"/>
      <w:szCs w:val="24"/>
      <w:lang w:val="en-GB"/>
    </w:rPr>
  </w:style>
  <w:style w:styleId="1" w:type="paragraph">
    <w:name w:val="heading 1"/>
    <w:basedOn w:val="NormalHeading"/>
    <w:next w:val="a2"/>
    <w:link w:val="1Char"/>
    <w:uiPriority w:val="11"/>
    <w:qFormat/>
    <w:rsid w:val="002D49DF"/>
    <w:pPr>
      <w:keepNext/>
      <w:tabs>
        <w:tab w:pos="288" w:val="left"/>
        <w:tab w:pos="576" w:val="left"/>
        <w:tab w:pos="864" w:val="left"/>
        <w:tab w:pos="1152" w:val="left"/>
        <w:tab w:pos="1440" w:val="left"/>
      </w:tabs>
      <w:snapToGrid w:val="0"/>
      <w:spacing w:after="160" w:before="440"/>
      <w:outlineLvl w:val="0"/>
    </w:pPr>
    <w:rPr>
      <w:rFonts w:asciiTheme="minorHAnsi" w:hAnsiTheme="minorHAnsi"/>
      <w:b/>
      <w:spacing w:val="-5"/>
      <w:sz w:val="36"/>
      <w:szCs w:val="36"/>
    </w:rPr>
  </w:style>
  <w:style w:styleId="21" w:type="paragraph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styleId="30" w:type="paragraph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cstheme="majorBidi" w:eastAsiaTheme="majorEastAsia" w:hAnsiTheme="minorHAnsi"/>
      <w:b/>
      <w:bCs/>
      <w:sz w:val="28"/>
      <w:szCs w:val="26"/>
    </w:rPr>
  </w:style>
  <w:style w:styleId="4" w:type="paragraph">
    <w:name w:val="heading 4"/>
    <w:basedOn w:val="a1"/>
    <w:next w:val="a1"/>
    <w:link w:val="4Char"/>
    <w:uiPriority w:val="11"/>
    <w:qFormat/>
    <w:rsid w:val="002D49DF"/>
    <w:pPr>
      <w:keepNext/>
      <w:keepLines/>
      <w:spacing w:after="160" w:before="140" w:line="288" w:lineRule="auto"/>
      <w:outlineLvl w:val="3"/>
    </w:pPr>
    <w:rPr>
      <w:rFonts w:cstheme="majorBidi" w:eastAsiaTheme="majorEastAsia"/>
      <w:b/>
      <w:bCs/>
      <w:iCs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customStyle="1" w:styleId="1Char" w:type="character">
    <w:name w:val="제목 1 Char"/>
    <w:basedOn w:val="a3"/>
    <w:link w:val="1"/>
    <w:uiPriority w:val="11"/>
    <w:rsid w:val="00352CD5"/>
    <w:rPr>
      <w:rFonts w:cs="Times New Roman" w:eastAsia="Times New Roman"/>
      <w:b/>
      <w:spacing w:val="-5"/>
      <w:sz w:val="36"/>
      <w:szCs w:val="36"/>
    </w:rPr>
  </w:style>
  <w:style w:customStyle="1" w:styleId="2Char" w:type="character">
    <w:name w:val="제목 2 Char"/>
    <w:basedOn w:val="a3"/>
    <w:link w:val="21"/>
    <w:uiPriority w:val="11"/>
    <w:rsid w:val="008853C4"/>
    <w:rPr>
      <w:rFonts w:cs="Times New Roman" w:eastAsia="Times New Roman"/>
      <w:b/>
      <w:spacing w:val="-5"/>
      <w:sz w:val="32"/>
      <w:szCs w:val="30"/>
    </w:rPr>
  </w:style>
  <w:style w:styleId="a6" w:type="paragraph">
    <w:name w:val="footer"/>
    <w:basedOn w:val="NormalLetterhead"/>
    <w:link w:val="Char"/>
    <w:uiPriority w:val="91"/>
    <w:rsid w:val="00A561AD"/>
    <w:pPr>
      <w:tabs>
        <w:tab w:pos="864" w:val="left"/>
        <w:tab w:pos="10170" w:val="right"/>
      </w:tabs>
      <w:snapToGrid w:val="0"/>
      <w:contextualSpacing w:val="0"/>
    </w:pPr>
    <w:rPr>
      <w:noProof/>
      <w:color w:themeColor="text1" w:val="000000"/>
      <w:spacing w:val="-1"/>
      <w:lang w:val="en-GB"/>
    </w:rPr>
  </w:style>
  <w:style w:customStyle="1" w:styleId="Char" w:type="character">
    <w:name w:val="바닥글 Char"/>
    <w:basedOn w:val="a3"/>
    <w:link w:val="a6"/>
    <w:uiPriority w:val="91"/>
    <w:rsid w:val="00A561AD"/>
    <w:rPr>
      <w:rFonts w:cs="Times New Roman" w:eastAsia="Times New Roman"/>
      <w:noProof/>
      <w:color w:themeColor="text1" w:val="000000"/>
      <w:spacing w:val="-1"/>
      <w:sz w:val="18"/>
      <w:szCs w:val="24"/>
      <w:lang w:val="en-GB"/>
    </w:rPr>
  </w:style>
  <w:style w:styleId="a7" w:type="paragraph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customStyle="1" w:styleId="Char0" w:type="character">
    <w:name w:val="머리글 Char"/>
    <w:basedOn w:val="a3"/>
    <w:link w:val="a7"/>
    <w:uiPriority w:val="90"/>
    <w:rsid w:val="000A16BA"/>
    <w:rPr>
      <w:rFonts w:asciiTheme="majorHAnsi" w:cstheme="minorHAnsi" w:eastAsia="Times New Roman" w:hAnsiTheme="majorHAnsi"/>
      <w:color w:val="343434"/>
      <w:szCs w:val="20"/>
    </w:rPr>
  </w:style>
  <w:style w:customStyle="1" w:styleId="ListAlpha" w:type="paragraph">
    <w:name w:val="List Alpha"/>
    <w:basedOn w:val="NormalBody"/>
    <w:uiPriority w:val="9"/>
    <w:rsid w:val="008853C4"/>
    <w:pPr>
      <w:numPr>
        <w:numId w:val="5"/>
      </w:numPr>
      <w:ind w:hanging="432" w:left="432"/>
    </w:pPr>
  </w:style>
  <w:style w:styleId="a2" w:type="paragraph">
    <w:name w:val="Body Text"/>
    <w:basedOn w:val="NormalBody"/>
    <w:link w:val="Char1"/>
    <w:uiPriority w:val="6"/>
    <w:qFormat/>
    <w:rsid w:val="00352C4B"/>
    <w:pPr>
      <w:tabs>
        <w:tab w:pos="360" w:val="left"/>
      </w:tabs>
      <w:snapToGrid w:val="0"/>
    </w:pPr>
    <w:rPr>
      <w:rFonts w:cstheme="minorHAnsi"/>
      <w:szCs w:val="20"/>
    </w:rPr>
  </w:style>
  <w:style w:customStyle="1" w:styleId="Char1" w:type="character">
    <w:name w:val="본문 Char"/>
    <w:basedOn w:val="a3"/>
    <w:link w:val="a2"/>
    <w:uiPriority w:val="6"/>
    <w:rsid w:val="00352C4B"/>
    <w:rPr>
      <w:rFonts w:asciiTheme="majorHAnsi" w:cstheme="minorHAnsi" w:eastAsia="Times New Roman" w:hAnsiTheme="majorHAnsi"/>
      <w:szCs w:val="20"/>
    </w:rPr>
  </w:style>
  <w:style w:styleId="a0" w:type="paragraph">
    <w:name w:val="List Bullet"/>
    <w:basedOn w:val="NormalBody"/>
    <w:uiPriority w:val="6"/>
    <w:qFormat/>
    <w:rsid w:val="00CD2B08"/>
    <w:pPr>
      <w:numPr>
        <w:numId w:val="10"/>
      </w:numPr>
      <w:tabs>
        <w:tab w:pos="360" w:val="clear"/>
      </w:tabs>
      <w:snapToGrid w:val="0"/>
      <w:ind w:hanging="432" w:left="432"/>
    </w:pPr>
    <w:rPr>
      <w:rFonts w:cstheme="minorBidi" w:eastAsiaTheme="minorHAnsi"/>
      <w:spacing w:val="-2"/>
      <w:szCs w:val="22"/>
    </w:rPr>
  </w:style>
  <w:style w:styleId="a" w:type="paragraph">
    <w:name w:val="List Number"/>
    <w:basedOn w:val="NormalBody"/>
    <w:uiPriority w:val="8"/>
    <w:rsid w:val="008853C4"/>
    <w:pPr>
      <w:numPr>
        <w:numId w:val="3"/>
      </w:numPr>
      <w:snapToGrid w:val="0"/>
      <w:ind w:hanging="432" w:left="432"/>
    </w:pPr>
    <w:rPr>
      <w:rFonts w:cstheme="minorBidi" w:eastAsiaTheme="minorHAnsi"/>
      <w:szCs w:val="22"/>
    </w:rPr>
  </w:style>
  <w:style w:customStyle="1" w:styleId="Address" w:type="paragraph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styleId="a8" w:type="paragraph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customStyle="1" w:styleId="Char2" w:type="character">
    <w:name w:val="인사말 Char"/>
    <w:basedOn w:val="a3"/>
    <w:link w:val="a8"/>
    <w:uiPriority w:val="93"/>
    <w:rsid w:val="000A16BA"/>
    <w:rPr>
      <w:rFonts w:asciiTheme="majorHAnsi" w:cs="Times New Roman" w:eastAsia="Times New Roman" w:hAnsiTheme="majorHAnsi"/>
      <w:szCs w:val="24"/>
    </w:rPr>
  </w:style>
  <w:style w:customStyle="1" w:styleId="CCEnclosure" w:type="paragraph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styleId="a9" w:type="paragraph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customStyle="1" w:styleId="Char3" w:type="character">
    <w:name w:val="맺음말 Char"/>
    <w:basedOn w:val="a3"/>
    <w:link w:val="a9"/>
    <w:uiPriority w:val="94"/>
    <w:rsid w:val="000A16BA"/>
    <w:rPr>
      <w:rFonts w:asciiTheme="majorHAnsi" w:cs="Times New Roman" w:eastAsia="Times New Roman" w:hAnsiTheme="majorHAnsi"/>
      <w:szCs w:val="24"/>
    </w:rPr>
  </w:style>
  <w:style w:styleId="aa" w:type="paragraph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customStyle="1" w:styleId="Char4" w:type="character">
    <w:name w:val="서명 Char"/>
    <w:basedOn w:val="a3"/>
    <w:link w:val="aa"/>
    <w:uiPriority w:val="94"/>
    <w:rsid w:val="000A16BA"/>
    <w:rPr>
      <w:rFonts w:asciiTheme="majorHAnsi" w:cs="Times New Roman" w:eastAsia="Times New Roman" w:hAnsiTheme="majorHAnsi"/>
      <w:szCs w:val="24"/>
    </w:rPr>
  </w:style>
  <w:style w:styleId="ab" w:type="paragraph">
    <w:name w:val="Date"/>
    <w:basedOn w:val="NormalBody"/>
    <w:next w:val="Address"/>
    <w:link w:val="Char5"/>
    <w:uiPriority w:val="92"/>
    <w:rsid w:val="005F11A0"/>
    <w:pPr>
      <w:snapToGrid w:val="0"/>
    </w:pPr>
  </w:style>
  <w:style w:customStyle="1" w:styleId="Char5" w:type="character">
    <w:name w:val="날짜 Char"/>
    <w:basedOn w:val="a3"/>
    <w:link w:val="ab"/>
    <w:uiPriority w:val="92"/>
    <w:rsid w:val="000A16BA"/>
    <w:rPr>
      <w:rFonts w:asciiTheme="majorHAnsi" w:cs="Times New Roman" w:eastAsia="Times New Roman" w:hAnsiTheme="majorHAnsi"/>
      <w:szCs w:val="24"/>
    </w:rPr>
  </w:style>
  <w:style w:styleId="20" w:type="paragraph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hanging="432" w:left="1296"/>
    </w:pPr>
    <w:rPr>
      <w:rFonts w:cstheme="minorBidi" w:eastAsiaTheme="minorHAnsi"/>
      <w:spacing w:val="-2"/>
      <w:szCs w:val="22"/>
    </w:rPr>
  </w:style>
  <w:style w:customStyle="1" w:styleId="ListAlpha2" w:type="paragraph">
    <w:name w:val="List Alpha 2"/>
    <w:basedOn w:val="NormalBody"/>
    <w:uiPriority w:val="9"/>
    <w:rsid w:val="008853C4"/>
    <w:pPr>
      <w:numPr>
        <w:ilvl w:val="1"/>
        <w:numId w:val="5"/>
      </w:numPr>
      <w:ind w:hanging="432" w:left="1296"/>
    </w:pPr>
  </w:style>
  <w:style w:styleId="ac" w:type="paragraph">
    <w:name w:val="List Continue"/>
    <w:basedOn w:val="NormalBody"/>
    <w:uiPriority w:val="6"/>
    <w:rsid w:val="00CD2B08"/>
    <w:pPr>
      <w:tabs>
        <w:tab w:pos="720" w:val="left"/>
      </w:tabs>
      <w:snapToGrid w:val="0"/>
      <w:ind w:left="432"/>
    </w:pPr>
    <w:rPr>
      <w:szCs w:val="20"/>
    </w:rPr>
  </w:style>
  <w:style w:styleId="22" w:type="paragraph">
    <w:name w:val="List Continue 2"/>
    <w:basedOn w:val="ac"/>
    <w:uiPriority w:val="7"/>
    <w:rsid w:val="00CD2B08"/>
    <w:pPr>
      <w:tabs>
        <w:tab w:pos="720" w:val="clear"/>
      </w:tabs>
      <w:ind w:left="1296"/>
    </w:pPr>
  </w:style>
  <w:style w:styleId="2" w:type="paragraph">
    <w:name w:val="List Number 2"/>
    <w:basedOn w:val="NormalBody"/>
    <w:uiPriority w:val="8"/>
    <w:rsid w:val="008853C4"/>
    <w:pPr>
      <w:numPr>
        <w:numId w:val="4"/>
      </w:numPr>
      <w:snapToGrid w:val="0"/>
      <w:ind w:hanging="432" w:left="1296"/>
    </w:pPr>
    <w:rPr>
      <w:rFonts w:cstheme="minorBidi" w:eastAsiaTheme="minorHAnsi"/>
      <w:szCs w:val="22"/>
    </w:rPr>
  </w:style>
  <w:style w:customStyle="1" w:styleId="BodyTextBold" w:type="paragraph">
    <w:name w:val="Body Text Bold"/>
    <w:basedOn w:val="NormalBody"/>
    <w:uiPriority w:val="6"/>
    <w:rsid w:val="00481A3D"/>
    <w:rPr>
      <w:b/>
      <w:bCs/>
    </w:rPr>
  </w:style>
  <w:style w:styleId="ad" w:type="paragraph">
    <w:name w:val="Normal (Web)"/>
    <w:basedOn w:val="a1"/>
    <w:semiHidden/>
    <w:unhideWhenUsed/>
    <w:rsid w:val="00323D4A"/>
  </w:style>
  <w:style w:customStyle="1" w:styleId="NormalBody" w:type="paragraph">
    <w:name w:val="(Normal Body)"/>
    <w:semiHidden/>
    <w:rsid w:val="00CD2B08"/>
    <w:pPr>
      <w:spacing w:after="300" w:line="360" w:lineRule="auto"/>
    </w:pPr>
    <w:rPr>
      <w:rFonts w:asciiTheme="majorHAnsi" w:cs="Times New Roman" w:eastAsia="Times New Roman" w:hAnsiTheme="majorHAnsi"/>
      <w:szCs w:val="24"/>
    </w:rPr>
  </w:style>
  <w:style w:customStyle="1" w:styleId="NormalHeading" w:type="paragraph">
    <w:name w:val="(Normal Heading)"/>
    <w:semiHidden/>
    <w:rsid w:val="0096045D"/>
    <w:pPr>
      <w:spacing w:after="300" w:line="288" w:lineRule="auto"/>
    </w:pPr>
    <w:rPr>
      <w:rFonts w:asciiTheme="majorHAnsi" w:cs="Times New Roman" w:eastAsia="Times New Roman" w:hAnsiTheme="majorHAnsi"/>
      <w:szCs w:val="24"/>
    </w:rPr>
  </w:style>
  <w:style w:customStyle="1" w:styleId="NormalLetterhead" w:type="paragraph">
    <w:name w:val="(Normal Letterhead)"/>
    <w:next w:val="Letterhead"/>
    <w:semiHidden/>
    <w:rsid w:val="00CD2B08"/>
    <w:pPr>
      <w:spacing w:after="200" w:line="360" w:lineRule="auto"/>
      <w:contextualSpacing/>
    </w:pPr>
    <w:rPr>
      <w:rFonts w:cs="Times New Roman" w:eastAsia="Times New Roman"/>
      <w:sz w:val="18"/>
      <w:szCs w:val="24"/>
    </w:rPr>
  </w:style>
  <w:style w:styleId="ae" w:type="paragraph">
    <w:name w:val="Subtitle"/>
    <w:basedOn w:val="NormalBody"/>
    <w:next w:val="a1"/>
    <w:link w:val="Char6"/>
    <w:uiPriority w:val="14"/>
    <w:rsid w:val="00485056"/>
    <w:pPr>
      <w:numPr>
        <w:ilvl w:val="1"/>
      </w:numPr>
      <w:spacing w:after="140" w:before="140" w:line="240" w:lineRule="auto"/>
    </w:pPr>
    <w:rPr>
      <w:rFonts w:asciiTheme="minorHAnsi" w:cstheme="minorBidi" w:eastAsiaTheme="minorEastAsia" w:hAnsiTheme="minorHAnsi"/>
      <w:b/>
      <w:bCs/>
      <w:spacing w:val="15"/>
      <w:sz w:val="32"/>
      <w:szCs w:val="22"/>
    </w:rPr>
  </w:style>
  <w:style w:customStyle="1" w:styleId="Char6" w:type="character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styleId="TOC" w:type="paragraph">
    <w:name w:val="TOC Heading"/>
    <w:basedOn w:val="1"/>
    <w:next w:val="10"/>
    <w:uiPriority w:val="38"/>
    <w:unhideWhenUsed/>
    <w:qFormat/>
    <w:rsid w:val="008853C4"/>
    <w:pPr>
      <w:keepLines/>
      <w:tabs>
        <w:tab w:pos="288" w:val="clear"/>
        <w:tab w:pos="576" w:val="clear"/>
        <w:tab w:pos="864" w:val="clear"/>
        <w:tab w:pos="1152" w:val="clear"/>
        <w:tab w:pos="1440" w:val="clear"/>
      </w:tabs>
      <w:snapToGrid/>
      <w:spacing w:after="600" w:before="0"/>
      <w:outlineLvl w:val="9"/>
    </w:pPr>
    <w:rPr>
      <w:rFonts w:cstheme="majorBidi" w:eastAsiaTheme="majorEastAsia"/>
      <w:bCs/>
      <w:spacing w:val="0"/>
      <w:sz w:val="32"/>
      <w:szCs w:val="32"/>
    </w:rPr>
  </w:style>
  <w:style w:styleId="10" w:type="paragraph">
    <w:name w:val="toc 1"/>
    <w:basedOn w:val="NormalBody"/>
    <w:autoRedefine/>
    <w:uiPriority w:val="39"/>
    <w:unhideWhenUsed/>
    <w:rsid w:val="008853C4"/>
    <w:pPr>
      <w:tabs>
        <w:tab w:leader="dot" w:pos="10545" w:val="right"/>
      </w:tabs>
    </w:pPr>
  </w:style>
  <w:style w:styleId="23" w:type="paragraph">
    <w:name w:val="toc 2"/>
    <w:basedOn w:val="NormalBody"/>
    <w:autoRedefine/>
    <w:uiPriority w:val="39"/>
    <w:unhideWhenUsed/>
    <w:rsid w:val="008853C4"/>
    <w:pPr>
      <w:ind w:left="432"/>
    </w:pPr>
  </w:style>
  <w:style w:styleId="31" w:type="paragraph">
    <w:name w:val="toc 3"/>
    <w:basedOn w:val="NormalBody"/>
    <w:next w:val="a1"/>
    <w:uiPriority w:val="39"/>
    <w:unhideWhenUsed/>
    <w:rsid w:val="008853C4"/>
    <w:pPr>
      <w:ind w:left="864"/>
    </w:pPr>
  </w:style>
  <w:style w:styleId="af" w:type="paragraph">
    <w:name w:val="toa heading"/>
    <w:basedOn w:val="NormalHeading"/>
    <w:next w:val="a1"/>
    <w:uiPriority w:val="99"/>
    <w:semiHidden/>
    <w:unhideWhenUsed/>
    <w:rsid w:val="00E71133"/>
    <w:rPr>
      <w:rFonts w:cstheme="majorBidi" w:eastAsiaTheme="majorEastAsia"/>
      <w:b/>
      <w:bCs/>
      <w:sz w:val="24"/>
    </w:rPr>
  </w:style>
  <w:style w:styleId="af0" w:type="paragraph">
    <w:name w:val="Title"/>
    <w:basedOn w:val="NormalHeading"/>
    <w:next w:val="ae"/>
    <w:link w:val="Char7"/>
    <w:uiPriority w:val="13"/>
    <w:rsid w:val="000A442F"/>
    <w:pPr>
      <w:spacing w:after="980" w:before="140" w:line="216" w:lineRule="auto"/>
      <w:ind w:right="3355"/>
    </w:pPr>
    <w:rPr>
      <w:rFonts w:cstheme="majorBidi" w:eastAsiaTheme="majorEastAsia"/>
      <w:spacing w:val="-10"/>
      <w:kern w:val="28"/>
      <w:sz w:val="76"/>
      <w:szCs w:val="72"/>
    </w:rPr>
  </w:style>
  <w:style w:customStyle="1" w:styleId="Char7" w:type="character">
    <w:name w:val="제목 Char"/>
    <w:basedOn w:val="a3"/>
    <w:link w:val="af0"/>
    <w:uiPriority w:val="13"/>
    <w:rsid w:val="000A442F"/>
    <w:rPr>
      <w:rFonts w:asciiTheme="majorHAnsi" w:cstheme="majorBidi" w:eastAsiaTheme="majorEastAsia" w:hAnsiTheme="majorHAnsi"/>
      <w:spacing w:val="-10"/>
      <w:kern w:val="28"/>
      <w:sz w:val="76"/>
      <w:szCs w:val="72"/>
    </w:rPr>
  </w:style>
  <w:style w:styleId="af1" w:type="character">
    <w:name w:val="Subtle Reference"/>
    <w:basedOn w:val="a3"/>
    <w:uiPriority w:val="31"/>
    <w:semiHidden/>
    <w:rsid w:val="00E71133"/>
    <w:rPr>
      <w:smallCaps/>
      <w:color w:val="auto"/>
    </w:rPr>
  </w:style>
  <w:style w:styleId="af2" w:type="character">
    <w:name w:val="Mention"/>
    <w:uiPriority w:val="99"/>
    <w:semiHidden/>
    <w:unhideWhenUsed/>
    <w:rsid w:val="00E71133"/>
    <w:rPr>
      <w:color w:val="auto"/>
      <w:shd w:color="auto" w:fill="E1DFDD" w:val="clear"/>
    </w:rPr>
  </w:style>
  <w:style w:styleId="af3" w:type="character">
    <w:name w:val="Smart Link"/>
    <w:basedOn w:val="a3"/>
    <w:uiPriority w:val="99"/>
    <w:semiHidden/>
    <w:unhideWhenUsed/>
    <w:rsid w:val="00E71133"/>
    <w:rPr>
      <w:color w:val="auto"/>
      <w:u w:val="single"/>
      <w:shd w:color="auto" w:fill="F3F2F1" w:val="clear"/>
    </w:rPr>
  </w:style>
  <w:style w:styleId="af4" w:type="character">
    <w:name w:val="Subtle Emphasis"/>
    <w:uiPriority w:val="19"/>
    <w:semiHidden/>
    <w:rsid w:val="00E71133"/>
    <w:rPr>
      <w:i/>
      <w:iCs/>
      <w:color w:themeColor="text1" w:themeTint="BF" w:val="404040"/>
    </w:rPr>
  </w:style>
  <w:style w:styleId="af5" w:type="character">
    <w:name w:val="Smart Hyperlink"/>
    <w:uiPriority w:val="99"/>
    <w:semiHidden/>
    <w:unhideWhenUsed/>
    <w:rsid w:val="00E71133"/>
    <w:rPr>
      <w:u w:val="dotted"/>
    </w:rPr>
  </w:style>
  <w:style w:styleId="3" w:type="paragraph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styleId="af6" w:type="paragraph">
    <w:name w:val="Intense Quote"/>
    <w:basedOn w:val="NormalBody"/>
    <w:next w:val="a1"/>
    <w:link w:val="Char8"/>
    <w:uiPriority w:val="30"/>
    <w:semiHidden/>
    <w:rsid w:val="00192201"/>
    <w:pPr>
      <w:pBdr>
        <w:top w:color="auto" w:space="12" w:sz="8" w:val="single"/>
        <w:bottom w:color="auto" w:space="12" w:sz="8" w:val="single"/>
      </w:pBdr>
      <w:spacing w:after="360" w:before="360"/>
      <w:ind w:left="720" w:right="1440"/>
      <w:jc w:val="center"/>
    </w:pPr>
    <w:rPr>
      <w:iCs/>
    </w:rPr>
  </w:style>
  <w:style w:customStyle="1" w:styleId="Char8" w:type="character">
    <w:name w:val="강한 인용 Char"/>
    <w:basedOn w:val="a3"/>
    <w:link w:val="af6"/>
    <w:uiPriority w:val="30"/>
    <w:semiHidden/>
    <w:rsid w:val="00192201"/>
    <w:rPr>
      <w:rFonts w:cs="Times New Roman" w:eastAsia="Times New Roman"/>
      <w:iCs/>
      <w:szCs w:val="24"/>
    </w:rPr>
  </w:style>
  <w:style w:styleId="af7" w:type="character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styleId="af8" w:type="character">
    <w:name w:val="Intense Emphasis"/>
    <w:uiPriority w:val="21"/>
    <w:semiHidden/>
    <w:rsid w:val="00192201"/>
    <w:rPr>
      <w:i/>
      <w:iCs/>
      <w:color w:val="auto"/>
    </w:rPr>
  </w:style>
  <w:style w:styleId="af9" w:type="paragraph">
    <w:name w:val="Block Text"/>
    <w:basedOn w:val="a1"/>
    <w:uiPriority w:val="99"/>
    <w:semiHidden/>
    <w:unhideWhenUsed/>
    <w:rsid w:val="00192201"/>
    <w:pPr>
      <w:pBdr>
        <w:top w:color="auto" w:space="10" w:sz="8" w:val="single"/>
        <w:left w:color="auto" w:space="10" w:sz="8" w:val="single"/>
        <w:bottom w:color="auto" w:space="10" w:sz="8" w:val="single"/>
        <w:right w:color="auto" w:space="10" w:sz="8" w:val="single"/>
      </w:pBdr>
      <w:ind w:left="720" w:right="1440"/>
    </w:pPr>
    <w:rPr>
      <w:rFonts w:cstheme="minorBidi" w:eastAsiaTheme="minorEastAsia"/>
      <w:i/>
      <w:iCs/>
    </w:rPr>
  </w:style>
  <w:style w:customStyle="1" w:styleId="Letterhead" w:type="paragraph">
    <w:name w:val="Letterhead"/>
    <w:basedOn w:val="NormalLetterhead"/>
    <w:uiPriority w:val="89"/>
    <w:rsid w:val="00CD2B08"/>
  </w:style>
  <w:style w:styleId="afa" w:type="character">
    <w:name w:val="Hyperlink"/>
    <w:uiPriority w:val="99"/>
    <w:unhideWhenUsed/>
    <w:rsid w:val="00CD2B08"/>
    <w:rPr>
      <w:u w:val="single"/>
    </w:rPr>
  </w:style>
  <w:style w:styleId="afb" w:type="character">
    <w:name w:val="Unresolved Mention"/>
    <w:basedOn w:val="a3"/>
    <w:uiPriority w:val="99"/>
    <w:semiHidden/>
    <w:unhideWhenUsed/>
    <w:rsid w:val="000B7F22"/>
    <w:rPr>
      <w:color w:val="605E5C"/>
      <w:shd w:color="auto" w:fill="E1DFDD" w:val="clear"/>
    </w:rPr>
  </w:style>
  <w:style w:customStyle="1" w:styleId="SignatureTitle" w:type="paragraph">
    <w:name w:val="Signature Title"/>
    <w:basedOn w:val="aa"/>
    <w:next w:val="CCEnclosure"/>
    <w:uiPriority w:val="94"/>
    <w:qFormat/>
    <w:rsid w:val="00352C4B"/>
    <w:pPr>
      <w:spacing w:after="300"/>
    </w:pPr>
  </w:style>
  <w:style w:styleId="afc" w:type="character">
    <w:name w:val="FollowedHyperlink"/>
    <w:uiPriority w:val="79"/>
    <w:rsid w:val="00D0646F"/>
    <w:rPr>
      <w:rFonts w:asciiTheme="minorHAnsi" w:hAnsiTheme="minorHAnsi"/>
      <w:i w:val="0"/>
      <w:color w:themeColor="text1" w:val="000000"/>
      <w:sz w:val="21"/>
      <w:u w:val="single"/>
    </w:rPr>
  </w:style>
  <w:style w:customStyle="1" w:styleId="3Char" w:type="character">
    <w:name w:val="제목 3 Char"/>
    <w:basedOn w:val="a3"/>
    <w:link w:val="30"/>
    <w:uiPriority w:val="11"/>
    <w:rsid w:val="008853C4"/>
    <w:rPr>
      <w:rFonts w:cstheme="majorBidi" w:eastAsiaTheme="majorEastAsia"/>
      <w:b/>
      <w:bCs/>
      <w:sz w:val="28"/>
      <w:szCs w:val="26"/>
    </w:rPr>
  </w:style>
  <w:style w:customStyle="1" w:styleId="4Char" w:type="character">
    <w:name w:val="제목 4 Char"/>
    <w:basedOn w:val="a3"/>
    <w:link w:val="4"/>
    <w:uiPriority w:val="11"/>
    <w:rsid w:val="00352CD5"/>
    <w:rPr>
      <w:rFonts w:cstheme="majorBidi" w:eastAsiaTheme="majorEastAsia"/>
      <w:b/>
      <w:bCs/>
      <w:iCs/>
      <w:szCs w:val="24"/>
      <w:lang w:val="en-GB"/>
    </w:rPr>
  </w:style>
  <w:style w:customStyle="1" w:styleId="ChartHeader" w:type="paragraph">
    <w:name w:val="Chart Header"/>
    <w:uiPriority w:val="20"/>
    <w:rsid w:val="009D0B44"/>
    <w:pPr>
      <w:spacing w:after="300" w:before="300" w:line="288" w:lineRule="auto"/>
      <w:ind w:left="14"/>
    </w:pPr>
    <w:rPr>
      <w:rFonts w:ascii="Arial" w:cs="Arial" w:eastAsia="Times New Roman" w:hAnsi="Arial"/>
      <w:b/>
      <w:bCs/>
      <w:kern w:val="24"/>
      <w:sz w:val="24"/>
      <w:szCs w:val="20"/>
    </w:rPr>
  </w:style>
  <w:style w:customStyle="1" w:styleId="TableText" w:type="paragraph">
    <w:name w:val="Table Text"/>
    <w:basedOn w:val="a2"/>
    <w:uiPriority w:val="20"/>
    <w:rsid w:val="009D0B44"/>
    <w:pPr>
      <w:spacing w:after="150" w:before="150" w:line="250" w:lineRule="auto"/>
    </w:pPr>
    <w:rPr>
      <w:rFonts w:asciiTheme="minorHAnsi" w:hAnsiTheme="minorHAnsi"/>
      <w:spacing w:val="-2"/>
      <w:sz w:val="18"/>
    </w:rPr>
  </w:style>
  <w:style w:customStyle="1" w:styleId="TableHeader" w:type="paragraph">
    <w:name w:val="Table Header"/>
    <w:basedOn w:val="4"/>
    <w:uiPriority w:val="20"/>
    <w:rsid w:val="009D0B44"/>
    <w:pPr>
      <w:spacing w:after="150" w:before="150"/>
    </w:pPr>
    <w:rPr>
      <w:rFonts w:cstheme="minorHAnsi"/>
      <w:bCs w:val="0"/>
      <w:spacing w:val="-6"/>
      <w:sz w:val="20"/>
      <w:szCs w:val="18"/>
    </w:rPr>
  </w:style>
  <w:style w:styleId="afd" w:type="paragraph">
    <w:name w:val="caption"/>
    <w:basedOn w:val="NormalHeading"/>
    <w:next w:val="a2"/>
    <w:uiPriority w:val="89"/>
    <w:qFormat/>
    <w:rsid w:val="00F51F7B"/>
    <w:pPr>
      <w:spacing w:after="140" w:before="140"/>
    </w:pPr>
    <w:rPr>
      <w:rFonts w:asciiTheme="minorHAnsi" w:hAnsiTheme="minorHAnsi"/>
      <w:iCs/>
      <w:spacing w:val="-2"/>
      <w:sz w:val="18"/>
      <w:szCs w:val="18"/>
    </w:rPr>
  </w:style>
  <w:style w:styleId="afe" w:type="paragraph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themeColor="text1" w:themeTint="BF" w:val="404040"/>
      <w:sz w:val="36"/>
    </w:rPr>
  </w:style>
  <w:style w:customStyle="1" w:styleId="Char9" w:type="character">
    <w:name w:val="인용 Char"/>
    <w:basedOn w:val="a3"/>
    <w:link w:val="afe"/>
    <w:uiPriority w:val="21"/>
    <w:rsid w:val="000A16BA"/>
    <w:rPr>
      <w:rFonts w:asciiTheme="majorHAnsi" w:cs="Times New Roman" w:eastAsia="Times New Roman" w:hAnsiTheme="majorHAnsi"/>
      <w:color w:themeColor="text1" w:themeTint="BF" w:val="404040"/>
      <w:sz w:val="36"/>
      <w:szCs w:val="24"/>
    </w:rPr>
  </w:style>
  <w:style w:customStyle="1" w:styleId="LegalLocalDetail" w:type="paragraph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customStyle="1" w:styleId="LegalLocalNameAddressFooter" w:type="paragraph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customStyle="1" w:styleId="URL" w:type="paragraph">
    <w:name w:val="URL"/>
    <w:basedOn w:val="Address"/>
    <w:uiPriority w:val="81"/>
    <w:rsid w:val="00CF2040"/>
  </w:style>
  <w:style w:customStyle="1" w:styleId="ReportCallout" w:type="paragraph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cs="Times New Roman" w:eastAsia="Times New Roman" w:hAnsiTheme="majorHAnsi"/>
      <w:color w:themeColor="text1" w:themeTint="BF" w:val="404040"/>
      <w:sz w:val="80"/>
      <w:szCs w:val="24"/>
      <w:lang w:val="en-GB"/>
    </w:rPr>
  </w:style>
  <w:style w:customStyle="1" w:styleId="ReportQuotationMarkCharacter" w:type="paragraph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cstheme="minorHAnsi" w:hAnsiTheme="minorHAnsi"/>
      <w:b/>
      <w:bCs/>
      <w:color w:themeColor="accent1" w:val="FD5108"/>
      <w:position w:val="-104"/>
      <w:sz w:val="240"/>
      <w:szCs w:val="240"/>
    </w:rPr>
  </w:style>
  <w:style w:styleId="aff" w:type="table">
    <w:name w:val="Table Grid"/>
    <w:basedOn w:val="a4"/>
    <w:uiPriority w:val="39"/>
    <w:rsid w:val="00331B4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13" Target="footer2.xml" Type="http://schemas.openxmlformats.org/officeDocument/2006/relationships/footer" /><Relationship Id="rId12" Target="header1.xml" Type="http://schemas.openxmlformats.org/officeDocument/2006/relationships/header" /><Relationship Id="rId11" Target="footer1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2026-01-20T04:53:57Z</dcterms:created>
  <dcterms:modified xsi:type="dcterms:W3CDTF">2026-01-20T04:53:57Z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