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부동산 매매계약서 / 토지철거 및 이설 계약</w:t>
      </w:r>
    </w:p>
    <w:p>
      <w:r>
        <w:br w:type="page"/>
      </w:r>
    </w:p>
    <w:p>
      <w:pPr>
        <w:pStyle w:val="a2"/>
      </w:pPr>
      <w:r>
        <w:rPr>
          <w:b/>
        </w:rPr>
        <w:t>부동산 매매계약서 / 토지철거 및 이설 계약</w:t>
      </w:r>
    </w:p>
    <w:p>
      <w:pPr>
        <w:pStyle w:val="a"/>
      </w:pPr>
      <w:r>
        <w:rPr>
          <w:b/>
        </w:rPr>
        <w:t>계약서 정리</w:t>
      </w:r>
    </w:p>
    <w:p>
      <w:pPr>
        <w:pStyle w:val="a0"/>
      </w:pPr>
      <w:r>
        <w:t>첨부 도면 내 점을 순차 연결한 부분의 용지(이하 “대상토지”라 한다)에 관하여 매도인 ㈜카프로 (이하 “갑”이라 한다)와 매수인 ㈜한주 (이하 “을”이라 한다) 간에 다음과 같은 매매계약을 체결한다.</w:t>
      </w:r>
    </w:p>
    <w:p>
      <w:pPr>
        <w:pStyle w:val="a2"/>
      </w:pPr>
      <w:r>
        <w:t>한주</w:t>
      </w:r>
    </w:p>
    <w:p>
      <w:pPr>
        <w:pStyle w:val="a2"/>
      </w:pPr>
      <w:r>
        <w:t>(을)</w:t>
      </w:r>
    </w:p>
    <w:p>
      <w:pPr>
        <w:pStyle w:val="a2"/>
      </w:pPr>
      <w:r>
        <w:t>카프로</w:t>
      </w:r>
    </w:p>
    <w:p>
      <w:pPr>
        <w:pStyle w:val="a2"/>
      </w:pPr>
      <w:r>
        <w:t>(갑)</w:t>
      </w:r>
    </w:p>
    <w:p>
      <w:pPr>
        <w:pStyle w:val="a2"/>
      </w:pPr>
      <w:r>
        <w:t>부동산매매,</w:t>
      </w:r>
    </w:p>
    <w:p>
      <w:pPr>
        <w:pStyle w:val="a2"/>
      </w:pPr>
      <w:r>
        <w:t>토지철거 및 이설 계약</w:t>
      </w:r>
    </w:p>
    <w:p>
      <w:pPr>
        <w:pStyle w:val="a2"/>
      </w:pPr>
      <w:r>
        <w:rPr>
          <w:b/>
        </w:rPr>
        <w:t>(2) 한주, 지급의무</w:t>
      </w:r>
    </w:p>
    <w:p>
      <w:pPr>
        <w:pStyle w:val="a0"/>
      </w:pPr>
      <w:r>
        <w:t>10,000,000,000원</w:t>
      </w:r>
    </w:p>
    <w:p>
      <w:pPr>
        <w:pStyle w:val="a0"/>
      </w:pPr>
      <w:r>
        <w:t>5,250,000,000원</w:t>
      </w:r>
    </w:p>
    <w:p>
      <w:pPr>
        <w:pStyle w:val="a0"/>
      </w:pPr>
      <w:r>
        <w:t>계약상 명시된 대가 없음</w:t>
      </w:r>
    </w:p>
    <w:p>
      <w:pPr>
        <w:pStyle w:val="a"/>
      </w:pPr>
      <w:r>
        <w:rPr>
          <w:b/>
        </w:rPr>
        <w:t>카프로, 수행의무</w:t>
      </w:r>
    </w:p>
    <w:p>
      <w:pPr>
        <w:pStyle w:val="a"/>
      </w:pPr>
      <w:r>
        <w:t>대상토지 소유권 이전 – 잔금 지급과 동시에 소유권 이전등기 관련 서류 제공 및 이전 이행 (부동산 매매계약서 1쪽 표, 계약서 제2조 2항)</w:t>
      </w:r>
    </w:p>
    <w:p>
      <w:pPr>
        <w:pStyle w:val="a"/>
      </w:pPr>
      <w:r>
        <w:t>철거 및 이설 – 계약체결일로부터 9개월 이내 창고시설물 철거 및 시설이전과 경계측량을 실시하고 펜스(국가보안시설 및 국가보호장비관리지침 외곽울타리설치기준)를 설치 (매매계약서 5~6쪽, 계약서 제2조 2항)</w:t>
      </w:r>
    </w:p>
    <w:p>
      <w:pPr>
        <w:pStyle w:val="a"/>
      </w:pPr>
      <w:r>
        <w:t>특약 – 카프로의 22.9kV 전력케이블 보호를 위한 보강작업 및 부지활용도를 위한 전력케이블 일부 Route 변경 작업을 한주가 실시할 경우, 작업 및 작업방법에 대해 카프로는 동의하며 적극 협조한다. (부동산매매계약관련 특약사항 제1조)</w:t>
      </w:r>
    </w:p>
    <w:p>
      <w:pPr>
        <w:pStyle w:val="a"/>
      </w:pPr>
      <w:r>
        <w:rPr>
          <w:b/>
        </w:rPr>
        <w:t>한주, 지급의무</w:t>
      </w:r>
    </w:p>
    <w:p>
      <w:pPr>
        <w:pStyle w:val="a"/>
      </w:pPr>
      <w:r>
        <w:t>대상토지 소유권 이전 – 2024년 계약금 2,000백만원 지급 단, 계약금은 “본 계약 제3조 2항”의 토양오염도 조사결과 “적합” 판정 이후 3일 이내 지급토록 하며, 본 계약은 계약금이 지급된 날로부터 계약이 유효하게 성립되는 것으로 한다. 2025년 소유권이전등기일 시 잔금 8,000백만원 지급 (부동산 매매계약서 제1조).</w:t>
      </w:r>
    </w:p>
    <w:p>
      <w:pPr>
        <w:pStyle w:val="a"/>
      </w:pPr>
      <w:r>
        <w:t>철거 및 이설 – 2024년 계약금 1,050백만원 지급. 단, 계약금은 “부동산 매매계약서 제3조 2항”의 토양오염도 조사결과 “적합” 판정 이후 3일 이내 지급토록 하며, 본 계약은 계약금이 지급된 날로부터 계약이 유효하게 성립되는 것으로 한다. 2025년 소유권이전등기일 시 잔금 4,200백만원 지급 (철거 및 이설계약서 제1조)</w:t>
      </w:r>
    </w:p>
    <w:p>
      <w:pPr>
        <w:pStyle w:val="a"/>
      </w:pPr>
      <w:r>
        <w:rPr>
          <w:b/>
        </w:rPr>
        <w:t>IFRS15의 5단계에 따른 회계처리 판단 과정</w:t>
      </w:r>
    </w:p>
    <w:p>
      <w:pPr>
        <w:pStyle w:val="a2"/>
      </w:pPr>
      <w:r>
        <w:rPr>
          <w:b/>
        </w:rPr>
        <w:t>1단계 고객과의 계약을 식별 (Identify the contract)</w:t>
      </w:r>
    </w:p>
    <w:p>
      <w:pPr>
        <w:pStyle w:val="a0"/>
      </w:pPr>
      <w:r>
        <w:rPr>
          <w:b/>
        </w:rPr>
        <w:t>토지 소유권 이전 계약</w:t>
      </w:r>
    </w:p>
    <w:p>
      <w:pPr>
        <w:pStyle w:val="a0"/>
      </w:pPr>
      <w:r>
        <w:t>Issue: 토양오염 “적합” 판정과 계약금 지급이 선행조건일 때, 회계상 유효한 매매계약은 언제 존재하는가? 서비스 계약과 결합해야 하는가?</w:t>
      </w:r>
    </w:p>
    <w:p>
      <w:pPr>
        <w:pStyle w:val="a0"/>
      </w:pPr>
      <w:r>
        <w:t>Rule: 비금융자산 처분은 IFRS 15 범위 밖이나, 계약의 집행가능성 · 통제 이전 판단은 법적 요건(등기)와 선행조건 충족을 고려 (IAS16/IAS40, IFRS15 개념 유추). 서로 다른 범위의 계약은 IFRS15 결합 규정 적용 대상이 아님.</w:t>
      </w:r>
    </w:p>
    <w:p>
      <w:pPr>
        <w:pStyle w:val="a0"/>
      </w:pPr>
      <w:r>
        <w:t>Application: “적합” 판정 전에는 집행가능한 권리 · 의무가 확정되지 않음. “적합” 판정 후 3일 내 계약금(2,000) 지급 시 계약이 성립. 토지 매매와 서비스 계약은 법적으로 별도이며 IFRS15 결합 대상도 아님.</w:t>
      </w:r>
    </w:p>
    <w:p>
      <w:pPr>
        <w:pStyle w:val="a0"/>
      </w:pPr>
      <w:r>
        <w:t>Conclusion: 토지 매매계약은 “적합” 판정 + 계약금 지급 시 유효. 서비스와 회계상 분리.</w:t>
      </w:r>
    </w:p>
    <w:p>
      <w:pPr>
        <w:pStyle w:val="a0"/>
      </w:pPr>
      <w:r>
        <w:rPr>
          <w:b/>
        </w:rPr>
        <w:t>철거 · 이설 서비스 계약</w:t>
      </w:r>
    </w:p>
    <w:p>
      <w:pPr>
        <w:pStyle w:val="a0"/>
      </w:pPr>
      <w:r>
        <w:t>Issue: 서비스 계약은 언제 IFRS15상 계약으로 식별되는가? 토지 매매와 결합 대상인가?</w:t>
      </w:r>
    </w:p>
    <w:p>
      <w:pPr>
        <w:pStyle w:val="a0"/>
      </w:pPr>
      <w:r>
        <w:t>Rule: IFRS15.9(승인, 권리·의무, 상업적 실질, 회수가능성). IFRS15.17(계약결합)은 IFRS15 범위 내 계약끼리만 적용.</w:t>
      </w:r>
    </w:p>
    <w:p>
      <w:pPr>
        <w:pStyle w:val="a0"/>
      </w:pPr>
      <w:r>
        <w:t>Application: “적합” 판정 + 계약금(1,050) 수수 시 계약 존재 요건 충족. 토지 매매는 범위 밖이므로 결합 대상 아님.</w:t>
      </w:r>
    </w:p>
    <w:p>
      <w:pPr>
        <w:pStyle w:val="a0"/>
      </w:pPr>
      <w:r>
        <w:t>Conclusion: 서비스 계약은 “적합” 판정 후 계약금 수수 시 IFRS15상 계약으로 식별.</w:t>
      </w:r>
    </w:p>
    <w:p>
      <w:pPr>
        <w:pStyle w:val="a2"/>
      </w:pPr>
      <w:r>
        <w:rPr>
          <w:b/>
        </w:rPr>
        <w:t>2단계 수행의무를 식별 (Identify performance obligation)</w:t>
      </w:r>
    </w:p>
    <w:p>
      <w:pPr>
        <w:pStyle w:val="a0"/>
      </w:pPr>
      <w:r>
        <w:rPr>
          <w:b/>
        </w:rPr>
        <w:t>토지 소유권 이전 계약</w:t>
      </w:r>
    </w:p>
    <w:p>
      <w:pPr>
        <w:pStyle w:val="a0"/>
      </w:pPr>
      <w:r>
        <w:t>Issue: 매도인의 약속은 무엇이며, 분리 가능한 추가 약속이 있는가?</w:t>
      </w:r>
    </w:p>
    <w:p>
      <w:pPr>
        <w:pStyle w:val="a0"/>
      </w:pPr>
      <w:r>
        <w:t>Rule: 비금융자산 처분은 단일 약속(통제이전). 부대 서비스가 있다면 별도 계약 또는 부수적 의무로 판단.</w:t>
      </w:r>
    </w:p>
    <w:p>
      <w:pPr>
        <w:pStyle w:val="a0"/>
      </w:pPr>
      <w:r>
        <w:t>Application: 매도인의 핵심 약속은 “등기이전(통제이전)” 단일 약속. 경계측량 · 펜스설치 · 철거 · 이설은 별도 서비스 계약에 포함되어 토지 매매의 수행의무가 아님.</w:t>
      </w:r>
    </w:p>
    <w:p>
      <w:pPr>
        <w:pStyle w:val="a0"/>
      </w:pPr>
      <w:r>
        <w:t>Conclusion: 토지 계약의 수행의무는 단일(소유권 · 통제의 이전)</w:t>
      </w:r>
    </w:p>
    <w:p>
      <w:pPr>
        <w:pStyle w:val="a0"/>
      </w:pPr>
      <w:r>
        <w:rPr>
          <w:b/>
        </w:rPr>
        <w:t>철거 · 이설 서비스 계약</w:t>
      </w:r>
    </w:p>
    <w:p>
      <w:pPr>
        <w:pStyle w:val="a0"/>
      </w:pPr>
      <w:r>
        <w:t>Issue: 철거, 이설, 경계측량, 펜스 설치가 별도인지, 하나의 묶음인지. 특약(전력케이블 Route 변경 협조)은 별도 수행의무인가?</w:t>
      </w:r>
    </w:p>
    <w:p>
      <w:pPr>
        <w:pStyle w:val="a0"/>
      </w:pPr>
      <w:r>
        <w:t>Rule: IFRS15.22-30 (구별가능성, 통합 · 상호의존성). 대가 없는 협조 의무는 수행의무 아님 (IAS 37로 비용 검토).</w:t>
      </w:r>
    </w:p>
    <w:p>
      <w:pPr>
        <w:pStyle w:val="a0"/>
      </w:pPr>
      <w:r>
        <w:t>Application: 위 네가지 활동은 통합되어 단일 산출물(부지정리)을 형성  단일 수행의무. 케이블 협조는 고객에 구별 가능한 재화 · 서비스를 이전하지 않고 대가 배정도 없음  수행의무 아님 (필요 시 충당부채).</w:t>
      </w:r>
    </w:p>
    <w:p>
      <w:pPr>
        <w:pStyle w:val="a0"/>
      </w:pPr>
      <w:r>
        <w:t>Conclusion: “부지정리” 단일 수행의무. 특약은 수행의무 아님.</w:t>
      </w:r>
    </w:p>
    <w:p>
      <w:pPr>
        <w:pStyle w:val="a2"/>
      </w:pPr>
      <w:r>
        <w:rPr>
          <w:b/>
        </w:rPr>
        <w:t>3단계 거래가격을 산정 (Determine the transaction price)</w:t>
      </w:r>
    </w:p>
    <w:p>
      <w:pPr>
        <w:pStyle w:val="a0"/>
      </w:pPr>
      <w:r>
        <w:rPr>
          <w:b/>
        </w:rPr>
        <w:t>토지 소유권 이전 계약</w:t>
      </w:r>
    </w:p>
    <w:p>
      <w:pPr>
        <w:pStyle w:val="a0"/>
      </w:pPr>
      <w:r>
        <w:t>Issue: 거래가격(10,000) 확정성, 유의적 금융요소, 조건부 대가 존재 여부.</w:t>
      </w:r>
    </w:p>
    <w:p>
      <w:pPr>
        <w:pStyle w:val="a0"/>
      </w:pPr>
      <w:r>
        <w:t>Rule: 비금융자산 처분의 대가 측정은 계약상 고정대가 중심(금융요소는 유의성 판단). 통제이전 전 수령금은 수익 아님.</w:t>
      </w:r>
    </w:p>
    <w:p>
      <w:pPr>
        <w:pStyle w:val="a0"/>
      </w:pPr>
      <w:r>
        <w:t>Application: 총대가 10,000은 고정. 2,000 선수령 후 8,000은 2025년 등기일 지급. 시차가 약 1년 내외로 보통 유의적 금융요소 낮음. 오염도 조건은 선행조건일 뿐 대가 변동 요인은 아님.</w:t>
      </w:r>
    </w:p>
    <w:p>
      <w:pPr>
        <w:pStyle w:val="a0"/>
      </w:pPr>
      <w:r>
        <w:t>Conclusion: 거래가격 10,000 확정, 금융요소는 일반적으로 미인식. 선수령 2,000은 등기 전까지 부채(보증금/선수금).</w:t>
      </w:r>
    </w:p>
    <w:p>
      <w:pPr>
        <w:pStyle w:val="a0"/>
      </w:pPr>
      <w:r>
        <w:rPr>
          <w:b/>
        </w:rPr>
        <w:t>철거 · 이설 서비스 계약</w:t>
      </w:r>
    </w:p>
    <w:p>
      <w:pPr>
        <w:pStyle w:val="a0"/>
      </w:pPr>
      <w:r>
        <w:t>Issue: 거래가격(5,250)의 변동성, 금융요소(잔금 4,200)의 등기 연동) 존재 여부.</w:t>
      </w:r>
    </w:p>
    <w:p>
      <w:pPr>
        <w:pStyle w:val="a0"/>
      </w:pPr>
      <w:r>
        <w:t>Rule: IFRS15.47-49(고정/변동대가), 60-65(유의적 금융요소, 63의 1년 면제).</w:t>
      </w:r>
    </w:p>
    <w:p>
      <w:pPr>
        <w:pStyle w:val="a0"/>
      </w:pPr>
      <w:r>
        <w:t>Application: 총대가 5,250는 고정. 용역완료(2024)와 잔금수취(2025) 간 시차가 12개월 이내면 금융요소 실무상 면제. 등기 연동은 지급 타이밍 조건이지 대가 변동 요인은 아님.</w:t>
      </w:r>
    </w:p>
    <w:p>
      <w:pPr>
        <w:pStyle w:val="a0"/>
      </w:pPr>
      <w:r>
        <w:t>Conclusion: 거래가격 5,250 확정, 금융요소는 통상 미인식.</w:t>
      </w:r>
    </w:p>
    <w:p>
      <w:pPr>
        <w:pStyle w:val="a2"/>
      </w:pPr>
      <w:r>
        <w:rPr>
          <w:b/>
        </w:rPr>
        <w:t>4단계 거래가격을 수행의무에 배분 (Allocation the transaction price)</w:t>
      </w:r>
    </w:p>
    <w:p>
      <w:pPr>
        <w:pStyle w:val="a0"/>
      </w:pPr>
      <w:r>
        <w:rPr>
          <w:b/>
        </w:rPr>
        <w:t>토지 소유권 이전 계약</w:t>
      </w:r>
    </w:p>
    <w:p>
      <w:pPr>
        <w:pStyle w:val="a0"/>
      </w:pPr>
      <w:r>
        <w:t>Issue: 배분 필요 여부</w:t>
      </w:r>
    </w:p>
    <w:p>
      <w:pPr>
        <w:pStyle w:val="a0"/>
      </w:pPr>
      <w:r>
        <w:t>Rule: 비금융자산 처분은 단일 약속. 배분 개념 적용대상 아님.</w:t>
      </w:r>
    </w:p>
    <w:p>
      <w:pPr>
        <w:pStyle w:val="a0"/>
      </w:pPr>
      <w:r>
        <w:t>Application: 토지 매매는 단일 약속, 배분 불필요.</w:t>
      </w:r>
    </w:p>
    <w:p>
      <w:pPr>
        <w:pStyle w:val="a0"/>
      </w:pPr>
      <w:r>
        <w:t>Conclusion: 배분 없음 (전액 10,000 토지 처분 대가)</w:t>
      </w:r>
    </w:p>
    <w:p>
      <w:pPr>
        <w:pStyle w:val="a0"/>
      </w:pPr>
      <w:r>
        <w:rPr>
          <w:b/>
        </w:rPr>
        <w:t>철거 · 이설 서비스 계약</w:t>
      </w:r>
    </w:p>
    <w:p>
      <w:pPr>
        <w:pStyle w:val="a0"/>
      </w:pPr>
      <w:r>
        <w:t>Issue: 단일 수행의무에 대한 배분</w:t>
      </w:r>
    </w:p>
    <w:p>
      <w:pPr>
        <w:pStyle w:val="a0"/>
      </w:pPr>
      <w:r>
        <w:t>Rule: IFRS15.73-86 (상대적 개별판매가격 기준). 단일 수행의무면 전체를 그 수행의무에 배분</w:t>
      </w:r>
    </w:p>
    <w:p>
      <w:pPr>
        <w:pStyle w:val="a0"/>
      </w:pPr>
      <w:r>
        <w:t>Application: 배분 금액 = 5,250 (부지정리 단일 수행의무).</w:t>
      </w:r>
    </w:p>
    <w:p>
      <w:pPr>
        <w:pStyle w:val="a2"/>
      </w:pPr>
      <w:r>
        <w:rPr>
          <w:b/>
        </w:rPr>
        <w:t>5단계 수행의무를 이행할 때 수익인식 (Recognize revenue)</w:t>
      </w:r>
    </w:p>
    <w:p>
      <w:pPr>
        <w:pStyle w:val="a0"/>
      </w:pPr>
      <w:r>
        <w:rPr>
          <w:b/>
        </w:rPr>
        <w:t>토지 소유권 이전 계약</w:t>
      </w:r>
    </w:p>
    <w:p>
      <w:pPr>
        <w:pStyle w:val="a0"/>
      </w:pPr>
      <w:r>
        <w:t>Issue: 수익(정확히는 처분손익) 인식 시점. 선수금의 처리, 매각예정자산(IFRS5) 분류 필요 여부.</w:t>
      </w:r>
    </w:p>
    <w:p>
      <w:pPr>
        <w:pStyle w:val="a0"/>
      </w:pPr>
      <w:r>
        <w:t>Rule: IAS16/IAS40 통제이전(통상 등기일)에 자산 제거 및 처분손익 인식. 통제 이전 전 수령금은 부채. IFRS5 매각이 고도로 확실하고 12개월 내 완료 가능 등 요건 충족 시 “매각예정자산” 분류.</w:t>
      </w:r>
    </w:p>
    <w:p>
      <w:pPr>
        <w:pStyle w:val="a0"/>
      </w:pPr>
      <w:r>
        <w:t>Application: 등기일(2025)에 토지 장부가 제거 및 처분손익 인식. 2024년 수령 2,000은 기타부채로 유지. 보고기간말 요건 충족 시 IFRS5 분류 검토 (토지는 감가상각 없음, 필요 시 손상평가)</w:t>
      </w:r>
    </w:p>
    <w:p>
      <w:pPr>
        <w:pStyle w:val="a0"/>
      </w:pPr>
      <w:r>
        <w:t>Conclusion: 2025년 등기 시 처분손익 인식. 2024년말엔 기타부채(2,000) 유지, IFRS5 분류 요건 점검.</w:t>
      </w:r>
    </w:p>
    <w:p>
      <w:pPr>
        <w:pStyle w:val="a0"/>
      </w:pPr>
      <w:r>
        <w:rPr>
          <w:b/>
        </w:rPr>
        <w:t>철거 · 이설 서비스 계약</w:t>
      </w:r>
    </w:p>
    <w:p>
      <w:pPr>
        <w:pStyle w:val="a0"/>
      </w:pPr>
      <w:r>
        <w:t>Issue: 기간 인식 여부, 진행률 측정방법, 등기 연동 조건 하에서 계약자산 vs 매출채권 구분.</w:t>
      </w:r>
    </w:p>
    <w:p>
      <w:pPr>
        <w:pStyle w:val="a0"/>
      </w:pPr>
      <w:r>
        <w:t>Rule: IFRS15.35(a) 기간수익(고객이 동시에 효익을 받음). IFRS15.39-45 진행률(투입/산출법). IFRS15.105-109 계약자산 · 계약부채 · 매출채권 구분(무조건적 권리 여부)</w:t>
      </w:r>
    </w:p>
    <w:p>
      <w:pPr>
        <w:pStyle w:val="a0"/>
      </w:pPr>
      <w:r>
        <w:t>Application: 부지정리는 기간에 걸쳐 수익 인식. 계약금(1,050) 수취 시 계약부채. 수행에 따라 수익을 인식하며 계약부채 상계. 잔액(4,200)은 등기가 수취의 추가 조건이면 계약자산으로 표시, 등기 시 매출채권으로 전환 후 현금 수취.</w:t>
      </w:r>
    </w:p>
    <w:p>
      <w:pPr>
        <w:pStyle w:val="a0"/>
      </w:pPr>
      <w:r>
        <w:t>Conclusion: 2024년 진행률 기준으로 수익인식(완료 가정 시 5,250). 연말 잔액은 계약자산 4,200. 2025년 등기 시 채권 전환 및 수취.</w:t>
      </w:r>
    </w:p>
    <w:p>
      <w:pPr>
        <w:pStyle w:val="a2"/>
      </w:pPr>
      <w:r>
        <w:rPr>
          <w:b/>
        </w:rPr>
        <w:t>부수 쟁점 (양 계약 공통 및 연결 이슈)</w:t>
      </w:r>
    </w:p>
    <w:p>
      <w:pPr>
        <w:pStyle w:val="a0"/>
      </w:pPr>
      <w:r>
        <w:t>계약 결합: 토지 매매는 IFRS15 범위 밖이므로 서비스와 결합하지 않음. 다만 서비스 잔금의 지급조건(등기 연동)은 2024년말 표시를 “계약자산”으로 유도.</w:t>
      </w:r>
    </w:p>
    <w:p>
      <w:pPr>
        <w:pStyle w:val="a0"/>
      </w:pPr>
      <w:r>
        <w:t>유의적 금융요소: 양 계약 모두 시차가 12개월 내면 통상 미인식. 초과 시 할인효과 검토 (서비스는 IFRS15, 토지는 일반 금융요소 판단).</w:t>
      </w:r>
    </w:p>
    <w:p>
      <w:pPr>
        <w:pStyle w:val="a0"/>
      </w:pPr>
      <w:r>
        <w:t>특약(22.9kV 케이블 Route 변경 협조): 수행의무 아님. 유의적 비용 발생이 개연성이 높고 추정 가능해지는 시점에 IAS37 충당부채 인식 검토 (그 전에는 공시).</w:t>
      </w:r>
    </w:p>
    <w:p>
      <w:pPr>
        <w:pStyle w:val="a0"/>
      </w:pPr>
      <w:r>
        <w:t>한주(고객) 측 처리 요약: 부지정리 5,250은 토지 취득원가로 자본화(IAS16 또는 IAS2). 토지 대금 10,000과 합산하여 토지/재고로 대체. 선급 · 미지급은 발생주의로 인식.</w:t>
      </w:r>
    </w:p>
    <w:p>
      <w:pPr>
        <w:pStyle w:val="a"/>
      </w:pPr>
      <w:r>
        <w:rPr>
          <w:b/>
        </w:rPr>
        <w:t>단계별 회계처리 예시</w:t>
      </w:r>
    </w:p>
    <w:p>
      <w:pPr>
        <w:pStyle w:val="a"/>
      </w:pPr>
      <w:r>
        <w:rPr>
          <w:b/>
        </w:rPr>
        <w:t>카프로</w:t>
      </w:r>
    </w:p>
    <w:p>
      <w:pPr>
        <w:pStyle w:val="a"/>
      </w:pPr>
      <w:r>
        <w:t>2024 계약금 수령: 토지 2,000 (기타부채), 서비스 1,050 (계약부채)</w:t>
      </w:r>
    </w:p>
    <w:p>
      <w:pPr>
        <w:pStyle w:val="a"/>
      </w:pPr>
      <w:r>
        <w:t>2024 서비스 수행: 수익 5,250 인식; 계약부채 1,050 소멸; 4,200 계약자산(등기 조건)</w:t>
      </w:r>
    </w:p>
    <w:p>
      <w:pPr>
        <w:pStyle w:val="a"/>
      </w:pPr>
      <w:r>
        <w:t>2025 등기: 토지 처분손익 인식(10,000 – 장부가 – 부대원가), 서비스 계약자산  채권  현금</w:t>
      </w:r>
    </w:p>
    <w:p>
      <w:pPr>
        <w:pStyle w:val="a"/>
      </w:pPr>
      <w:r>
        <w:rPr>
          <w:b/>
        </w:rPr>
        <w:t>한주</w:t>
      </w:r>
    </w:p>
    <w:p>
      <w:pPr>
        <w:pStyle w:val="a"/>
      </w:pPr>
      <w:r>
        <w:t>2024 계약금 지급: 선급금(토지 2,000, 서비스 1,050)</w:t>
      </w:r>
    </w:p>
    <w:p>
      <w:pPr>
        <w:pStyle w:val="a"/>
      </w:pPr>
      <w:r>
        <w:t>2024 서비스 수령: 토지건설중자산 5,250 계상, 미지급금 4,200</w:t>
      </w:r>
    </w:p>
    <w:p>
      <w:pPr>
        <w:pStyle w:val="a"/>
      </w:pPr>
      <w:r>
        <w:t>2025 등기: 토지 10,000 인식(선급금 대체), 부지정리 5,250 토지로 대체, 잔금 지급)</w:t>
      </w:r>
    </w:p>
    <w:p>
      <w:pPr>
        <w:pStyle w:val="a"/>
      </w:pPr>
      <w:r>
        <w:rPr>
          <w:b/>
        </w:rPr>
        <w:t>최종 결론 (요약)</w:t>
      </w:r>
    </w:p>
    <w:p>
      <w:pPr>
        <w:pStyle w:val="a"/>
      </w:pPr>
      <w:r>
        <w:t>토지 소유권 이전 계약: “적합” 판정 + 계약금 지급 시 유효. 배분 이슈 없음. 2025년 등기일에 통제이전으로 처분손익 인식. 2024년 수령 계약금은 기타부채. 보고기간말 IFRS5 분류 요건 검토.</w:t>
      </w:r>
    </w:p>
    <w:p>
      <w:pPr>
        <w:pStyle w:val="a"/>
      </w:pPr>
      <w:r>
        <w:t>철거 · 이설 서비스 계약: “적합” 판정 + 계약금 수수 시 IFRS15상 계약. 단일 수행의무(부지정리). 거래가격 5,250 전액 배분. 2024년 동안 진행률로 수익인식, 계약금은 계약부채, 등기 연동 잔액은 계약자산으로 표시 후 2025년 등기 시 매출채권 · 현금으로 전환. 특약은 성과의무가 아니며 IAS37 비용 여부 판단.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