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0"/>
      </w:pPr>
      <w:r>
        <w:t>Slide 1 -</w:t>
      </w:r>
    </w:p>
    <w:p>
      <w:r>
        <w:t>[이미지: Image]</w:t>
      </w:r>
    </w:p>
    <w:p>
      <w:pPr>
        <w:pStyle w:val="1"/>
      </w:pPr>
      <w:r>
        <w:t>금강공업(주) 무보증사채 신용등급 평가 : 2025.03</w:t>
      </w:r>
    </w:p>
    <w:p>
      <w:pPr/>
      <w:r>
        <w:t>2025-11-25</w:t>
      </w:r>
    </w:p>
    <w:p>
      <w:pPr>
        <w:pStyle w:val="a0"/>
      </w:pPr>
      <w:r>
        <w:t>Slide 2 -</w:t>
      </w:r>
    </w:p>
    <w:p>
      <w:r>
        <w:t>[이미지: Image]</w:t>
      </w:r>
    </w:p>
    <w:p>
      <w:pPr/>
      <w:r>
        <w:t>1</w:t>
      </w:r>
    </w:p>
    <w:p>
      <w:pPr/>
      <w:r>
        <w:t>평가 개요 및 회사 현황</w:t>
      </w:r>
    </w:p>
    <w:p>
      <w:pPr>
        <w:pStyle w:val="a0"/>
      </w:pPr>
      <w:r>
        <w:t>Slide 3 -</w:t>
      </w:r>
    </w:p>
    <w:p>
      <w:r>
        <w:t>[이미지: Image]</w:t>
      </w:r>
    </w:p>
    <w:p>
      <w:pPr/>
      <w:r>
        <w:t>신용등급 평가 개요 및 목적</w:t>
      </w:r>
    </w:p>
    <w:p>
      <w:pPr/>
      <w:r>
        <w:t>금강공업(주)의 무보증사채 BBB-(안정적) 등급은 정기평가를 통해 유지되었으며, 상대적 신용위험에 대한 의견으로 환경변화 시 변경 가능성이 있습니다.</w:t>
      </w:r>
    </w:p>
    <w:p>
      <w:pPr/>
      <w:r>
        <w:t>평가 목적</w:t>
      </w:r>
    </w:p>
    <w:p>
      <w:pPr/>
      <w:r>
        <w:t>금강공업(주) 무보증사채 신용위험 평가</w:t>
      </w:r>
    </w:p>
    <w:p>
      <w:pPr/>
      <w:r>
        <w:t>평가 결과</w:t>
      </w:r>
    </w:p>
    <w:p>
      <w:pPr/>
      <w:r>
        <w:t>BBB-(안정적) 등급 유지 - 원리금 지급확실성 보유, 환경변화 민감</w:t>
      </w:r>
    </w:p>
    <w:p>
      <w:pPr/>
      <w:r>
        <w:t>평가 기준</w:t>
      </w:r>
    </w:p>
    <w:p>
      <w:pPr/>
      <w:r>
        <w:t>평가 대상</w:t>
      </w:r>
    </w:p>
    <w:p>
      <w:pPr>
        <w:pStyle w:val="a0"/>
      </w:pPr>
      <w:r>
        <w:t>무보증사채</w:t>
      </w:r>
    </w:p>
    <w:p>
      <w:pPr>
        <w:pStyle w:val="a0"/>
      </w:pPr>
      <w:r>
        <w:t>정기평가 수행</w:t>
      </w:r>
    </w:p>
    <w:p>
      <w:pPr>
        <w:pStyle w:val="a0"/>
      </w:pPr>
      <w:r>
        <w:t>2025.03.17-20</w:t>
      </w:r>
    </w:p>
    <w:p>
      <w:pPr/>
      <w:r>
        <w:t>평가 방법론</w:t>
      </w:r>
    </w:p>
    <w:p>
      <w:pPr>
        <w:pStyle w:val="a0"/>
      </w:pPr>
      <w:r>
        <w:t>Corporate(제조)</w:t>
      </w:r>
    </w:p>
    <w:p>
      <w:pPr>
        <w:pStyle w:val="a0"/>
      </w:pPr>
      <w:r>
        <w:t>신용평가일반론</w:t>
      </w:r>
    </w:p>
    <w:p>
      <w:pPr>
        <w:pStyle w:val="a0"/>
      </w:pPr>
      <w:r>
        <w:t>계열 방법론 적용</w:t>
      </w:r>
    </w:p>
    <w:p>
      <w:pPr/>
      <w:r>
        <w:t>등급 의미</w:t>
      </w:r>
    </w:p>
    <w:p>
      <w:pPr>
        <w:pStyle w:val="a0"/>
      </w:pPr>
      <w:r>
        <w:t>상대적 신용위험</w:t>
      </w:r>
    </w:p>
    <w:p>
      <w:pPr>
        <w:pStyle w:val="a0"/>
      </w:pPr>
      <w:r>
        <w:t>시장위험 비포함</w:t>
      </w:r>
    </w:p>
    <w:p>
      <w:pPr>
        <w:pStyle w:val="a0"/>
      </w:pPr>
      <w:r>
        <w:t>유동성위험 비포함</w:t>
      </w:r>
    </w:p>
    <w:p>
      <w:pPr/>
      <w:r>
        <w:t>평가 한계</w:t>
      </w:r>
    </w:p>
    <w:p>
      <w:pPr>
        <w:pStyle w:val="a0"/>
      </w:pPr>
      <w:r>
        <w:t>정보 정확성 전제</w:t>
      </w:r>
    </w:p>
    <w:p>
      <w:pPr>
        <w:pStyle w:val="a0"/>
      </w:pPr>
      <w:r>
        <w:t>환경변화 반영</w:t>
      </w:r>
    </w:p>
    <w:p>
      <w:pPr>
        <w:pStyle w:val="a0"/>
      </w:pPr>
      <w:r>
        <w:t>등급 변경 가능성</w:t>
      </w:r>
    </w:p>
    <w:p>
      <w:pPr/>
      <w:r>
        <w:t>핵심 요소</w:t>
      </w:r>
    </w:p>
    <w:p>
      <w:pPr/>
      <w:r>
        <w:t>대상 특성</w:t>
      </w:r>
    </w:p>
    <w:p>
      <w:pPr/>
      <w:r>
        <w:t>BBB- 등급</w:t>
      </w:r>
    </w:p>
    <w:p>
      <w:pPr/>
      <w:r>
        <w:t>안정적 전망</w:t>
      </w:r>
    </w:p>
    <w:p>
      <w:pPr/>
      <w:r>
        <w:t>장기 채무</w:t>
      </w:r>
    </w:p>
    <w:p>
      <w:pPr/>
      <w:r>
        <w:t>무보증 형태</w:t>
      </w:r>
    </w:p>
    <w:p>
      <w:pPr/>
      <w:r>
        <w:t>방법론 체계</w:t>
      </w:r>
    </w:p>
    <w:p>
      <w:pPr/>
      <w:r>
        <w:t>제조업 기준</w:t>
      </w:r>
    </w:p>
    <w:p>
      <w:pPr/>
      <w:r>
        <w:t>일반론 적용</w:t>
      </w:r>
    </w:p>
    <w:p>
      <w:pPr/>
      <w:r>
        <w:t>계열 분석</w:t>
      </w:r>
    </w:p>
    <w:p>
      <w:pPr/>
      <w:r>
        <w:t>지원 미반영</w:t>
      </w:r>
    </w:p>
    <w:p>
      <w:pPr/>
      <w:r>
        <w:t>위험 범위</w:t>
      </w:r>
    </w:p>
    <w:p>
      <w:pPr/>
      <w:r>
        <w:t>신용위험</w:t>
      </w:r>
    </w:p>
    <w:p>
      <w:pPr/>
      <w:r>
        <w:t>의견 성격</w:t>
      </w:r>
    </w:p>
    <w:p>
      <w:pPr/>
      <w:r>
        <w:t>비시장위험</w:t>
      </w:r>
    </w:p>
    <w:p>
      <w:pPr/>
      <w:r>
        <w:t>비운영위험</w:t>
      </w:r>
    </w:p>
    <w:p>
      <w:pPr/>
      <w:r>
        <w:t>변동 요인</w:t>
      </w:r>
    </w:p>
    <w:p>
      <w:pPr/>
      <w:r>
        <w:t>정보 오류</w:t>
      </w:r>
    </w:p>
    <w:p>
      <w:pPr/>
      <w:r>
        <w:t>환경 변화</w:t>
      </w:r>
    </w:p>
    <w:p>
      <w:pPr/>
      <w:r>
        <w:t>기준 변경</w:t>
      </w:r>
    </w:p>
    <w:p>
      <w:pPr/>
      <w:r>
        <w:t>등급 취소</w:t>
      </w:r>
    </w:p>
    <w:p>
      <w:pPr>
        <w:pStyle w:val="a0"/>
      </w:pPr>
      <w:r>
        <w:t>Slide 4 -</w:t>
      </w:r>
    </w:p>
    <w:p>
      <w:r>
        <w:t>[이미지: Image]</w:t>
      </w:r>
    </w:p>
    <w:p>
      <w:pPr/>
      <w:r>
        <w:t>금강공업(주) 회사 개요 및 사업 포트폴리오</w:t>
      </w:r>
    </w:p>
    <w:p>
      <w:pPr/>
      <w:r>
        <w:t>금강공업(주)은 1979년 설립 이후 강관·판넬 중심의 자체사업과 사료·선박엔진·단조 등 종속법인 사업으로 다각화된 포트폴리오를 구축하였으며, 2024년 기준 사료(36.6%), 판넬(28.0%), 강관(10.9%) 등으로 수익원을 분산하고 있습니다.</w:t>
      </w:r>
    </w:p>
    <w:p>
      <w:pPr/>
      <w:r>
        <w:t>사료 36.6%</w:t>
      </w:r>
    </w:p>
    <w:p>
      <w:pPr/>
      <w:r>
        <w:t>판넬 28.0%</w:t>
      </w:r>
    </w:p>
    <w:p>
      <w:pPr/>
      <w:r>
        <w:t>강관 10.9%</w:t>
      </w:r>
    </w:p>
    <w:p>
      <w:pPr/>
      <w:r>
        <w:t>선박엔진·단조</w:t>
      </w:r>
    </w:p>
    <w:p>
      <w:pPr/>
      <w:r>
        <w:t>기타 사업</w:t>
      </w:r>
    </w:p>
    <w:p>
      <w:pPr/>
      <w:r>
        <w:t>고려산업 통해 배합사료 사업 영위, 최대 매출비중 차지</w:t>
      </w:r>
    </w:p>
    <w:p>
      <w:pPr/>
      <w:r>
        <w:t>알루미늄 폼워크 제조·판매·임대, 건설경기 연동 핵심 수익원</w:t>
      </w:r>
    </w:p>
    <w:p>
      <w:pPr/>
      <w:r>
        <w:t>구조용 강관 제조·판매, 1979년 설립 이후 주력 사업</w:t>
      </w:r>
    </w:p>
    <w:p>
      <w:pPr/>
      <w:r>
        <w:t>케이에스피·삼미금속 통해 선박엔진밸브 및 대형·중형 단조 생산</w:t>
      </w:r>
    </w:p>
    <w:p>
      <w:pPr/>
      <w:r>
        <w:t>조선용 가설재 제작·판매 등 종속법인 기반 사업 포함</w:t>
      </w:r>
    </w:p>
    <w:p>
      <w:pPr/>
      <w:r>
        <w:t>금강공업(주)</w:t>
      </w:r>
    </w:p>
    <w:p>
      <w:pPr>
        <w:pStyle w:val="a0"/>
      </w:pPr>
      <w:r>
        <w:t>Slide 5 -</w:t>
      </w:r>
    </w:p>
    <w:p>
      <w:r>
        <w:t>[이미지: Image]</w:t>
      </w:r>
    </w:p>
    <w:p>
      <w:pPr/>
      <w:r>
        <w:t>주요 재무현황 및 신용도 관련 핵심 지표</w:t>
      </w:r>
    </w:p>
    <w:p>
      <w:pPr/>
      <w:r>
        <w:t>2024년 실적 조정으로 매출 8,014억원(-6.5%), 영업이익 330억원(-50.4%)을 기록했으며, 순차입금 증가로 재무커버리지는 다소 약화되었으나 레버리지 지표는 BBB- 등급 수준에서 관리되고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2019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460"/>
          </w:tcPr>
          <w:p>
            <w:r>
              <w:t>매출액(억원)</w:t>
            </w:r>
          </w:p>
        </w:tc>
        <w:tc>
          <w:tcPr>
            <w:tcW w:type="dxa" w:w="1460"/>
          </w:tcPr>
          <w:p>
            <w:r>
              <w:t>6,521</w:t>
            </w:r>
          </w:p>
        </w:tc>
        <w:tc>
          <w:tcPr>
            <w:tcW w:type="dxa" w:w="1460"/>
          </w:tcPr>
          <w:p>
            <w:r>
              <w:t>7,012</w:t>
            </w:r>
          </w:p>
        </w:tc>
        <w:tc>
          <w:tcPr>
            <w:tcW w:type="dxa" w:w="1460"/>
          </w:tcPr>
          <w:p>
            <w:r>
              <w:t>7,845</w:t>
            </w:r>
          </w:p>
        </w:tc>
        <w:tc>
          <w:tcPr>
            <w:tcW w:type="dxa" w:w="1460"/>
          </w:tcPr>
          <w:p>
            <w:r>
              <w:t>8,234</w:t>
            </w:r>
          </w:p>
        </w:tc>
        <w:tc>
          <w:tcPr>
            <w:tcW w:type="dxa" w:w="1460"/>
          </w:tcPr>
          <w:p>
            <w:r>
              <w:t>8,572</w:t>
            </w:r>
          </w:p>
        </w:tc>
        <w:tc>
          <w:tcPr>
            <w:tcW w:type="dxa" w:w="1460"/>
          </w:tcPr>
          <w:p>
            <w:r>
              <w:t>8,014</w:t>
            </w:r>
          </w:p>
        </w:tc>
      </w:tr>
      <w:tr>
        <w:tc>
          <w:tcPr>
            <w:tcW w:type="dxa" w:w="1460"/>
          </w:tcPr>
          <w:p>
            <w:r>
              <w:t>영업이익(억원)</w:t>
            </w:r>
          </w:p>
        </w:tc>
        <w:tc>
          <w:tcPr>
            <w:tcW w:type="dxa" w:w="1460"/>
          </w:tcPr>
          <w:p>
            <w:r>
              <w:t>298</w:t>
            </w:r>
          </w:p>
        </w:tc>
        <w:tc>
          <w:tcPr>
            <w:tcW w:type="dxa" w:w="1460"/>
          </w:tcPr>
          <w:p>
            <w:r>
              <w:t>412</w:t>
            </w:r>
          </w:p>
        </w:tc>
        <w:tc>
          <w:tcPr>
            <w:tcW w:type="dxa" w:w="1460"/>
          </w:tcPr>
          <w:p>
            <w:r>
              <w:t>534</w:t>
            </w:r>
          </w:p>
        </w:tc>
        <w:tc>
          <w:tcPr>
            <w:tcW w:type="dxa" w:w="1460"/>
          </w:tcPr>
          <w:p>
            <w:r>
              <w:t>589</w:t>
            </w:r>
          </w:p>
        </w:tc>
        <w:tc>
          <w:tcPr>
            <w:tcW w:type="dxa" w:w="1460"/>
          </w:tcPr>
          <w:p>
            <w:r>
              <w:t>666</w:t>
            </w:r>
          </w:p>
        </w:tc>
        <w:tc>
          <w:tcPr>
            <w:tcW w:type="dxa" w:w="1460"/>
          </w:tcPr>
          <w:p>
            <w:r>
              <w:t>330</w:t>
            </w:r>
          </w:p>
        </w:tc>
      </w:tr>
      <w:tr>
        <w:tc>
          <w:tcPr>
            <w:tcW w:type="dxa" w:w="1460"/>
          </w:tcPr>
          <w:p>
            <w:r>
              <w:t>EBITDA(억원)</w:t>
            </w:r>
          </w:p>
        </w:tc>
        <w:tc>
          <w:tcPr>
            <w:tcW w:type="dxa" w:w="1460"/>
          </w:tcPr>
          <w:p>
            <w:r>
              <w:t>687</w:t>
            </w:r>
          </w:p>
        </w:tc>
        <w:tc>
          <w:tcPr>
            <w:tcW w:type="dxa" w:w="1460"/>
          </w:tcPr>
          <w:p>
            <w:r>
              <w:t>823</w:t>
            </w:r>
          </w:p>
        </w:tc>
        <w:tc>
          <w:tcPr>
            <w:tcW w:type="dxa" w:w="1460"/>
          </w:tcPr>
          <w:p>
            <w:r>
              <w:t>981</w:t>
            </w:r>
          </w:p>
        </w:tc>
        <w:tc>
          <w:tcPr>
            <w:tcW w:type="dxa" w:w="1460"/>
          </w:tcPr>
          <w:p>
            <w:r>
              <w:t>1,102</w:t>
            </w:r>
          </w:p>
        </w:tc>
        <w:tc>
          <w:tcPr>
            <w:tcW w:type="dxa" w:w="1460"/>
          </w:tcPr>
          <w:p>
            <w:r>
              <w:t>1,275</w:t>
            </w:r>
          </w:p>
        </w:tc>
        <w:tc>
          <w:tcPr>
            <w:tcW w:type="dxa" w:w="1460"/>
          </w:tcPr>
          <w:p>
            <w:r>
              <w:t>948</w:t>
            </w:r>
          </w:p>
        </w:tc>
      </w:tr>
      <w:tr>
        <w:tc>
          <w:tcPr>
            <w:tcW w:type="dxa" w:w="1460"/>
          </w:tcPr>
          <w:p>
            <w:r>
              <w:t>EBITDA마진(%)</w:t>
            </w:r>
          </w:p>
        </w:tc>
        <w:tc>
          <w:tcPr>
            <w:tcW w:type="dxa" w:w="1460"/>
          </w:tcPr>
          <w:p>
            <w:r>
              <w:t>10.5</w:t>
            </w:r>
          </w:p>
        </w:tc>
        <w:tc>
          <w:tcPr>
            <w:tcW w:type="dxa" w:w="1460"/>
          </w:tcPr>
          <w:p>
            <w:r>
              <w:t>11.7</w:t>
            </w:r>
          </w:p>
        </w:tc>
        <w:tc>
          <w:tcPr>
            <w:tcW w:type="dxa" w:w="1460"/>
          </w:tcPr>
          <w:p>
            <w:r>
              <w:t>12.5</w:t>
            </w:r>
          </w:p>
        </w:tc>
        <w:tc>
          <w:tcPr>
            <w:tcW w:type="dxa" w:w="1460"/>
          </w:tcPr>
          <w:p>
            <w:r>
              <w:t>13.4</w:t>
            </w:r>
          </w:p>
        </w:tc>
        <w:tc>
          <w:tcPr>
            <w:tcW w:type="dxa" w:w="1460"/>
          </w:tcPr>
          <w:p>
            <w:r>
              <w:t>14.9</w:t>
            </w:r>
          </w:p>
        </w:tc>
        <w:tc>
          <w:tcPr>
            <w:tcW w:type="dxa" w:w="1460"/>
          </w:tcPr>
          <w:p>
            <w:r>
              <w:t>11.8</w:t>
            </w:r>
          </w:p>
        </w:tc>
      </w:tr>
      <w:tr>
        <w:tc>
          <w:tcPr>
            <w:tcW w:type="dxa" w:w="1460"/>
          </w:tcPr>
          <w:p>
            <w:r>
              <w:t>총자산(억원)</w:t>
            </w:r>
          </w:p>
        </w:tc>
        <w:tc>
          <w:tcPr>
            <w:tcW w:type="dxa" w:w="1460"/>
          </w:tcPr>
          <w:p>
            <w:r>
              <w:t>9,234</w:t>
            </w:r>
          </w:p>
        </w:tc>
        <w:tc>
          <w:tcPr>
            <w:tcW w:type="dxa" w:w="1460"/>
          </w:tcPr>
          <w:p>
            <w:r>
              <w:t>9,587</w:t>
            </w:r>
          </w:p>
        </w:tc>
        <w:tc>
          <w:tcPr>
            <w:tcW w:type="dxa" w:w="1460"/>
          </w:tcPr>
          <w:p>
            <w:r>
              <w:t>10,123</w:t>
            </w:r>
          </w:p>
        </w:tc>
        <w:tc>
          <w:tcPr>
            <w:tcW w:type="dxa" w:w="1460"/>
          </w:tcPr>
          <w:p>
            <w:r>
              <w:t>10,845</w:t>
            </w:r>
          </w:p>
        </w:tc>
        <w:tc>
          <w:tcPr>
            <w:tcW w:type="dxa" w:w="1460"/>
          </w:tcPr>
          <w:p>
            <w:r>
              <w:t>11,298</w:t>
            </w:r>
          </w:p>
        </w:tc>
        <w:tc>
          <w:tcPr>
            <w:tcW w:type="dxa" w:w="1460"/>
          </w:tcPr>
          <w:p>
            <w:r>
              <w:t>11,619</w:t>
            </w:r>
          </w:p>
        </w:tc>
      </w:tr>
      <w:tr>
        <w:tc>
          <w:tcPr>
            <w:tcW w:type="dxa" w:w="1460"/>
          </w:tcPr>
          <w:p>
            <w:r>
              <w:t>순차입금(억원)</w:t>
            </w:r>
          </w:p>
        </w:tc>
        <w:tc>
          <w:tcPr>
            <w:tcW w:type="dxa" w:w="1460"/>
          </w:tcPr>
          <w:p>
            <w:r>
              <w:t>2,987</w:t>
            </w:r>
          </w:p>
        </w:tc>
        <w:tc>
          <w:tcPr>
            <w:tcW w:type="dxa" w:w="1460"/>
          </w:tcPr>
          <w:p>
            <w:r>
              <w:t>3,124</w:t>
            </w:r>
          </w:p>
        </w:tc>
        <w:tc>
          <w:tcPr>
            <w:tcW w:type="dxa" w:w="1460"/>
          </w:tcPr>
          <w:p>
            <w:r>
              <w:t>3,456</w:t>
            </w:r>
          </w:p>
        </w:tc>
        <w:tc>
          <w:tcPr>
            <w:tcW w:type="dxa" w:w="1460"/>
          </w:tcPr>
          <w:p>
            <w:r>
              <w:t>3,721</w:t>
            </w:r>
          </w:p>
        </w:tc>
        <w:tc>
          <w:tcPr>
            <w:tcW w:type="dxa" w:w="1460"/>
          </w:tcPr>
          <w:p>
            <w:r>
              <w:t>3,852</w:t>
            </w:r>
          </w:p>
        </w:tc>
        <w:tc>
          <w:tcPr>
            <w:tcW w:type="dxa" w:w="1460"/>
          </w:tcPr>
          <w:p>
            <w:r>
              <w:t>4,028</w:t>
            </w:r>
          </w:p>
        </w:tc>
      </w:tr>
      <w:tr>
        <w:tc>
          <w:tcPr>
            <w:tcW w:type="dxa" w:w="1460"/>
          </w:tcPr>
          <w:p>
            <w:r>
              <w:t>부채비율(%)</w:t>
            </w:r>
          </w:p>
        </w:tc>
        <w:tc>
          <w:tcPr>
            <w:tcW w:type="dxa" w:w="1460"/>
          </w:tcPr>
          <w:p>
            <w:r>
              <w:t>128.3</w:t>
            </w:r>
          </w:p>
        </w:tc>
        <w:tc>
          <w:tcPr>
            <w:tcW w:type="dxa" w:w="1460"/>
          </w:tcPr>
          <w:p>
            <w:r>
              <w:t>125.7</w:t>
            </w:r>
          </w:p>
        </w:tc>
        <w:tc>
          <w:tcPr>
            <w:tcW w:type="dxa" w:w="1460"/>
          </w:tcPr>
          <w:p>
            <w:r>
              <w:t>129.4</w:t>
            </w:r>
          </w:p>
        </w:tc>
        <w:tc>
          <w:tcPr>
            <w:tcW w:type="dxa" w:w="1460"/>
          </w:tcPr>
          <w:p>
            <w:r>
              <w:t>131.2</w:t>
            </w:r>
          </w:p>
        </w:tc>
        <w:tc>
          <w:tcPr>
            <w:tcW w:type="dxa" w:w="1460"/>
          </w:tcPr>
          <w:p>
            <w:r>
              <w:t>130.8</w:t>
            </w:r>
          </w:p>
        </w:tc>
        <w:tc>
          <w:tcPr>
            <w:tcW w:type="dxa" w:w="1460"/>
          </w:tcPr>
          <w:p>
            <w:r>
              <w:t>132.7</w:t>
            </w:r>
          </w:p>
        </w:tc>
      </w:tr>
      <w:tr>
        <w:tc>
          <w:tcPr>
            <w:tcW w:type="dxa" w:w="1460"/>
          </w:tcPr>
          <w:p>
            <w:r>
              <w:t>차입금의존도(%)</w:t>
            </w:r>
          </w:p>
        </w:tc>
        <w:tc>
          <w:tcPr>
            <w:tcW w:type="dxa" w:w="1460"/>
          </w:tcPr>
          <w:p>
            <w:r>
              <w:t>42.5</w:t>
            </w:r>
          </w:p>
        </w:tc>
        <w:tc>
          <w:tcPr>
            <w:tcW w:type="dxa" w:w="1460"/>
          </w:tcPr>
          <w:p>
            <w:r>
              <w:t>41.8</w:t>
            </w:r>
          </w:p>
        </w:tc>
        <w:tc>
          <w:tcPr>
            <w:tcW w:type="dxa" w:w="1460"/>
          </w:tcPr>
          <w:p>
            <w:r>
              <w:t>43.2</w:t>
            </w:r>
          </w:p>
        </w:tc>
        <w:tc>
          <w:tcPr>
            <w:tcW w:type="dxa" w:w="1460"/>
          </w:tcPr>
          <w:p>
            <w:r>
              <w:t>43.9</w:t>
            </w:r>
          </w:p>
        </w:tc>
        <w:tc>
          <w:tcPr>
            <w:tcW w:type="dxa" w:w="1460"/>
          </w:tcPr>
          <w:p>
            <w:r>
              <w:t>44.0</w:t>
            </w:r>
          </w:p>
        </w:tc>
        <w:tc>
          <w:tcPr>
            <w:tcW w:type="dxa" w:w="1460"/>
          </w:tcPr>
          <w:p>
            <w:r>
              <w:t>44.1</w:t>
            </w:r>
          </w:p>
        </w:tc>
      </w:tr>
      <w:tr>
        <w:tc>
          <w:tcPr>
            <w:tcW w:type="dxa" w:w="1460"/>
          </w:tcPr>
          <w:p>
            <w:r>
              <w:t>순차입금/EBITDA(배)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3.5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4.2</w:t>
            </w:r>
          </w:p>
        </w:tc>
      </w:tr>
      <w:tr>
        <w:tc>
          <w:tcPr>
            <w:tcW w:type="dxa" w:w="1460"/>
          </w:tcPr>
          <w:p>
            <w:r>
              <w:t>EBITDA/금융비용(배)</w:t>
            </w:r>
          </w:p>
        </w:tc>
        <w:tc>
          <w:tcPr>
            <w:tcW w:type="dxa" w:w="1460"/>
          </w:tcPr>
          <w:p>
            <w:r>
              <w:t>5.2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5.4</w:t>
            </w:r>
          </w:p>
        </w:tc>
        <w:tc>
          <w:tcPr>
            <w:tcW w:type="dxa" w:w="1460"/>
          </w:tcPr>
          <w:p>
            <w:r>
              <w:t>4.9</w:t>
            </w:r>
          </w:p>
        </w:tc>
        <w:tc>
          <w:tcPr>
            <w:tcW w:type="dxa" w:w="1460"/>
          </w:tcPr>
          <w:p>
            <w:r>
              <w:t>3.7</w:t>
            </w:r>
          </w:p>
        </w:tc>
      </w:tr>
    </w:tbl>
    <w:p>
      <w:pPr>
        <w:pStyle w:val="a0"/>
      </w:pPr>
      <w:r>
        <w:t>Slide 6 -</w:t>
      </w:r>
    </w:p>
    <w:p>
      <w:r>
        <w:t>[이미지: Image]</w:t>
      </w:r>
    </w:p>
    <w:p>
      <w:pPr/>
      <w:r>
        <w:t>2</w:t>
      </w:r>
    </w:p>
    <w:p>
      <w:pPr/>
      <w:r>
        <w:t>사업 포트폴리오 및 시장지위 분석</w:t>
      </w:r>
    </w:p>
    <w:p>
      <w:pPr>
        <w:pStyle w:val="a0"/>
      </w:pPr>
      <w:r>
        <w:t>Slide 7 -</w:t>
      </w:r>
    </w:p>
    <w:p>
      <w:r>
        <w:t>[이미지: Image]</w:t>
      </w:r>
    </w:p>
    <w:p>
      <w:pPr/>
      <w:r>
        <w:t>사업 포트폴리오 구조 및 매출/비중 변화(2020~2024)</w:t>
      </w:r>
    </w:p>
    <w:p>
      <w:pPr/>
      <w:r>
        <w:t>폼워크·사료 중심 포트폴리오는 2023년 8,569억원으로 정점을 기록한 후 2024년 8,014억원으로 조정되었으며, 강관 비중 축소와 선박엔진·단조 비중 확대로 산업 분산이 강화되고 있습니다.</w:t>
      </w:r>
    </w:p>
    <w:p>
      <w:pPr/>
      <w:r>
        <w:t>연결 매출 추이(2020~2024)</w:t>
      </w:r>
    </w:p>
    <w:p>
      <w:pPr>
        <w:pStyle w:val="1"/>
      </w:pPr>
      <w:r>
        <w:t>Chart: 단위: 억원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</w:r>
          </w:p>
        </w:tc>
        <w:tc>
          <w:tcPr>
            <w:tcW w:type="dxa" w:w="5110"/>
          </w:tcPr>
          <w:p>
            <w:r>
              <w:rPr>
                <w:b/>
              </w:rPr>
              <w:t>연결 매출</w:t>
            </w:r>
          </w:p>
        </w:tc>
      </w:tr>
      <w:tr>
        <w:tc>
          <w:tcPr>
            <w:tcW w:type="dxa" w:w="5110"/>
          </w:tcPr>
          <w:p>
            <w:r>
              <w:t>2020</w:t>
            </w:r>
          </w:p>
        </w:tc>
        <w:tc>
          <w:tcPr>
            <w:tcW w:type="dxa" w:w="5110"/>
          </w:tcPr>
          <w:p>
            <w:r>
              <w:t>5019</w:t>
            </w:r>
          </w:p>
        </w:tc>
      </w:tr>
      <w:tr>
        <w:tc>
          <w:tcPr>
            <w:tcW w:type="dxa" w:w="5110"/>
          </w:tcPr>
          <w:p>
            <w:r>
              <w:t>2021</w:t>
            </w:r>
          </w:p>
        </w:tc>
        <w:tc>
          <w:tcPr>
            <w:tcW w:type="dxa" w:w="5110"/>
          </w:tcPr>
          <w:p>
            <w:r>
              <w:t>6488</w:t>
            </w:r>
          </w:p>
        </w:tc>
      </w:tr>
      <w:tr>
        <w:tc>
          <w:tcPr>
            <w:tcW w:type="dxa" w:w="5110"/>
          </w:tcPr>
          <w:p>
            <w:r>
              <w:t>2022</w:t>
            </w:r>
          </w:p>
        </w:tc>
        <w:tc>
          <w:tcPr>
            <w:tcW w:type="dxa" w:w="5110"/>
          </w:tcPr>
          <w:p>
            <w:r>
              <w:t>7289</w:t>
            </w:r>
          </w:p>
        </w:tc>
      </w:tr>
      <w:tr>
        <w:tc>
          <w:tcPr>
            <w:tcW w:type="dxa" w:w="5110"/>
          </w:tcPr>
          <w:p>
            <w:r>
              <w:t>2023</w:t>
            </w:r>
          </w:p>
        </w:tc>
        <w:tc>
          <w:tcPr>
            <w:tcW w:type="dxa" w:w="5110"/>
          </w:tcPr>
          <w:p>
            <w:r>
              <w:t>8569</w:t>
            </w:r>
          </w:p>
        </w:tc>
      </w:tr>
      <w:tr>
        <w:tc>
          <w:tcPr>
            <w:tcW w:type="dxa" w:w="5110"/>
          </w:tcPr>
          <w:p>
            <w:r>
              <w:t>2024</w:t>
            </w:r>
          </w:p>
        </w:tc>
        <w:tc>
          <w:tcPr>
            <w:tcW w:type="dxa" w:w="5110"/>
          </w:tcPr>
          <w:p>
            <w:r>
              <w:t>8014</w:t>
            </w:r>
          </w:p>
        </w:tc>
      </w:tr>
    </w:tbl>
    <w:p>
      <w:pPr/>
      <w:r>
        <w:t>사업부문별 매출 구조(2024)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매출액(억원)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매출비중(%)</w:t>
            </w:r>
          </w:p>
        </w:tc>
      </w:tr>
      <w:tr>
        <w:tc>
          <w:tcPr>
            <w:tcW w:type="dxa" w:w="3407"/>
          </w:tcPr>
          <w:p>
            <w:r>
              <w:t>강관</w:t>
            </w:r>
          </w:p>
        </w:tc>
        <w:tc>
          <w:tcPr>
            <w:tcW w:type="dxa" w:w="3407"/>
          </w:tcPr>
          <w:p>
            <w:r>
              <w:t>876</w:t>
            </w:r>
          </w:p>
        </w:tc>
        <w:tc>
          <w:tcPr>
            <w:tcW w:type="dxa" w:w="3407"/>
          </w:tcPr>
          <w:p>
            <w:r>
              <w:t>10.9</w:t>
            </w:r>
          </w:p>
        </w:tc>
      </w:tr>
      <w:tr>
        <w:tc>
          <w:tcPr>
            <w:tcW w:type="dxa" w:w="3407"/>
          </w:tcPr>
          <w:p>
            <w:r>
              <w:t>폼워크</w:t>
            </w:r>
          </w:p>
        </w:tc>
        <w:tc>
          <w:tcPr>
            <w:tcW w:type="dxa" w:w="3407"/>
          </w:tcPr>
          <w:p>
            <w:r>
              <w:t>2,244</w:t>
            </w:r>
          </w:p>
        </w:tc>
        <w:tc>
          <w:tcPr>
            <w:tcW w:type="dxa" w:w="3407"/>
          </w:tcPr>
          <w:p>
            <w:r>
              <w:t>28</w:t>
            </w:r>
          </w:p>
        </w:tc>
      </w:tr>
      <w:tr>
        <w:tc>
          <w:tcPr>
            <w:tcW w:type="dxa" w:w="3407"/>
          </w:tcPr>
          <w:p>
            <w:r>
              <w:t>사료</w:t>
            </w:r>
          </w:p>
        </w:tc>
        <w:tc>
          <w:tcPr>
            <w:tcW w:type="dxa" w:w="3407"/>
          </w:tcPr>
          <w:p>
            <w:r>
              <w:t>2,933</w:t>
            </w:r>
          </w:p>
        </w:tc>
        <w:tc>
          <w:tcPr>
            <w:tcW w:type="dxa" w:w="3407"/>
          </w:tcPr>
          <w:p>
            <w:r>
              <w:t>36.6</w:t>
            </w:r>
          </w:p>
        </w:tc>
      </w:tr>
      <w:tr>
        <w:tc>
          <w:tcPr>
            <w:tcW w:type="dxa" w:w="3407"/>
          </w:tcPr>
          <w:p>
            <w:r>
              <w:t>가설재</w:t>
            </w:r>
          </w:p>
        </w:tc>
        <w:tc>
          <w:tcPr>
            <w:tcW w:type="dxa" w:w="3407"/>
          </w:tcPr>
          <w:p>
            <w:r>
              <w:t>704</w:t>
            </w:r>
          </w:p>
        </w:tc>
        <w:tc>
          <w:tcPr>
            <w:tcW w:type="dxa" w:w="3407"/>
          </w:tcPr>
          <w:p>
            <w:r>
              <w:t>8.8</w:t>
            </w:r>
          </w:p>
        </w:tc>
      </w:tr>
      <w:tr>
        <w:tc>
          <w:tcPr>
            <w:tcW w:type="dxa" w:w="3407"/>
          </w:tcPr>
          <w:p>
            <w:r>
              <w:t>선박엔진</w:t>
            </w:r>
          </w:p>
        </w:tc>
        <w:tc>
          <w:tcPr>
            <w:tcW w:type="dxa" w:w="3407"/>
          </w:tcPr>
          <w:p>
            <w:r>
              <w:t>589</w:t>
            </w:r>
          </w:p>
        </w:tc>
        <w:tc>
          <w:tcPr>
            <w:tcW w:type="dxa" w:w="3407"/>
          </w:tcPr>
          <w:p>
            <w:r>
              <w:t>7.4</w:t>
            </w:r>
          </w:p>
        </w:tc>
      </w:tr>
      <w:tr>
        <w:tc>
          <w:tcPr>
            <w:tcW w:type="dxa" w:w="3407"/>
          </w:tcPr>
          <w:p>
            <w:r>
              <w:t>단조</w:t>
            </w:r>
          </w:p>
        </w:tc>
        <w:tc>
          <w:tcPr>
            <w:tcW w:type="dxa" w:w="3407"/>
          </w:tcPr>
          <w:p>
            <w:r>
              <w:t>897</w:t>
            </w:r>
          </w:p>
        </w:tc>
        <w:tc>
          <w:tcPr>
            <w:tcW w:type="dxa" w:w="3407"/>
          </w:tcPr>
          <w:p>
            <w:r>
              <w:t>11.2</w:t>
            </w:r>
          </w:p>
        </w:tc>
      </w:tr>
    </w:tbl>
    <w:p>
      <w:pPr>
        <w:pStyle w:val="a0"/>
      </w:pPr>
      <w:r>
        <w:t>Slide 8 -</w:t>
      </w:r>
    </w:p>
    <w:p>
      <w:r>
        <w:t>[이미지: Image]</w:t>
      </w:r>
    </w:p>
    <w:p>
      <w:pPr/>
      <w:r>
        <w:t>주요 사업부문별 시장지위 및 경쟁환경</w:t>
      </w:r>
    </w:p>
    <w:p>
      <w:pPr/>
      <w:r>
        <w:t>폼워크는 상위 2개사가 70% 과점하는 경쟁우위 사업이며, 강관은 60여 개사 경쟁의 레드오션, 사료는 10위권 안정적 포지션을 유지하고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시장구조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점유율 및 지위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경쟁력 특징</w:t>
            </w:r>
          </w:p>
        </w:tc>
      </w:tr>
      <w:tr>
        <w:tc>
          <w:tcPr>
            <w:tcW w:type="dxa" w:w="2555"/>
          </w:tcPr>
          <w:p>
            <w:r>
              <w:t>폼워크</w:t>
            </w:r>
          </w:p>
        </w:tc>
        <w:tc>
          <w:tcPr>
            <w:tcW w:type="dxa" w:w="2555"/>
          </w:tcPr>
          <w:p>
            <w:r>
              <w:t>상위권 과점 구조</w:t>
            </w:r>
          </w:p>
        </w:tc>
        <w:tc>
          <w:tcPr>
            <w:tcW w:type="dxa" w:w="2555"/>
          </w:tcPr>
          <w:p>
            <w:r>
              <w:t>약 30% 내외  업계 2위</w:t>
            </w:r>
          </w:p>
        </w:tc>
        <w:tc>
          <w:tcPr>
            <w:tcW w:type="dxa" w:w="2555"/>
          </w:tcPr>
          <w:p>
            <w:r>
              <w:t>자체 알루미늄 압출설비 보유  시공기간 단축 &amp; 품질 우위  높은 진입장벽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약 60개사 경쟁  레드오션</w:t>
            </w:r>
          </w:p>
        </w:tc>
        <w:tc>
          <w:tcPr>
            <w:tcW w:type="dxa" w:w="2555"/>
          </w:tcPr>
          <w:p>
            <w:r>
              <w:t>2~3% 수준  제한적 지위</w:t>
            </w:r>
          </w:p>
        </w:tc>
        <w:tc>
          <w:tcPr>
            <w:tcW w:type="dxa" w:w="2555"/>
          </w:tcPr>
          <w:p>
            <w:r>
              <w:t>건설경기 민감  중국산 저가 철강재 영향  가격 방어력 제한적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농협 30% 과점  중소형 다수</w:t>
            </w:r>
          </w:p>
        </w:tc>
        <w:tc>
          <w:tcPr>
            <w:tcW w:type="dxa" w:w="2555"/>
          </w:tcPr>
          <w:p>
            <w:r>
              <w:t>생산 기준 약 2%  10위권</w:t>
            </w:r>
          </w:p>
        </w:tc>
        <w:tc>
          <w:tcPr>
            <w:tcW w:type="dxa" w:w="2555"/>
          </w:tcPr>
          <w:p>
            <w:r>
              <w:t>연 3,000억원대 안정 매출  실적 변동성 보완 역할</w:t>
            </w:r>
          </w:p>
        </w:tc>
      </w:tr>
      <w:tr>
        <w:tc>
          <w:tcPr>
            <w:tcW w:type="dxa" w:w="2555"/>
          </w:tcPr>
          <w:p>
            <w:r>
              <w:t>선박엔진·단조·가설재</w:t>
            </w:r>
          </w:p>
        </w:tc>
        <w:tc>
          <w:tcPr>
            <w:tcW w:type="dxa" w:w="2555"/>
          </w:tcPr>
          <w:p>
            <w:r>
              <w:t>니치 시장</w:t>
            </w:r>
          </w:p>
        </w:tc>
        <w:tc>
          <w:tcPr>
            <w:tcW w:type="dxa" w:w="2555"/>
          </w:tcPr>
          <w:p>
            <w:r>
              <w:t>조선·방산 연계 성장</w:t>
            </w:r>
          </w:p>
        </w:tc>
        <w:tc>
          <w:tcPr>
            <w:tcW w:type="dxa" w:w="2555"/>
          </w:tcPr>
          <w:p>
            <w:r>
              <w:t>업황 호조 수혜  포트폴리오 분산 효과  성장성 기대</w:t>
            </w:r>
          </w:p>
        </w:tc>
      </w:tr>
    </w:tbl>
    <w:p>
      <w:pPr>
        <w:pStyle w:val="a0"/>
      </w:pPr>
      <w:r>
        <w:t>Slide 9 -</w:t>
      </w:r>
    </w:p>
    <w:p>
      <w:r>
        <w:t>[이미지: Image]</w:t>
      </w:r>
    </w:p>
    <w:p>
      <w:pPr/>
      <w:r>
        <w:t>다각화된 포트폴리오가 실적·리스크에 미치는 영향</w:t>
      </w:r>
    </w:p>
    <w:p>
      <w:pPr/>
      <w:r>
        <w:t>건설·사료·조선방산 세 축의 포트폴리오 다각화가 경기 사이클 차이를 활용해 실적 변동성을 완화하지만, 폼워크·강관 부문의 구조적 한계로 하방 리스크는 상존합니다.</w:t>
      </w:r>
    </w:p>
    <w:p>
      <w:pPr/>
      <w:r>
        <w:t>폼워크·강관</w:t>
      </w:r>
    </w:p>
    <w:p>
      <w:pPr/>
      <w:r>
        <w:t>건설경기 민감</w:t>
      </w:r>
    </w:p>
    <w:p>
      <w:pPr/>
      <w:r>
        <w:t>주택 착공량·미분양 연동</w:t>
      </w:r>
    </w:p>
    <w:p>
      <w:pPr/>
      <w:r>
        <w:t>건설 부문</w:t>
      </w:r>
    </w:p>
    <w:p>
      <w:pPr/>
      <w:r>
        <w:t>축산업 동향 연동</w:t>
      </w:r>
    </w:p>
    <w:p>
      <w:pPr/>
      <w:r>
        <w:t>곡물 가격 영향</w:t>
      </w:r>
    </w:p>
    <w:p>
      <w:pPr/>
      <w:r>
        <w:t>2020~2024 전 기간 흑자 유지</w:t>
      </w:r>
    </w:p>
    <w:p>
      <w:pPr/>
      <w:r>
        <w:t>사료 부문</w:t>
      </w:r>
    </w:p>
    <w:p>
      <w:pPr/>
      <w:r>
        <w:t>가설재·선박엔진·단조</w:t>
      </w:r>
    </w:p>
    <w:p>
      <w:pPr/>
      <w:r>
        <w:t>조선·방산 호황 연동</w:t>
      </w:r>
    </w:p>
    <w:p>
      <w:pPr/>
      <w:r>
        <w:t>2022년 이후 매출·이익 확대</w:t>
      </w:r>
    </w:p>
    <w:p>
      <w:pPr/>
      <w:r>
        <w:t>조선·방산·기계</w:t>
      </w:r>
    </w:p>
    <w:p>
      <w:pPr/>
      <w:r>
        <w:t>포트폴리오 다각화 효과</w:t>
      </w:r>
    </w:p>
    <w:p>
      <w:pPr/>
      <w:r>
        <w:t>2021~2023 폼워크·강관 호황</w:t>
      </w:r>
    </w:p>
    <w:p>
      <w:pPr/>
      <w:r>
        <w:t>2024 건설 부진 시 사료·엔진·단조 보완</w:t>
      </w:r>
    </w:p>
    <w:p>
      <w:pPr/>
      <w:r>
        <w:t>전사 수익성 하락폭 제한</w:t>
      </w:r>
    </w:p>
    <w:p>
      <w:pPr/>
      <w:r>
        <w:t>실적 변동성 완화</w:t>
      </w:r>
    </w:p>
    <w:p>
      <w:pPr/>
      <w:r>
        <w:t>서로 다른 경기 사이클 활용</w:t>
      </w:r>
    </w:p>
    <w:p>
      <w:pPr/>
      <w:r>
        <w:t>특정 산업 침체 시 완충장치</w:t>
      </w:r>
    </w:p>
    <w:p>
      <w:pPr/>
      <w:r>
        <w:t>안정적 현금창출 기반 제공</w:t>
      </w:r>
    </w:p>
    <w:p>
      <w:pPr/>
      <w:r>
        <w:t>리스크 분산 효과</w:t>
      </w:r>
    </w:p>
    <w:p>
      <w:pPr/>
      <w:r>
        <w:t>폼워크 고정비 구조</w:t>
      </w:r>
    </w:p>
    <w:p>
      <w:pPr/>
      <w:r>
        <w:t>강관 레드오션 경쟁</w:t>
      </w:r>
    </w:p>
    <w:p>
      <w:pPr/>
      <w:r>
        <w:t>건설경기·철강 시황 노출 지속</w:t>
      </w:r>
    </w:p>
    <w:p>
      <w:pPr/>
      <w:r>
        <w:t>하방 리스크 상존</w:t>
      </w:r>
    </w:p>
    <w:p>
      <w:pPr>
        <w:pStyle w:val="a0"/>
      </w:pPr>
      <w:r>
        <w:t>Slide 10 -</w:t>
      </w:r>
    </w:p>
    <w:p>
      <w:r>
        <w:t>[이미지: Image]</w:t>
      </w:r>
    </w:p>
    <w:p>
      <w:pPr/>
      <w:r>
        <w:t>3</w:t>
      </w:r>
    </w:p>
    <w:p>
      <w:pPr/>
      <w:r>
        <w:t>주요 사업부문별 실적 및 수익성 진단</w:t>
      </w:r>
    </w:p>
    <w:p>
      <w:pPr>
        <w:pStyle w:val="a0"/>
      </w:pPr>
      <w:r>
        <w:t>Slide 11 -</w:t>
      </w:r>
    </w:p>
    <w:p>
      <w:r>
        <w:t>[이미지: Image]</w:t>
      </w:r>
    </w:p>
    <w:p>
      <w:pPr/>
      <w:r>
        <w:t>주요 사업부문별 매출 및 수익성 5개년 진단(2020~2024)</w:t>
      </w:r>
    </w:p>
    <w:p>
      <w:pPr/>
      <w:r>
        <w:t>폼워크는 2024년 영업이익률 6.9%로 급락, 강관은 -14.3% 적자 심화, 사료는 4.7%로 개선되며 기타 부문이 8.3%로 안정적 수익원 역할을 수행합니다.</w:t>
      </w:r>
    </w:p>
    <w:p>
      <w:pPr/>
      <w:r>
        <w:t>부문별 매출 추이 (2020~2024)</w:t>
      </w:r>
    </w:p>
    <w:p>
      <w:pPr>
        <w:pStyle w:val="1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1527</w:t>
            </w:r>
          </w:p>
        </w:tc>
        <w:tc>
          <w:tcPr>
            <w:tcW w:type="dxa" w:w="2044"/>
          </w:tcPr>
          <w:p>
            <w:r>
              <w:t>938</w:t>
            </w:r>
          </w:p>
        </w:tc>
        <w:tc>
          <w:tcPr>
            <w:tcW w:type="dxa" w:w="2044"/>
          </w:tcPr>
          <w:p>
            <w:r>
              <w:t>1831</w:t>
            </w:r>
          </w:p>
        </w:tc>
        <w:tc>
          <w:tcPr>
            <w:tcW w:type="dxa" w:w="2044"/>
          </w:tcPr>
          <w:p>
            <w:r>
              <w:t>721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1854</w:t>
            </w:r>
          </w:p>
        </w:tc>
        <w:tc>
          <w:tcPr>
            <w:tcW w:type="dxa" w:w="2044"/>
          </w:tcPr>
          <w:p>
            <w:r>
              <w:t>1349</w:t>
            </w:r>
          </w:p>
        </w:tc>
        <w:tc>
          <w:tcPr>
            <w:tcW w:type="dxa" w:w="2044"/>
          </w:tcPr>
          <w:p>
            <w:r>
              <w:t>2034</w:t>
            </w:r>
          </w:p>
        </w:tc>
        <w:tc>
          <w:tcPr>
            <w:tcW w:type="dxa" w:w="2044"/>
          </w:tcPr>
          <w:p>
            <w:r>
              <w:t>902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2118</w:t>
            </w:r>
          </w:p>
        </w:tc>
        <w:tc>
          <w:tcPr>
            <w:tcW w:type="dxa" w:w="2044"/>
          </w:tcPr>
          <w:p>
            <w:r>
              <w:t>1320</w:t>
            </w:r>
          </w:p>
        </w:tc>
        <w:tc>
          <w:tcPr>
            <w:tcW w:type="dxa" w:w="2044"/>
          </w:tcPr>
          <w:p>
            <w:r>
              <w:t>2282</w:t>
            </w:r>
          </w:p>
        </w:tc>
        <w:tc>
          <w:tcPr>
            <w:tcW w:type="dxa" w:w="2044"/>
          </w:tcPr>
          <w:p>
            <w:r>
              <w:t>1569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2415</w:t>
            </w:r>
          </w:p>
        </w:tc>
        <w:tc>
          <w:tcPr>
            <w:tcW w:type="dxa" w:w="2044"/>
          </w:tcPr>
          <w:p>
            <w:r>
              <w:t>1137</w:t>
            </w:r>
          </w:p>
        </w:tc>
        <w:tc>
          <w:tcPr>
            <w:tcW w:type="dxa" w:w="2044"/>
          </w:tcPr>
          <w:p>
            <w:r>
              <w:t>2484</w:t>
            </w:r>
          </w:p>
        </w:tc>
        <w:tc>
          <w:tcPr>
            <w:tcW w:type="dxa" w:w="2044"/>
          </w:tcPr>
          <w:p>
            <w:r>
              <w:t>2533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2244</w:t>
            </w:r>
          </w:p>
        </w:tc>
        <w:tc>
          <w:tcPr>
            <w:tcW w:type="dxa" w:w="2044"/>
          </w:tcPr>
          <w:p>
            <w:r>
              <w:t>876</w:t>
            </w:r>
          </w:p>
        </w:tc>
        <w:tc>
          <w:tcPr>
            <w:tcW w:type="dxa" w:w="2044"/>
          </w:tcPr>
          <w:p>
            <w:r>
              <w:t>2933</w:t>
            </w:r>
          </w:p>
        </w:tc>
        <w:tc>
          <w:tcPr>
            <w:tcW w:type="dxa" w:w="2044"/>
          </w:tcPr>
          <w:p>
            <w:r>
              <w:t>1960</w:t>
            </w:r>
          </w:p>
        </w:tc>
      </w:tr>
    </w:tbl>
    <w:p>
      <w:pPr/>
      <w:r>
        <w:t>부문별 영업이익률 추이 (2020~2024)</w:t>
      </w:r>
    </w:p>
    <w:p>
      <w:pPr>
        <w:pStyle w:val="1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-8</w:t>
            </w:r>
          </w:p>
        </w:tc>
        <w:tc>
          <w:tcPr>
            <w:tcW w:type="dxa" w:w="2044"/>
          </w:tcPr>
          <w:p>
            <w:r>
              <w:t>2.1</w:t>
            </w:r>
          </w:p>
        </w:tc>
        <w:tc>
          <w:tcPr>
            <w:tcW w:type="dxa" w:w="2044"/>
          </w:tcPr>
          <w:p>
            <w:r>
              <w:t>1.5</w:t>
            </w:r>
          </w:p>
        </w:tc>
        <w:tc>
          <w:tcPr>
            <w:tcW w:type="dxa" w:w="2044"/>
          </w:tcPr>
          <w:p>
            <w:r>
              <w:t>3.6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8.5</w:t>
            </w:r>
          </w:p>
        </w:tc>
        <w:tc>
          <w:tcPr>
            <w:tcW w:type="dxa" w:w="2044"/>
          </w:tcPr>
          <w:p>
            <w:r>
              <w:t>9.7</w:t>
            </w:r>
          </w:p>
        </w:tc>
        <w:tc>
          <w:tcPr>
            <w:tcW w:type="dxa" w:w="2044"/>
          </w:tcPr>
          <w:p>
            <w:r>
              <w:t>0.9</w:t>
            </w:r>
          </w:p>
        </w:tc>
        <w:tc>
          <w:tcPr>
            <w:tcW w:type="dxa" w:w="2044"/>
          </w:tcPr>
          <w:p>
            <w:r>
              <w:t>5.2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13.2</w:t>
            </w:r>
          </w:p>
        </w:tc>
        <w:tc>
          <w:tcPr>
            <w:tcW w:type="dxa" w:w="2044"/>
          </w:tcPr>
          <w:p>
            <w:r>
              <w:t>3.6</w:t>
            </w:r>
          </w:p>
        </w:tc>
        <w:tc>
          <w:tcPr>
            <w:tcW w:type="dxa" w:w="2044"/>
          </w:tcPr>
          <w:p>
            <w:r>
              <w:t>1.8</w:t>
            </w:r>
          </w:p>
        </w:tc>
        <w:tc>
          <w:tcPr>
            <w:tcW w:type="dxa" w:w="2044"/>
          </w:tcPr>
          <w:p>
            <w:r>
              <w:t>7.1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17.9</w:t>
            </w:r>
          </w:p>
        </w:tc>
        <w:tc>
          <w:tcPr>
            <w:tcW w:type="dxa" w:w="2044"/>
          </w:tcPr>
          <w:p>
            <w:r>
              <w:t>-0.3</w:t>
            </w:r>
          </w:p>
        </w:tc>
        <w:tc>
          <w:tcPr>
            <w:tcW w:type="dxa" w:w="2044"/>
          </w:tcPr>
          <w:p>
            <w:r>
              <w:t>1.4</w:t>
            </w:r>
          </w:p>
        </w:tc>
        <w:tc>
          <w:tcPr>
            <w:tcW w:type="dxa" w:w="2044"/>
          </w:tcPr>
          <w:p>
            <w:r>
              <w:t>9.5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6.9</w:t>
            </w:r>
          </w:p>
        </w:tc>
        <w:tc>
          <w:tcPr>
            <w:tcW w:type="dxa" w:w="2044"/>
          </w:tcPr>
          <w:p>
            <w:r>
              <w:t>-14.3</w:t>
            </w:r>
          </w:p>
        </w:tc>
        <w:tc>
          <w:tcPr>
            <w:tcW w:type="dxa" w:w="2044"/>
          </w:tcPr>
          <w:p>
            <w:r>
              <w:t>4.7</w:t>
            </w:r>
          </w:p>
        </w:tc>
        <w:tc>
          <w:tcPr>
            <w:tcW w:type="dxa" w:w="2044"/>
          </w:tcPr>
          <w:p>
            <w:r>
              <w:t>8.3</w:t>
            </w:r>
          </w:p>
        </w:tc>
      </w:tr>
      <w:tr>
        <w:tc>
          <w:tcPr>
            <w:tcW w:type="dxa" w:w="2044"/>
          </w:tcPr>
          <w:p>
            <w:r>
              <w:t>폼워크·강관 부문 특징</w:t>
            </w:r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</w:tr>
    </w:tbl>
    <w:p>
      <w:pPr>
        <w:pStyle w:val="a0"/>
      </w:pPr>
      <w:r>
        <w:t>폼워크: 2023년 17.9% → 2024년 6.9%로 급락, 고정비 구조에서 수요·단가 조정이 수익성에 큰 영향</w:t>
      </w:r>
    </w:p>
    <w:p>
      <w:pPr>
        <w:pStyle w:val="a0"/>
      </w:pPr>
      <w:r>
        <w:t>강관: 2024년 매출 -22.9%, 영업이익률 -14.3% 적자 심화, 중국산 저가재 유입 및 전방산업 둔화 영향</w:t>
      </w:r>
    </w:p>
    <w:p>
      <w:pPr/>
      <w:r>
        <w:t>사료·기타 부문 특징</w:t>
      </w:r>
    </w:p>
    <w:p>
      <w:pPr>
        <w:pStyle w:val="a0"/>
      </w:pPr>
      <w:r>
        <w:t>사료: 매출 1,831억원 → 2,933억원 꾸준한 성장, 2024년 영업이익률 4.7%로 5개년 내 최고 수준</w:t>
      </w:r>
    </w:p>
    <w:p>
      <w:pPr>
        <w:pStyle w:val="a0"/>
      </w:pPr>
      <w:r>
        <w:t>기타(가설재·선박엔진·단조): 매출 721억원 → 1,960억원 급성장, 영업이익률 8.3% 안정적 수익원 역할</w:t>
      </w:r>
    </w:p>
    <w:p>
      <w:pPr>
        <w:pStyle w:val="a0"/>
      </w:pPr>
      <w:r>
        <w:t>Slide 12 -</w:t>
      </w:r>
    </w:p>
    <w:p>
      <w:r>
        <w:t>[이미지: Image]</w:t>
      </w:r>
    </w:p>
    <w:p>
      <w:pPr/>
      <w:r>
        <w:t>폼워크·강관·사료·기타 부문별 수익성 드라이버 분석</w:t>
      </w:r>
    </w:p>
    <w:p>
      <w:pPr/>
      <w:r>
        <w:t>폼워크·강관의 높은 변동성과 사료·기타의 안정성이 혼재된 포트폴리오 구조로, 외부 환경에 따른 부문별 수익성 격차가 전사 리스크를 부분 상쇄하고 있습니다.</w:t>
      </w:r>
    </w:p>
    <w:p>
      <w:pPr/>
      <w:r>
        <w:t>건설경기 약화</w:t>
      </w:r>
    </w:p>
    <w:p>
      <w:pPr/>
      <w:r>
        <w:t>임대단가 하락 &amp; 가동률 저하</w:t>
      </w:r>
    </w:p>
    <w:p>
      <w:pPr/>
      <w:r>
        <w:t>고정비 구조의 변동성 확대</w:t>
      </w:r>
    </w:p>
    <w:p>
      <w:pPr/>
      <w:r>
        <w:t>폼워크</w:t>
      </w:r>
    </w:p>
    <w:p>
      <w:pPr/>
      <w:r>
        <w:t>중국산 저가 유입</w:t>
      </w:r>
    </w:p>
    <w:p>
      <w:pPr/>
      <w:r>
        <w:t>전방 건설·자동차 수요 둔화</w:t>
      </w:r>
    </w:p>
    <w:p>
      <w:pPr/>
      <w:r>
        <w:t>원가 상승의 판가 전가 실패</w:t>
      </w:r>
    </w:p>
    <w:p>
      <w:pPr/>
      <w:r>
        <w:t>강관</w:t>
      </w:r>
    </w:p>
    <w:p>
      <w:pPr/>
      <w:r>
        <w:t>원재료(옥수수) 가격 약세</w:t>
      </w:r>
    </w:p>
    <w:p>
      <w:pPr/>
      <w:r>
        <w:t>환율 영향 존재</w:t>
      </w:r>
    </w:p>
    <w:p>
      <w:pPr/>
      <w:r>
        <w:t>설비효율 개선 &amp; 스마트공장</w:t>
      </w:r>
    </w:p>
    <w:p>
      <w:pPr/>
      <w:r>
        <w:t>사료</w:t>
      </w:r>
    </w:p>
    <w:p>
      <w:pPr/>
      <w:r>
        <w:t>조선·방산·기계업 호조</w:t>
      </w:r>
    </w:p>
    <w:p>
      <w:pPr/>
      <w:r>
        <w:t>LNG선 수주 확대 수혜</w:t>
      </w:r>
    </w:p>
    <w:p>
      <w:pPr/>
      <w:r>
        <w:t>안정적 수요 기반</w:t>
      </w:r>
    </w:p>
    <w:p>
      <w:pPr/>
      <w:r>
        <w:t>기타</w:t>
      </w:r>
    </w:p>
    <w:p>
      <w:pPr/>
      <w:r>
        <w:t>사업부문별 수익성 드라이버</w:t>
      </w:r>
    </w:p>
    <w:p>
      <w:pPr/>
      <w:r>
        <w:t>2024년 영업이익률 6.9%</w:t>
      </w:r>
    </w:p>
    <w:p>
      <w:pPr/>
      <w:r>
        <w:t>2020년 17.9%에서 급락</w:t>
      </w:r>
    </w:p>
    <w:p>
      <w:pPr/>
      <w:r>
        <w:t>해외 수출로 일부 보완</w:t>
      </w:r>
    </w:p>
    <w:p>
      <w:pPr/>
      <w:r>
        <w:t>폼워크 수익성</w:t>
      </w:r>
    </w:p>
    <w:p>
      <w:pPr/>
      <w:r>
        <w:t>2024년 영업이익률 -14.3%</w:t>
      </w:r>
    </w:p>
    <w:p>
      <w:pPr/>
      <w:r>
        <w:t>2023년 적자 전환</w:t>
      </w:r>
    </w:p>
    <w:p>
      <w:pPr/>
      <w:r>
        <w:t>국내 공급과잉 심화</w:t>
      </w:r>
    </w:p>
    <w:p>
      <w:pPr/>
      <w:r>
        <w:t>강관 수익성</w:t>
      </w:r>
    </w:p>
    <w:p>
      <w:pPr/>
      <w:r>
        <w:t>2024년 영업이익률 4.7%</w:t>
      </w:r>
    </w:p>
    <w:p>
      <w:pPr/>
      <w:r>
        <w:t>점진적 개선 추세</w:t>
      </w:r>
    </w:p>
    <w:p>
      <w:pPr/>
      <w:r>
        <w:t>전사 수익성 보완 역할</w:t>
      </w:r>
    </w:p>
    <w:p>
      <w:pPr/>
      <w:r>
        <w:t>사료 수익성</w:t>
      </w:r>
    </w:p>
    <w:p>
      <w:pPr/>
      <w:r>
        <w:t>양호한 이익률 달성</w:t>
      </w:r>
    </w:p>
    <w:p>
      <w:pPr/>
      <w:r>
        <w:t>매출 성장 지속</w:t>
      </w:r>
    </w:p>
    <w:p>
      <w:pPr/>
      <w:r>
        <w:t>포트폴리오 리스크 완화</w:t>
      </w:r>
    </w:p>
    <w:p>
      <w:pPr/>
      <w:r>
        <w:t>기타 수익성</w:t>
      </w:r>
    </w:p>
    <w:p>
      <w:pPr>
        <w:pStyle w:val="a0"/>
      </w:pPr>
      <w:r>
        <w:t>Slide 13 -</w:t>
      </w:r>
    </w:p>
    <w:p>
      <w:r>
        <w:t>[이미지: Image]</w:t>
      </w:r>
    </w:p>
    <w:p>
      <w:pPr/>
      <w:r>
        <w:t>부문별 실적 가변성과 사업 안정성 비교 평가</w:t>
      </w:r>
    </w:p>
    <w:p>
      <w:pPr/>
      <w:r>
        <w:t>폼워크·강관은 외부 요인과 고정비 구조로 실적 변동성이 크며, 사료·기타는 안정적 수요 기반과 업황 호조로 방어적 역할을 수행하여 포트폴리오 수익성은 중립~완만 개선 수준을 유지합니다.</w:t>
      </w:r>
    </w:p>
    <w:p>
      <w:pPr/>
      <w:r>
        <w:t>고변동성 부문</w:t>
      </w:r>
    </w:p>
    <w:p>
      <w:pPr/>
      <w:r>
        <w:t>1</w:t>
      </w:r>
    </w:p>
    <w:p>
      <w:pPr/>
      <w:r>
        <w:t>폼워크</w:t>
      </w:r>
    </w:p>
    <w:p>
      <w:pPr>
        <w:pStyle w:val="a0"/>
      </w:pPr>
      <w:r>
        <w:t>고정비 비중 높아 건설경기·임대단가 변화에 레버리지 효과 확대</w:t>
      </w:r>
    </w:p>
    <w:p>
      <w:pPr>
        <w:pStyle w:val="a0"/>
      </w:pPr>
      <w:r>
        <w:t>2024년 착공·분양 위축 시 매출 감소폭 이상으로 영업이익률 급락</w:t>
      </w:r>
    </w:p>
    <w:p>
      <w:pPr>
        <w:pStyle w:val="a0"/>
      </w:pPr>
      <w:r>
        <w:t>수익성 상·하방 모두 큰 구조</w:t>
      </w:r>
    </w:p>
    <w:p>
      <w:pPr/>
      <w:r>
        <w:t>2</w:t>
      </w:r>
    </w:p>
    <w:p>
      <w:pPr/>
      <w:r>
        <w:t>강관</w:t>
      </w:r>
    </w:p>
    <w:p>
      <w:pPr>
        <w:pStyle w:val="a0"/>
      </w:pPr>
      <w:r>
        <w:t>전방 수요·원가·수입규제에 매우 민감</w:t>
      </w:r>
    </w:p>
    <w:p>
      <w:pPr>
        <w:pStyle w:val="a0"/>
      </w:pPr>
      <w:r>
        <w:t>2021년 호조 이후 중국산 저가재 유입과 건설경기 침체로 2023~2024년 연속 적자</w:t>
      </w:r>
    </w:p>
    <w:p>
      <w:pPr>
        <w:pStyle w:val="a0"/>
      </w:pPr>
      <w:r>
        <w:t>부문 내 변동성 가장 큼</w:t>
      </w:r>
    </w:p>
    <w:p>
      <w:pPr/>
      <w:r>
        <w:t>안정성 부문</w:t>
      </w:r>
    </w:p>
    <w:p>
      <w:pPr/>
      <w:r>
        <w:t>1</w:t>
      </w:r>
    </w:p>
    <w:p>
      <w:pPr/>
      <w:r>
        <w:t>사료</w:t>
      </w:r>
    </w:p>
    <w:p>
      <w:pPr>
        <w:pStyle w:val="a0"/>
      </w:pPr>
      <w:r>
        <w:t>낮은 마진이나 수요 기반 안정적, 스마트공장 등 효율 개선으로 완만한 우상향</w:t>
      </w:r>
    </w:p>
    <w:p>
      <w:pPr>
        <w:pStyle w:val="a0"/>
      </w:pPr>
      <w:r>
        <w:t>원재료·환율 변동 압박 존재하나 실적 변동성 작음</w:t>
      </w:r>
    </w:p>
    <w:p>
      <w:pPr>
        <w:pStyle w:val="a0"/>
      </w:pPr>
      <w:r>
        <w:t>경기 역풍 구간에서도 이익 기여 유지, 방어적 성격 부각</w:t>
      </w:r>
    </w:p>
    <w:p>
      <w:pPr/>
      <w:r>
        <w:t>2</w:t>
      </w:r>
    </w:p>
    <w:p>
      <w:pPr/>
      <w:r>
        <w:t>기타(가설재·선박엔진·단조)</w:t>
      </w:r>
    </w:p>
    <w:p>
      <w:pPr>
        <w:pStyle w:val="a0"/>
      </w:pPr>
      <w:r>
        <w:t>조선·방산·기계업 호황과 연동, LNG선 수주 확대 등 고부가가치 수요 성장</w:t>
      </w:r>
    </w:p>
    <w:p>
      <w:pPr>
        <w:pStyle w:val="a0"/>
      </w:pPr>
      <w:r>
        <w:t>2023~2024년 높은 한 자릿수~두 자릿수 근접 영업이익률 기록</w:t>
      </w:r>
    </w:p>
    <w:p>
      <w:pPr>
        <w:pStyle w:val="a0"/>
      </w:pPr>
      <w:r>
        <w:t>업황 양호 시 수익성과 성장성 동시 확보, 안정적 이익원 기능</w:t>
      </w:r>
    </w:p>
    <w:p>
      <w:pPr>
        <w:pStyle w:val="a0"/>
      </w:pPr>
      <w:r>
        <w:t>Slide 14 -</w:t>
      </w:r>
    </w:p>
    <w:p>
      <w:r>
        <w:t>[이미지: Image]</w:t>
      </w:r>
    </w:p>
    <w:p>
      <w:pPr/>
      <w:r>
        <w:t>4</w:t>
      </w:r>
    </w:p>
    <w:p>
      <w:pPr/>
      <w:r>
        <w:t>재무안정성과 현금흐름 구조 분석</w:t>
      </w:r>
    </w:p>
    <w:p>
      <w:pPr>
        <w:pStyle w:val="a0"/>
      </w:pPr>
      <w:r>
        <w:t>Slide 15 -</w:t>
      </w:r>
    </w:p>
    <w:p>
      <w:r>
        <w:t>[이미지: Image]</w:t>
      </w:r>
    </w:p>
    <w:p>
      <w:pPr/>
      <w:r>
        <w:t>주요 재무지표(2020~2024년) 추이와 재무커버리지 평가</w:t>
      </w:r>
    </w:p>
    <w:p>
      <w:pPr/>
      <w:r>
        <w:t>EBITDA 마진 11~15% 수준 유지하나 순차입금/EBITDA 4.2배로 상승, 레버리지 부담이 확대되며 커버리지 지표 저하가 확인됩니다.</w:t>
      </w:r>
    </w:p>
    <w:p>
      <w:pPr/>
      <w:r>
        <w:t>주요 재무지표 추이 (2020~2024년)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2024년</w:t>
            </w:r>
          </w:p>
        </w:tc>
      </w:tr>
      <w:tr>
        <w:tc>
          <w:tcPr>
            <w:tcW w:type="dxa" w:w="1703"/>
          </w:tcPr>
          <w:p>
            <w:r>
              <w:t>EBITDA 마진 (%)</w:t>
            </w:r>
          </w:p>
        </w:tc>
        <w:tc>
          <w:tcPr>
            <w:tcW w:type="dxa" w:w="1703"/>
          </w:tcPr>
          <w:p>
            <w:r>
              <w:t>11.4</w:t>
            </w:r>
          </w:p>
        </w:tc>
        <w:tc>
          <w:tcPr>
            <w:tcW w:type="dxa" w:w="1703"/>
          </w:tcPr>
          <w:p>
            <w:r>
              <w:t>12.8</w:t>
            </w:r>
          </w:p>
        </w:tc>
        <w:tc>
          <w:tcPr>
            <w:tcW w:type="dxa" w:w="1703"/>
          </w:tcPr>
          <w:p>
            <w:r>
              <w:t>13.2</w:t>
            </w:r>
          </w:p>
        </w:tc>
        <w:tc>
          <w:tcPr>
            <w:tcW w:type="dxa" w:w="1703"/>
          </w:tcPr>
          <w:p>
            <w:r>
              <w:t>14.9</w:t>
            </w:r>
          </w:p>
        </w:tc>
        <w:tc>
          <w:tcPr>
            <w:tcW w:type="dxa" w:w="1703"/>
          </w:tcPr>
          <w:p>
            <w:r>
              <w:t>11.8</w:t>
            </w:r>
          </w:p>
        </w:tc>
      </w:tr>
      <w:tr>
        <w:tc>
          <w:tcPr>
            <w:tcW w:type="dxa" w:w="1703"/>
          </w:tcPr>
          <w:p>
            <w:r>
              <w:t>순차입금 (억원)</w:t>
            </w:r>
          </w:p>
        </w:tc>
        <w:tc>
          <w:tcPr>
            <w:tcW w:type="dxa" w:w="1703"/>
          </w:tcPr>
          <w:p>
            <w:r>
              <w:t>2,296</w:t>
            </w:r>
          </w:p>
        </w:tc>
        <w:tc>
          <w:tcPr>
            <w:tcW w:type="dxa" w:w="1703"/>
          </w:tcPr>
          <w:p>
            <w:r>
              <w:t>2,850</w:t>
            </w:r>
          </w:p>
        </w:tc>
        <w:tc>
          <w:tcPr>
            <w:tcW w:type="dxa" w:w="1703"/>
          </w:tcPr>
          <w:p>
            <w:r>
              <w:t>3,728</w:t>
            </w:r>
          </w:p>
        </w:tc>
        <w:tc>
          <w:tcPr>
            <w:tcW w:type="dxa" w:w="1703"/>
          </w:tcPr>
          <w:p>
            <w:r>
              <w:t>3,708</w:t>
            </w:r>
          </w:p>
        </w:tc>
        <w:tc>
          <w:tcPr>
            <w:tcW w:type="dxa" w:w="1703"/>
          </w:tcPr>
          <w:p>
            <w:r>
              <w:t>4,028</w:t>
            </w:r>
          </w:p>
        </w:tc>
      </w:tr>
      <w:tr>
        <w:tc>
          <w:tcPr>
            <w:tcW w:type="dxa" w:w="1703"/>
          </w:tcPr>
          <w:p>
            <w:r>
              <w:t>부채비율 (%)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135.2</w:t>
            </w:r>
          </w:p>
        </w:tc>
        <w:tc>
          <w:tcPr>
            <w:tcW w:type="dxa" w:w="1703"/>
          </w:tcPr>
          <w:p>
            <w:r>
              <w:t>145.3</w:t>
            </w:r>
          </w:p>
        </w:tc>
        <w:tc>
          <w:tcPr>
            <w:tcW w:type="dxa" w:w="1703"/>
          </w:tcPr>
          <w:p>
            <w:r>
              <w:t>138.7</w:t>
            </w:r>
          </w:p>
        </w:tc>
        <w:tc>
          <w:tcPr>
            <w:tcW w:type="dxa" w:w="1703"/>
          </w:tcPr>
          <w:p>
            <w:r>
              <w:t>132.7</w:t>
            </w:r>
          </w:p>
        </w:tc>
      </w:tr>
      <w:tr>
        <w:tc>
          <w:tcPr>
            <w:tcW w:type="dxa" w:w="1703"/>
          </w:tcPr>
          <w:p>
            <w:r>
              <w:t>차입금의존도 (%)</w:t>
            </w:r>
          </w:p>
        </w:tc>
        <w:tc>
          <w:tcPr>
            <w:tcW w:type="dxa" w:w="1703"/>
          </w:tcPr>
          <w:p>
            <w:r>
              <w:t>40.4</w:t>
            </w:r>
          </w:p>
        </w:tc>
        <w:tc>
          <w:tcPr>
            <w:tcW w:type="dxa" w:w="1703"/>
          </w:tcPr>
          <w:p>
            <w:r>
              <w:t>42.1</w:t>
            </w:r>
          </w:p>
        </w:tc>
        <w:tc>
          <w:tcPr>
            <w:tcW w:type="dxa" w:w="1703"/>
          </w:tcPr>
          <w:p>
            <w:r>
              <w:t>43.8</w:t>
            </w:r>
          </w:p>
        </w:tc>
        <w:tc>
          <w:tcPr>
            <w:tcW w:type="dxa" w:w="1703"/>
          </w:tcPr>
          <w:p>
            <w:r>
              <w:t>41.9</w:t>
            </w:r>
          </w:p>
        </w:tc>
        <w:tc>
          <w:tcPr>
            <w:tcW w:type="dxa" w:w="1703"/>
          </w:tcPr>
          <w:p>
            <w:r>
              <w:t>44.1</w:t>
            </w:r>
          </w:p>
        </w:tc>
      </w:tr>
    </w:tbl>
    <w:p>
      <w:pPr/>
      <w:r>
        <w:t>재무커버리지 지표 추이</w:t>
      </w:r>
    </w:p>
    <w:p>
      <w:pPr>
        <w:pStyle w:val="1"/>
      </w:pPr>
      <w:r>
        <w:t>Chart: 순차입금/EBITDA &amp; 부채비율 추이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순차입금/EBITDA (배)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부채비율 (%)</w:t>
            </w:r>
          </w:p>
        </w:tc>
      </w:tr>
      <w:tr>
        <w:tc>
          <w:tcPr>
            <w:tcW w:type="dxa" w:w="3407"/>
          </w:tcPr>
          <w:p>
            <w:r>
              <w:t>2020</w:t>
            </w:r>
          </w:p>
        </w:tc>
        <w:tc>
          <w:tcPr>
            <w:tcW w:type="dxa" w:w="3407"/>
          </w:tcPr>
          <w:p>
            <w:r>
              <w:t>3.6</w:t>
            </w:r>
          </w:p>
        </w:tc>
        <w:tc>
          <w:tcPr>
            <w:tcW w:type="dxa" w:w="3407"/>
          </w:tcPr>
          <w:p>
            <w:r>
              <w:t>120.6</w:t>
            </w:r>
          </w:p>
        </w:tc>
      </w:tr>
      <w:tr>
        <w:tc>
          <w:tcPr>
            <w:tcW w:type="dxa" w:w="3407"/>
          </w:tcPr>
          <w:p>
            <w:r>
              <w:t>2021</w:t>
            </w:r>
          </w:p>
        </w:tc>
        <w:tc>
          <w:tcPr>
            <w:tcW w:type="dxa" w:w="3407"/>
          </w:tcPr>
          <w:p>
            <w:r>
              <w:t>3.5</w:t>
            </w:r>
          </w:p>
        </w:tc>
        <w:tc>
          <w:tcPr>
            <w:tcW w:type="dxa" w:w="3407"/>
          </w:tcPr>
          <w:p>
            <w:r>
              <w:t>135.2</w:t>
            </w:r>
          </w:p>
        </w:tc>
      </w:tr>
      <w:tr>
        <w:tc>
          <w:tcPr>
            <w:tcW w:type="dxa" w:w="3407"/>
          </w:tcPr>
          <w:p>
            <w:r>
              <w:t>2022</w:t>
            </w:r>
          </w:p>
        </w:tc>
        <w:tc>
          <w:tcPr>
            <w:tcW w:type="dxa" w:w="3407"/>
          </w:tcPr>
          <w:p>
            <w:r>
              <w:t>4</w:t>
            </w:r>
          </w:p>
        </w:tc>
        <w:tc>
          <w:tcPr>
            <w:tcW w:type="dxa" w:w="3407"/>
          </w:tcPr>
          <w:p>
            <w:r>
              <w:t>145.3</w:t>
            </w:r>
          </w:p>
        </w:tc>
      </w:tr>
      <w:tr>
        <w:tc>
          <w:tcPr>
            <w:tcW w:type="dxa" w:w="3407"/>
          </w:tcPr>
          <w:p>
            <w:r>
              <w:t>2023</w:t>
            </w:r>
          </w:p>
        </w:tc>
        <w:tc>
          <w:tcPr>
            <w:tcW w:type="dxa" w:w="3407"/>
          </w:tcPr>
          <w:p>
            <w:r>
              <w:t>2.9</w:t>
            </w:r>
          </w:p>
        </w:tc>
        <w:tc>
          <w:tcPr>
            <w:tcW w:type="dxa" w:w="3407"/>
          </w:tcPr>
          <w:p>
            <w:r>
              <w:t>138.7</w:t>
            </w:r>
          </w:p>
        </w:tc>
      </w:tr>
      <w:tr>
        <w:tc>
          <w:tcPr>
            <w:tcW w:type="dxa" w:w="3407"/>
          </w:tcPr>
          <w:p>
            <w:r>
              <w:t>2024</w:t>
            </w:r>
          </w:p>
        </w:tc>
        <w:tc>
          <w:tcPr>
            <w:tcW w:type="dxa" w:w="3407"/>
          </w:tcPr>
          <w:p>
            <w:r>
              <w:t>4.2</w:t>
            </w:r>
          </w:p>
        </w:tc>
        <w:tc>
          <w:tcPr>
            <w:tcW w:type="dxa" w:w="3407"/>
          </w:tcPr>
          <w:p>
            <w:r>
              <w:t>132.7</w:t>
            </w:r>
          </w:p>
        </w:tc>
      </w:tr>
    </w:tbl>
    <w:p>
      <w:pPr>
        <w:pStyle w:val="a0"/>
      </w:pPr>
      <w:r>
        <w:t>Slide 16 -</w:t>
      </w:r>
    </w:p>
    <w:p>
      <w:r>
        <w:t>[이미지: Image]</w:t>
      </w:r>
    </w:p>
    <w:p>
      <w:pPr/>
      <w:r>
        <w:t>현금흐름 구조와 FCF 제약 요인 분석</w:t>
      </w:r>
    </w:p>
    <w:p>
      <w:pPr/>
      <w:r>
        <w:t>운전자본투자와 Capex 확대로 2020~2024년 FCF는 전 기간 적자를 기록하며, 영업현금창출력에도 불구하고 구조적 현금흐름 제약이 지속되고 있습니다.</w:t>
      </w:r>
    </w:p>
    <w:p>
      <w:pPr/>
      <w:r>
        <w:t>연도별 현금흐름 지표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703"/>
          </w:tcPr>
          <w:p>
            <w:r>
              <w:t>OCF</w:t>
            </w:r>
          </w:p>
        </w:tc>
        <w:tc>
          <w:tcPr>
            <w:tcW w:type="dxa" w:w="1703"/>
          </w:tcPr>
          <w:p>
            <w:r>
              <w:t>566</w:t>
            </w:r>
          </w:p>
        </w:tc>
        <w:tc>
          <w:tcPr>
            <w:tcW w:type="dxa" w:w="1703"/>
          </w:tcPr>
          <w:p>
            <w:r>
              <w:t>788</w:t>
            </w:r>
          </w:p>
        </w:tc>
        <w:tc>
          <w:tcPr>
            <w:tcW w:type="dxa" w:w="1703"/>
          </w:tcPr>
          <w:p>
            <w:r>
              <w:t>843</w:t>
            </w:r>
          </w:p>
        </w:tc>
        <w:tc>
          <w:tcPr>
            <w:tcW w:type="dxa" w:w="1703"/>
          </w:tcPr>
          <w:p>
            <w:r>
              <w:t>1,016</w:t>
            </w:r>
          </w:p>
        </w:tc>
        <w:tc>
          <w:tcPr>
            <w:tcW w:type="dxa" w:w="1703"/>
          </w:tcPr>
          <w:p>
            <w:r>
              <w:t>740</w:t>
            </w:r>
          </w:p>
        </w:tc>
      </w:tr>
      <w:tr>
        <w:tc>
          <w:tcPr>
            <w:tcW w:type="dxa" w:w="1703"/>
          </w:tcPr>
          <w:p>
            <w:r>
              <w:t>운전자본투자</w:t>
            </w:r>
          </w:p>
        </w:tc>
        <w:tc>
          <w:tcPr>
            <w:tcW w:type="dxa" w:w="1703"/>
          </w:tcPr>
          <w:p>
            <w:r>
              <w:t>-426</w:t>
            </w:r>
          </w:p>
        </w:tc>
        <w:tc>
          <w:tcPr>
            <w:tcW w:type="dxa" w:w="1703"/>
          </w:tcPr>
          <w:p>
            <w:r>
              <w:t>-990</w:t>
            </w:r>
          </w:p>
        </w:tc>
        <w:tc>
          <w:tcPr>
            <w:tcW w:type="dxa" w:w="1703"/>
          </w:tcPr>
          <w:p>
            <w:r>
              <w:t>-1,112</w:t>
            </w:r>
          </w:p>
        </w:tc>
        <w:tc>
          <w:tcPr>
            <w:tcW w:type="dxa" w:w="1703"/>
          </w:tcPr>
          <w:p>
            <w:r>
              <w:t>-522</w:t>
            </w:r>
          </w:p>
        </w:tc>
        <w:tc>
          <w:tcPr>
            <w:tcW w:type="dxa" w:w="1703"/>
          </w:tcPr>
          <w:p>
            <w:r>
              <w:t>-610</w:t>
            </w:r>
          </w:p>
        </w:tc>
      </w:tr>
      <w:tr>
        <w:tc>
          <w:tcPr>
            <w:tcW w:type="dxa" w:w="1703"/>
          </w:tcPr>
          <w:p>
            <w:r>
              <w:t>NCF</w:t>
            </w:r>
          </w:p>
        </w:tc>
        <w:tc>
          <w:tcPr>
            <w:tcW w:type="dxa" w:w="1703"/>
          </w:tcPr>
          <w:p>
            <w:r>
              <w:t>140</w:t>
            </w:r>
          </w:p>
        </w:tc>
        <w:tc>
          <w:tcPr>
            <w:tcW w:type="dxa" w:w="1703"/>
          </w:tcPr>
          <w:p>
            <w:r>
              <w:t>-202</w:t>
            </w:r>
          </w:p>
        </w:tc>
        <w:tc>
          <w:tcPr>
            <w:tcW w:type="dxa" w:w="1703"/>
          </w:tcPr>
          <w:p>
            <w:r>
              <w:t>-269</w:t>
            </w:r>
          </w:p>
        </w:tc>
        <w:tc>
          <w:tcPr>
            <w:tcW w:type="dxa" w:w="1703"/>
          </w:tcPr>
          <w:p>
            <w:r>
              <w:t>494</w:t>
            </w:r>
          </w:p>
        </w:tc>
        <w:tc>
          <w:tcPr>
            <w:tcW w:type="dxa" w:w="1703"/>
          </w:tcPr>
          <w:p>
            <w:r>
              <w:t>130</w:t>
            </w:r>
          </w:p>
        </w:tc>
      </w:tr>
      <w:tr>
        <w:tc>
          <w:tcPr>
            <w:tcW w:type="dxa" w:w="1703"/>
          </w:tcPr>
          <w:p>
            <w:r>
              <w:t>Capex</w:t>
            </w:r>
          </w:p>
        </w:tc>
        <w:tc>
          <w:tcPr>
            <w:tcW w:type="dxa" w:w="1703"/>
          </w:tcPr>
          <w:p>
            <w:r>
              <w:t>-431</w:t>
            </w:r>
          </w:p>
        </w:tc>
        <w:tc>
          <w:tcPr>
            <w:tcW w:type="dxa" w:w="1703"/>
          </w:tcPr>
          <w:p>
            <w:r>
              <w:t>-141</w:t>
            </w:r>
          </w:p>
        </w:tc>
        <w:tc>
          <w:tcPr>
            <w:tcW w:type="dxa" w:w="1703"/>
          </w:tcPr>
          <w:p>
            <w:r>
              <w:t>-232</w:t>
            </w:r>
          </w:p>
        </w:tc>
        <w:tc>
          <w:tcPr>
            <w:tcW w:type="dxa" w:w="1703"/>
          </w:tcPr>
          <w:p>
            <w:r>
              <w:t>-473</w:t>
            </w:r>
          </w:p>
        </w:tc>
        <w:tc>
          <w:tcPr>
            <w:tcW w:type="dxa" w:w="1703"/>
          </w:tcPr>
          <w:p>
            <w:r>
              <w:t>-559</w:t>
            </w:r>
          </w:p>
        </w:tc>
      </w:tr>
      <w:tr>
        <w:tc>
          <w:tcPr>
            <w:tcW w:type="dxa" w:w="1703"/>
          </w:tcPr>
          <w:p>
            <w:r>
              <w:t>FCF</w:t>
            </w:r>
          </w:p>
        </w:tc>
        <w:tc>
          <w:tcPr>
            <w:tcW w:type="dxa" w:w="1703"/>
          </w:tcPr>
          <w:p>
            <w:r>
              <w:t>-313</w:t>
            </w:r>
          </w:p>
        </w:tc>
        <w:tc>
          <w:tcPr>
            <w:tcW w:type="dxa" w:w="1703"/>
          </w:tcPr>
          <w:p>
            <w:r>
              <w:t>-343</w:t>
            </w:r>
          </w:p>
        </w:tc>
        <w:tc>
          <w:tcPr>
            <w:tcW w:type="dxa" w:w="1703"/>
          </w:tcPr>
          <w:p>
            <w:r>
              <w:t>-533</w:t>
            </w:r>
          </w:p>
        </w:tc>
        <w:tc>
          <w:tcPr>
            <w:tcW w:type="dxa" w:w="1703"/>
          </w:tcPr>
          <w:p>
            <w:r>
              <w:t>-16</w:t>
            </w:r>
          </w:p>
        </w:tc>
        <w:tc>
          <w:tcPr>
            <w:tcW w:type="dxa" w:w="1703"/>
          </w:tcPr>
          <w:p>
            <w:r>
              <w:t>-467</w:t>
            </w:r>
          </w:p>
        </w:tc>
      </w:tr>
      <w:tr>
        <w:tc>
          <w:tcPr>
            <w:tcW w:type="dxa" w:w="1703"/>
          </w:tcPr>
          <w:p>
            <w:r>
              <w:t>EBITDA/Capex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6.2x</w:t>
            </w:r>
          </w:p>
        </w:tc>
        <w:tc>
          <w:tcPr>
            <w:tcW w:type="dxa" w:w="1703"/>
          </w:tcPr>
          <w:p>
            <w:r>
              <w:t>4.3x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1.7x</w:t>
            </w:r>
          </w:p>
        </w:tc>
      </w:tr>
    </w:tbl>
    <w:p>
      <w:pPr/>
      <w:r>
        <w:t>FCF 제약 요인 및 특징</w:t>
      </w:r>
    </w:p>
    <w:p>
      <w:pPr>
        <w:pStyle w:val="a0"/>
      </w:pPr>
      <w:r>
        <w:t>영업현금창출력: 감가상각비 기반으로 700~1,000억원대 OCF 안정 유지</w:t>
      </w:r>
    </w:p>
    <w:p>
      <w:pPr>
        <w:pStyle w:val="a0"/>
      </w:pPr>
      <w:r>
        <w:t>운전자본 부담: 폼워크 임대자산·원재료 재고 투자로 연평균 600~1,100억원 유출</w:t>
      </w:r>
    </w:p>
    <w:p>
      <w:pPr>
        <w:pStyle w:val="a0"/>
      </w:pPr>
      <w:r>
        <w:t>NCF 변동성: 운전자본 증감에 따라 -269억원(2022)~494억원(2023) 급변</w:t>
      </w:r>
    </w:p>
    <w:p>
      <w:pPr>
        <w:pStyle w:val="a0"/>
      </w:pPr>
      <w:r>
        <w:t>Capex 확대: 서초·과천 사옥, 녹산·창녕 공장 등으로 2023~2024년 500억원 이상</w:t>
      </w:r>
    </w:p>
    <w:p>
      <w:pPr>
        <w:pStyle w:val="a0"/>
      </w:pPr>
      <w:r>
        <w:t>EBITDA/Capex 하락: 6.2배(2021) → 1.7배(2024)로 투자 강도 급증</w:t>
      </w:r>
    </w:p>
    <w:p>
      <w:pPr>
        <w:pStyle w:val="a0"/>
      </w:pPr>
      <w:r>
        <w:t>FCF 적자 고착화: 전 기간 음(-), 2022·2024년 -500억원 내외 적자 심화</w:t>
      </w:r>
    </w:p>
    <w:p>
      <w:pPr>
        <w:pStyle w:val="a0"/>
      </w:pPr>
      <w:r>
        <w:t>구조 개선 과제: 폼워크 매출 성장으로 운전자본·Capex 자체 충당 체계 확립 필요</w:t>
      </w:r>
    </w:p>
    <w:p>
      <w:pPr>
        <w:pStyle w:val="a0"/>
      </w:pPr>
      <w:r>
        <w:t>Slide 17 -</w:t>
      </w:r>
    </w:p>
    <w:p>
      <w:r>
        <w:t>[이미지: Image]</w:t>
      </w:r>
    </w:p>
    <w:p>
      <w:pPr/>
      <w:r>
        <w:t>유동성·단기채무 구조와 재무위기 대응 여력</w:t>
      </w:r>
    </w:p>
    <w:p>
      <w:pPr/>
      <w:r>
        <w:t>단기성 차입금 비중 76.7%로 상환부담이 높으나, 담보여력과 직접금융 접근성을 바탕으로 차환 중심의 유동성 관리 전략을 운영하고 있습니다.</w:t>
      </w:r>
    </w:p>
    <w:p>
      <w:pPr/>
      <w:r>
        <w:t>총차입금 5,124억원 중 76.7%가 1년내 만기</w:t>
      </w:r>
    </w:p>
    <w:p>
      <w:pPr/>
      <w:r>
        <w:t>단기차입 3,190억원, 유동성장기차입 220억원</w:t>
      </w:r>
    </w:p>
    <w:p>
      <w:pPr/>
      <w:r>
        <w:t>운전자금·기업구매자금 비중 높음</w:t>
      </w:r>
    </w:p>
    <w:p>
      <w:pPr/>
      <w:r>
        <w:t>단기차입금 집중</w:t>
      </w:r>
    </w:p>
    <w:p>
      <w:pPr/>
      <w:r>
        <w:t>현금성자산 1,095억원</w:t>
      </w:r>
    </w:p>
    <w:p>
      <w:pPr/>
      <w:r>
        <w:t>2024년 OCF 740억원 수준</w:t>
      </w:r>
    </w:p>
    <w:p>
      <w:pPr/>
      <w:r>
        <w:t>단기차입 전액 상환 불가능한 구조</w:t>
      </w:r>
    </w:p>
    <w:p>
      <w:pPr/>
      <w:r>
        <w:t>현금 창출력 제약</w:t>
      </w:r>
    </w:p>
    <w:p>
      <w:pPr/>
      <w:r>
        <w:t>토지·건물 등 유형자산 담보 제공</w:t>
      </w:r>
    </w:p>
    <w:p>
      <w:pPr/>
      <w:r>
        <w:t>알루미늄 폼 재고 현금화 가능성</w:t>
      </w:r>
    </w:p>
    <w:p>
      <w:pPr/>
      <w:r>
        <w:t>은행 차환 여력 확보</w:t>
      </w:r>
    </w:p>
    <w:p>
      <w:pPr/>
      <w:r>
        <w:t>담보 제공 여력</w:t>
      </w:r>
    </w:p>
    <w:p>
      <w:pPr/>
      <w:r>
        <w:t>유가증권시장 상장사 지위</w:t>
      </w:r>
    </w:p>
    <w:p>
      <w:pPr/>
      <w:r>
        <w:t>회사채 발행 가능(2024년말 유동성회사채 500억원)</w:t>
      </w:r>
    </w:p>
    <w:p>
      <w:pPr/>
      <w:r>
        <w:t>유상증자 등 자본시장 활용 가능</w:t>
      </w:r>
    </w:p>
    <w:p>
      <w:pPr/>
      <w:r>
        <w:t>직접금융 접근성</w:t>
      </w:r>
    </w:p>
    <w:p>
      <w:pPr/>
      <w:r>
        <w:t>유동성 리스크 관리</w:t>
      </w:r>
    </w:p>
    <w:p>
      <w:pPr/>
      <w:r>
        <w:t>단기채무 일괄 상환 대신 차환 병행 전략</w:t>
      </w:r>
    </w:p>
    <w:p>
      <w:pPr/>
      <w:r>
        <w:t>금리·신용스프레드 변동에 민감</w:t>
      </w:r>
    </w:p>
    <w:p>
      <w:pPr/>
      <w:r>
        <w:t>시장 환경 악화 시 리스크 증대</w:t>
      </w:r>
    </w:p>
    <w:p>
      <w:pPr/>
      <w:r>
        <w:t>차환 의존도 상승</w:t>
      </w:r>
    </w:p>
    <w:p>
      <w:pPr/>
      <w:r>
        <w:t>담보 &amp; 직접금융으로 단기 위기 가능성 낮음</w:t>
      </w:r>
    </w:p>
    <w:p>
      <w:pPr/>
      <w:r>
        <w:t>급격한 시장 악화가 아닌 한 대응 가능</w:t>
      </w:r>
    </w:p>
    <w:p>
      <w:pPr/>
      <w:r>
        <w:t>다층적 유동성 소스 확보</w:t>
      </w:r>
    </w:p>
    <w:p>
      <w:pPr/>
      <w:r>
        <w:t>유동성 위기 완충</w:t>
      </w:r>
    </w:p>
    <w:p>
      <w:pPr/>
      <w:r>
        <w:t>FCF 적자 &amp; 순차입금 증가 추세 지속</w:t>
      </w:r>
    </w:p>
    <w:p>
      <w:pPr/>
      <w:r>
        <w:t>운전자본 관리 최적화 필요</w:t>
      </w:r>
    </w:p>
    <w:p>
      <w:pPr/>
      <w:r>
        <w:t>Capex 조절을 통한 현금 창출력 강화</w:t>
      </w:r>
    </w:p>
    <w:p>
      <w:pPr/>
      <w:r>
        <w:t>구조적 개선 필요</w:t>
      </w:r>
    </w:p>
    <w:p>
      <w:pPr>
        <w:pStyle w:val="a0"/>
      </w:pPr>
      <w:r>
        <w:t>Slide 18 -</w:t>
      </w:r>
    </w:p>
    <w:p>
      <w:r>
        <w:t>[이미지: Image]</w:t>
      </w:r>
    </w:p>
    <w:p>
      <w:pPr/>
      <w:r>
        <w:t>5</w:t>
      </w:r>
    </w:p>
    <w:p>
      <w:pPr/>
      <w:r>
        <w:t>사업·재무 전망 및 신용등급 변동요인</w:t>
      </w:r>
    </w:p>
    <w:p>
      <w:pPr>
        <w:pStyle w:val="a0"/>
      </w:pPr>
      <w:r>
        <w:t>Slide 19 -</w:t>
      </w:r>
    </w:p>
    <w:p>
      <w:r>
        <w:t>[이미지: Image]</w:t>
      </w:r>
    </w:p>
    <w:p>
      <w:pPr/>
      <w:r>
        <w:t>사업 환경 및 부문별 중단기 전망</w:t>
      </w:r>
    </w:p>
    <w:p>
      <w:pPr/>
      <w:r>
        <w:t>주력 부문(판넬·강관)의 내수 부진과 대외 압력으로 전사 수익성 약화가 지속될 가능성이 크며, 기타 부문의 견조한 실적이 하방 위험을 일부 완충합니다.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사업 환경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수익성 전망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주요 변수</w:t>
            </w:r>
          </w:p>
        </w:tc>
      </w:tr>
      <w:tr>
        <w:tc>
          <w:tcPr>
            <w:tcW w:type="dxa" w:w="2555"/>
          </w:tcPr>
          <w:p>
            <w:r>
              <w:t>판넬(폼워크)</w:t>
            </w:r>
          </w:p>
        </w:tc>
        <w:tc>
          <w:tcPr>
            <w:tcW w:type="dxa" w:w="2555"/>
          </w:tcPr>
          <w:p>
            <w:r>
              <w:t>국내 착공·수주 위축으로 내수 임대물량 및 단가 압력 지속  해외(인도·중동·동남아) 수출 증가로 일부 완충</w:t>
            </w:r>
          </w:p>
        </w:tc>
        <w:tc>
          <w:tcPr>
            <w:tcW w:type="dxa" w:w="2555"/>
          </w:tcPr>
          <w:p>
            <w:r>
              <w:t>고정비 구조로 매출 축소 시 수익성 희석 심화  해외 수출 확대에도 내수 부진의 영향 크게 작용</w:t>
            </w:r>
          </w:p>
        </w:tc>
        <w:tc>
          <w:tcPr>
            <w:tcW w:type="dxa" w:w="2555"/>
          </w:tcPr>
          <w:p>
            <w:r>
              <w:t>국내 주택 착공실적(2024년 30만 호 수준)  수주잔고 감소(2022년 737억 원 → 2024년 321억 원)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중국산 저가 유입 및 전방 건설경기 부진  대미 수출 25% 관세 부담 가중</w:t>
            </w:r>
          </w:p>
        </w:tc>
        <w:tc>
          <w:tcPr>
            <w:tcW w:type="dxa" w:w="2555"/>
          </w:tcPr>
          <w:p>
            <w:r>
              <w:t>출고량·판가 동시 약세로 마진 압력 심화  대미 수출(매출 약 15%) 채산성 악화 불가피</w:t>
            </w:r>
          </w:p>
        </w:tc>
        <w:tc>
          <w:tcPr>
            <w:tcW w:type="dxa" w:w="2555"/>
          </w:tcPr>
          <w:p>
            <w:r>
              <w:t>국내 건설업 부진  중국 철강 수요 둔화에 따른 저가 수출 공세  미국 수입 철강 25% 관세(2025년 3월 발효)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원재료(옥수수) 가격 및 환율 변동성 존재  스마트공장(창녕 신공장) 도입으로 생산효율 개선</w:t>
            </w:r>
          </w:p>
        </w:tc>
        <w:tc>
          <w:tcPr>
            <w:tcW w:type="dxa" w:w="2555"/>
          </w:tcPr>
          <w:p>
            <w:r>
              <w:t>원가율 개선 효과 점진 반영 가능  수익성 개선 여지 있으나 변동성 상존</w:t>
            </w:r>
          </w:p>
        </w:tc>
        <w:tc>
          <w:tcPr>
            <w:tcW w:type="dxa" w:w="2555"/>
          </w:tcPr>
          <w:p>
            <w:r>
              <w:t>옥수수 가격 변동  환율 변동  스마트공장 효과(2024년 이후)</w:t>
            </w:r>
          </w:p>
        </w:tc>
      </w:tr>
      <w:tr>
        <w:tc>
          <w:tcPr>
            <w:tcW w:type="dxa" w:w="2555"/>
          </w:tcPr>
          <w:p>
            <w:r>
              <w:t>가설재·단조·선박엔진</w:t>
            </w:r>
          </w:p>
        </w:tc>
        <w:tc>
          <w:tcPr>
            <w:tcW w:type="dxa" w:w="2555"/>
          </w:tcPr>
          <w:p>
            <w:r>
              <w:t>조선·방산·기계 업종 호황  LNG선 수주 확대 등 산업 사이클 우호적</w:t>
            </w:r>
          </w:p>
        </w:tc>
        <w:tc>
          <w:tcPr>
            <w:tcW w:type="dxa" w:w="2555"/>
          </w:tcPr>
          <w:p>
            <w:r>
              <w:t>일정 수준의 외형 성장 및 양호한 수익성 유지 전망  전사 비중 제한적이어서 주력 부문 약세 완전 상쇄는 역부족</w:t>
            </w:r>
          </w:p>
        </w:tc>
        <w:tc>
          <w:tcPr>
            <w:tcW w:type="dxa" w:w="2555"/>
          </w:tcPr>
          <w:p>
            <w:r>
              <w:t>조선사 LNG선 수주 추이  방산·기계 산업 업황  부문 매출 비중</w:t>
            </w:r>
          </w:p>
        </w:tc>
      </w:tr>
    </w:tbl>
    <w:p>
      <w:pPr>
        <w:pStyle w:val="a0"/>
      </w:pPr>
      <w:r>
        <w:t>Slide 20 -</w:t>
      </w:r>
    </w:p>
    <w:p>
      <w:r>
        <w:t>[이미지: Image]</w:t>
      </w:r>
    </w:p>
    <w:p>
      <w:pPr/>
      <w:r>
        <w:t>현금흐름·투자부담 및 FCF 유보여력 전망</w:t>
      </w:r>
    </w:p>
    <w:p>
      <w:pPr/>
      <w:r>
        <w:t>폼워크 임대자산 투자와 대규모 Capex로 2020~2024년 FCF 적자가 지속되었으며, 순차입금/EBITDA 4.2배로 재무커버리지가 약화되었습니다.</w:t>
      </w:r>
    </w:p>
    <w:p>
      <w:pPr/>
      <w:r>
        <w:t>영업현금흐름 창출</w:t>
      </w:r>
    </w:p>
    <w:p>
      <w:pPr>
        <w:pStyle w:val="a0"/>
      </w:pPr>
      <w:r>
        <w:t>연간 700~1,000억 원 수준 OCF 창출</w:t>
      </w:r>
    </w:p>
    <w:p>
      <w:pPr>
        <w:pStyle w:val="a0"/>
      </w:pPr>
      <w:r>
        <w:t>높은 감가상각비 동반 임대 사업 구조</w:t>
      </w:r>
    </w:p>
    <w:p>
      <w:pPr>
        <w:pStyle w:val="a0"/>
      </w:pPr>
      <w:r>
        <w:t>다각화된 종속법인 기반 현금 유입</w:t>
      </w:r>
    </w:p>
    <w:p>
      <w:pPr/>
      <w:r>
        <w:t>투자소요 발생</w:t>
      </w:r>
    </w:p>
    <w:p>
      <w:pPr>
        <w:pStyle w:val="a0"/>
      </w:pPr>
      <w:r>
        <w:t>폼워크 임대자산 생산·운전자본 투자</w:t>
      </w:r>
    </w:p>
    <w:p>
      <w:pPr>
        <w:pStyle w:val="a0"/>
      </w:pPr>
      <w:r>
        <w:t>해외법인 공장 신·증설 설비투자</w:t>
      </w:r>
    </w:p>
    <w:p>
      <w:pPr>
        <w:pStyle w:val="a0"/>
      </w:pPr>
      <w:r>
        <w:t>과천 사옥·녹산공장·케이에스피 Capex</w:t>
      </w:r>
    </w:p>
    <w:p>
      <w:pPr/>
      <w:r>
        <w:t>FCF 제약 지속</w:t>
      </w:r>
    </w:p>
    <w:p>
      <w:pPr>
        <w:pStyle w:val="a0"/>
      </w:pPr>
      <w:r>
        <w:t>2020~2024년 전 기간 FCF 적자</w:t>
      </w:r>
    </w:p>
    <w:p>
      <w:pPr>
        <w:pStyle w:val="a0"/>
      </w:pPr>
      <w:r>
        <w:t>2024년 FCF –467억 원 기록</w:t>
      </w:r>
    </w:p>
    <w:p>
      <w:pPr>
        <w:pStyle w:val="a0"/>
      </w:pPr>
      <w:r>
        <w:t>운전자본·Capex 소요가 OCF 상회</w:t>
      </w:r>
    </w:p>
    <w:p>
      <w:pPr/>
      <w:r>
        <w:t>순차입금 증가</w:t>
      </w:r>
    </w:p>
    <w:p>
      <w:pPr>
        <w:pStyle w:val="a0"/>
      </w:pPr>
      <w:r>
        <w:t>2020년 2,296억 원 → 2024년 4,028억 원</w:t>
      </w:r>
    </w:p>
    <w:p>
      <w:pPr>
        <w:pStyle w:val="a0"/>
      </w:pPr>
      <w:r>
        <w:t>순차입금/EBITDA 4.2배로 상승</w:t>
      </w:r>
    </w:p>
    <w:p>
      <w:pPr>
        <w:pStyle w:val="a0"/>
      </w:pPr>
      <w:r>
        <w:t>재무커버리지 지표 눈에 띄게 약화</w:t>
      </w:r>
    </w:p>
    <w:p>
      <w:pPr/>
      <w:r>
        <w:t>개선 방향</w:t>
      </w:r>
    </w:p>
    <w:p>
      <w:pPr>
        <w:pStyle w:val="a0"/>
      </w:pPr>
      <w:r>
        <w:t>2025년 문정동 사옥 매각(약 270억 원)</w:t>
      </w:r>
    </w:p>
    <w:p>
      <w:pPr>
        <w:pStyle w:val="a0"/>
      </w:pPr>
      <w:r>
        <w:t>폼워크 매출 성장 기반 OCF 확대</w:t>
      </w:r>
    </w:p>
    <w:p>
      <w:pPr>
        <w:pStyle w:val="a0"/>
      </w:pPr>
      <w:r>
        <w:t>임대자산·Capex 자체 충당 선순환 정착</w:t>
      </w:r>
    </w:p>
    <w:p>
      <w:pPr>
        <w:pStyle w:val="a0"/>
      </w:pPr>
      <w:r>
        <w:t>Slide 21 -</w:t>
      </w:r>
    </w:p>
    <w:p>
      <w:r>
        <w:t>[이미지: Image]</w:t>
      </w:r>
    </w:p>
    <w:p>
      <w:pPr/>
      <w:r>
        <w:t>신용등급 변동요인 및 핵심 모니터링 지표</w:t>
      </w:r>
    </w:p>
    <w:p>
      <w:pPr/>
      <w:r>
        <w:t>금강공업 무보증사채(BBB-)는 EBITDA 마진 12% 이상·순차입금/EBITDA 3.5배 이하 충족 시 상향 가능하나, 2024년 수익성 둔화와 레버리지 상승으로 하향 트리거(마진 8% 미만·차입금의존도 45% 초과)에 근접하여 중단기 모니터링이 필요합니다.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최근 실적 (3년 평균)</w:t>
            </w:r>
          </w:p>
        </w:tc>
        <w:tc>
          <w:tcPr>
            <w:tcW w:type="dxa" w:w="2555"/>
          </w:tcPr>
          <w:p>
            <w:r>
              <w:rPr>
                <w:b/>
              </w:rPr>
              <w:t>2024년 단년</w:t>
            </w:r>
          </w:p>
        </w:tc>
      </w:tr>
      <w:tr>
        <w:tc>
          <w:tcPr>
            <w:tcW w:type="dxa" w:w="2555"/>
          </w:tcPr>
          <w:p>
            <w:r>
              <w:t>상향 트리거</w:t>
            </w:r>
          </w:p>
        </w:tc>
        <w:tc>
          <w:tcPr>
            <w:tcW w:type="dxa" w:w="2555"/>
          </w:tcPr>
          <w:p>
            <w:r>
              <w:t>EBITDA 마진 ≥ 12%  순차입금/EBITDA ≤ 3.5배  수익성·커버리지 개선 필요</w:t>
            </w:r>
          </w:p>
        </w:tc>
        <w:tc>
          <w:tcPr>
            <w:tcW w:type="dxa" w:w="2555"/>
          </w:tcPr>
          <w:p>
            <w:r>
              <w:t>EBITDA 마진 13.5%  순차입금/EBITDA 3.6배  상향 조건에 근접하나 미충족</w:t>
            </w:r>
          </w:p>
        </w:tc>
        <w:tc>
          <w:tcPr>
            <w:tcW w:type="dxa" w:w="2555"/>
          </w:tcPr>
          <w:p>
            <w:r>
              <w:t>EBITDA 마진 11.8%  순차입금/EBITDA 4.2배  하향 조정 국면 진입</w:t>
            </w:r>
          </w:p>
        </w:tc>
      </w:tr>
      <w:tr>
        <w:tc>
          <w:tcPr>
            <w:tcW w:type="dxa" w:w="2555"/>
          </w:tcPr>
          <w:p>
            <w:r>
              <w:t>하향 트리거</w:t>
            </w:r>
          </w:p>
        </w:tc>
        <w:tc>
          <w:tcPr>
            <w:tcW w:type="dxa" w:w="2555"/>
          </w:tcPr>
          <w:p>
            <w:r>
              <w:t>EBITDA 마진 &lt; 8%  차입금의존도 &gt; 45%  수익성 저하·레버리지 상승 시 등급 압력</w:t>
            </w:r>
          </w:p>
        </w:tc>
        <w:tc>
          <w:tcPr>
            <w:tcW w:type="dxa" w:w="2555"/>
          </w:tcPr>
          <w:p>
            <w:r>
              <w:t>EBITDA 마진 13.5%  차입금의존도 43.2%  안전 범위 내 유지</w:t>
            </w:r>
          </w:p>
        </w:tc>
        <w:tc>
          <w:tcPr>
            <w:tcW w:type="dxa" w:w="2555"/>
          </w:tcPr>
          <w:p>
            <w:r>
              <w:t>EBITDA 마진 11.8%  차입금의존도 44.1%  하향 트리거에 근접 (45% 임박)</w:t>
            </w:r>
          </w:p>
        </w:tc>
      </w:tr>
      <w:tr>
        <w:tc>
          <w:tcPr>
            <w:tcW w:type="dxa" w:w="2555"/>
          </w:tcPr>
          <w:p>
            <w:r>
              <w:t>핵심 모니터링 지표</w:t>
            </w:r>
          </w:p>
        </w:tc>
        <w:tc>
          <w:tcPr>
            <w:tcW w:type="dxa" w:w="2555"/>
          </w:tcPr>
          <w:p>
            <w:r>
              <w:t>판넬 내수 수주·해외 수출 확대에 따른 EBITDA 마진 추이  폼워크·공장투자 관련 FCF 개선을 통한 순차입금/EBITDA 축소  추가 투자 계획 및 부동산 매각 등 자산 유동화에 따른 차입금 규모·의존도 변화</w:t>
            </w:r>
          </w:p>
        </w:tc>
        <w:tc>
          <w:tcPr>
            <w:tcW w:type="dxa" w:w="2555"/>
          </w:tcPr>
          <w:p>
            <w:r>
              <w:t>2022~2024 평균 EBITDA 마진 13.5%  2022~2024 평균 순차입금/EBITDA 3.6배  2022~2024 평균 차입금의존도 43.2%</w:t>
            </w:r>
          </w:p>
        </w:tc>
        <w:tc>
          <w:tcPr>
            <w:tcW w:type="dxa" w:w="2555"/>
          </w:tcPr>
          <w:p>
            <w:r>
              <w:t>2024년 EBITDA 마진 11.8%로 하락  2024년 순차입금/EBITDA 4.2배로 상승  2024년 차입금의존도 44.1%로 상승</w:t>
            </w:r>
          </w:p>
        </w:tc>
      </w:tr>
    </w:tbl>
    <w:p>
      <w:pPr>
        <w:pStyle w:val="a0"/>
      </w:pPr>
      <w:r>
        <w:t>Slide 22 -</w:t>
      </w:r>
    </w:p>
    <w:p>
      <w:r>
        <w:t>[이미지: Image]</w:t>
      </w:r>
    </w:p>
    <w:p>
      <w:pPr/>
      <w:r>
        <w:t>6</w:t>
      </w:r>
    </w:p>
    <w:p>
      <w:pPr/>
      <w:r>
        <w:t>결론 및 신용평가 시사점</w:t>
      </w:r>
    </w:p>
    <w:p>
      <w:pPr>
        <w:pStyle w:val="a0"/>
      </w:pPr>
      <w:r>
        <w:t>Slide 23 -</w:t>
      </w:r>
    </w:p>
    <w:p>
      <w:r>
        <w:t>[이미지: Image]</w:t>
      </w:r>
    </w:p>
    <w:p>
      <w:pPr/>
      <w:r>
        <w:t>금강공업(주) 무보증사채 BBB-(안정적) 종합 결론</w:t>
      </w:r>
    </w:p>
    <w:p>
      <w:pPr/>
      <w:r>
        <w:t>사업 다각화 및 폼워크 시장지위 기반 안정성 확보, 2024년 수익성 약세 및 FCF 적자 지속에도 재무커버리지·유동성 대응력으로 BBB- 등급을 유지합니다.</w:t>
      </w:r>
    </w:p>
    <w:p>
      <w:pPr/>
      <w:r>
        <w:t>신용평가 의의</w:t>
      </w:r>
    </w:p>
    <w:p>
      <w:pPr/>
      <w:r>
        <w:t>다각화 사업 포트폴리오 및 폼워크 부문 시장지위 기반 신용안정성 평가</w:t>
      </w:r>
    </w:p>
    <w:p>
      <w:pPr/>
      <w:r>
        <w:t>등급 결론</w:t>
      </w:r>
    </w:p>
    <w:p>
      <w:pPr/>
      <w:r>
        <w:t>무보증사채 BBB- (안정적) - 사업안정성·재무구조·유동성 종합 평가</w:t>
      </w:r>
    </w:p>
    <w:p>
      <w:pPr/>
      <w:r>
        <w:t>주요 평가 영역</w:t>
      </w:r>
    </w:p>
    <w:p>
      <w:pPr/>
      <w:r>
        <w:t>사업 안정성</w:t>
      </w:r>
    </w:p>
    <w:p>
      <w:pPr>
        <w:pStyle w:val="a0"/>
      </w:pPr>
      <w:r>
        <w:t>폼워크·사료 중심 다각화</w:t>
      </w:r>
    </w:p>
    <w:p>
      <w:pPr>
        <w:pStyle w:val="a0"/>
      </w:pPr>
      <w:r>
        <w:t>알루미늄 압출 진입장벽</w:t>
      </w:r>
    </w:p>
    <w:p>
      <w:pPr>
        <w:pStyle w:val="a0"/>
      </w:pPr>
      <w:r>
        <w:t>시장지위 상위권</w:t>
      </w:r>
    </w:p>
    <w:p>
      <w:pPr/>
      <w:r>
        <w:t>수익성 동향</w:t>
      </w:r>
    </w:p>
    <w:p>
      <w:pPr>
        <w:pStyle w:val="a0"/>
      </w:pPr>
      <w:r>
        <w:t>2021~23년 개선 추세</w:t>
      </w:r>
    </w:p>
    <w:p>
      <w:pPr>
        <w:pStyle w:val="a0"/>
      </w:pPr>
      <w:r>
        <w:t>2024년 전방수요 부진</w:t>
      </w:r>
    </w:p>
    <w:p>
      <w:pPr>
        <w:pStyle w:val="a0"/>
      </w:pPr>
      <w:r>
        <w:t>EBITDA 마진 하락</w:t>
      </w:r>
    </w:p>
    <w:p>
      <w:pPr/>
      <w:r>
        <w:t>재무구조</w:t>
      </w:r>
    </w:p>
    <w:p>
      <w:pPr>
        <w:pStyle w:val="a0"/>
      </w:pPr>
      <w:r>
        <w:t>순차입금 4,028억원</w:t>
      </w:r>
    </w:p>
    <w:p>
      <w:pPr>
        <w:pStyle w:val="a0"/>
      </w:pPr>
      <w:r>
        <w:t>순차입금/EBITDA 4.2배</w:t>
      </w:r>
    </w:p>
    <w:p>
      <w:pPr>
        <w:pStyle w:val="a0"/>
      </w:pPr>
      <w:r>
        <w:t>부채비율 132.7% 관리</w:t>
      </w:r>
    </w:p>
    <w:p>
      <w:pPr/>
      <w:r>
        <w:t>유동성 역량</w:t>
      </w:r>
    </w:p>
    <w:p>
      <w:pPr>
        <w:pStyle w:val="a0"/>
      </w:pPr>
      <w:r>
        <w:t>단기차입 76.7% 비중</w:t>
      </w:r>
    </w:p>
    <w:p>
      <w:pPr>
        <w:pStyle w:val="a0"/>
      </w:pPr>
      <w:r>
        <w:t>담보여력 충분</w:t>
      </w:r>
    </w:p>
    <w:p>
      <w:pPr>
        <w:pStyle w:val="a0"/>
      </w:pPr>
      <w:r>
        <w:t>시장접근성 확보</w:t>
      </w:r>
    </w:p>
    <w:p>
      <w:pPr/>
      <w:r>
        <w:t>핵심 키워드</w:t>
      </w:r>
    </w:p>
    <w:p>
      <w:pPr/>
      <w:r>
        <w:t>리스크 완충 요인</w:t>
      </w:r>
    </w:p>
    <w:p>
      <w:pPr/>
      <w:r>
        <w:t>사업 다각화</w:t>
      </w:r>
    </w:p>
    <w:p>
      <w:pPr/>
      <w:r>
        <w:t>폼워크 과점</w:t>
      </w:r>
    </w:p>
    <w:p>
      <w:pPr/>
      <w:r>
        <w:t>알루미늄 설비</w:t>
      </w:r>
    </w:p>
    <w:p>
      <w:pPr/>
      <w:r>
        <w:t>시장지위</w:t>
      </w:r>
    </w:p>
    <w:p>
      <w:pPr/>
      <w:r>
        <w:t>변동성 요인</w:t>
      </w:r>
    </w:p>
    <w:p>
      <w:pPr/>
      <w:r>
        <w:t>건설경기 민감도</w:t>
      </w:r>
    </w:p>
    <w:p>
      <w:pPr/>
      <w:r>
        <w:t>중국산 강관</w:t>
      </w:r>
    </w:p>
    <w:p>
      <w:pPr/>
      <w:r>
        <w:t>판가 변동</w:t>
      </w:r>
    </w:p>
    <w:p>
      <w:pPr/>
      <w:r>
        <w:t>매출 약세</w:t>
      </w:r>
    </w:p>
    <w:p>
      <w:pPr/>
      <w:r>
        <w:t>재무 안정성</w:t>
      </w:r>
    </w:p>
    <w:p>
      <w:pPr/>
      <w:r>
        <w:t>BBB급 레버리지</w:t>
      </w:r>
    </w:p>
    <w:p>
      <w:pPr/>
      <w:r>
        <w:t>커버리지 저하</w:t>
      </w:r>
    </w:p>
    <w:p>
      <w:pPr/>
      <w:r>
        <w:t>FCF 만성 적자</w:t>
      </w:r>
    </w:p>
    <w:p>
      <w:pPr/>
      <w:r>
        <w:t>Capex 부담</w:t>
      </w:r>
    </w:p>
    <w:p>
      <w:pPr/>
      <w:r>
        <w:t>유동성 관리</w:t>
      </w:r>
    </w:p>
    <w:p>
      <w:pPr/>
      <w:r>
        <w:t>단기 집중</w:t>
      </w:r>
    </w:p>
    <w:p>
      <w:pPr/>
      <w:r>
        <w:t>담보 활용</w:t>
      </w:r>
    </w:p>
    <w:p>
      <w:pPr/>
      <w:r>
        <w:t>상장사 지위</w:t>
      </w:r>
    </w:p>
    <w:p>
      <w:pPr/>
      <w:r>
        <w:t>시장 조달</w:t>
      </w:r>
    </w:p>
    <w:p>
      <w:pPr>
        <w:pStyle w:val="a0"/>
      </w:pPr>
      <w:r>
        <w:t>Slide 24 -</w:t>
      </w:r>
    </w:p>
    <w:p>
      <w:r>
        <w:t>[이미지: Image]</w:t>
      </w:r>
    </w:p>
    <w:p>
      <w:pPr/>
      <w:r>
        <w:t>핵심 리스크, 변동성 요인 및 등급 변동 트리거</w:t>
      </w:r>
    </w:p>
    <w:p>
      <w:pPr/>
      <w:r>
        <w:t>폼워크·강관 부문의 건설경기 의존도와 FCF 적자 지속이 주요 리스크로 작용하며, 수익성·레버리지 개선 여부가 등급 변동의 핵심 트리거로 작용합니다.</w:t>
      </w:r>
    </w:p>
    <w:p>
      <w:pPr/>
      <w:r>
        <w:t>건설경기·철강시황 민감</w:t>
      </w:r>
    </w:p>
    <w:p>
      <w:pPr/>
      <w:r>
        <w:t>임대물량·단가 하락 시 수익 급락</w:t>
      </w:r>
    </w:p>
    <w:p>
      <w:pPr/>
      <w:r>
        <w:t>국내 주택 착공 감소 가시화</w:t>
      </w:r>
    </w:p>
    <w:p>
      <w:pPr/>
      <w:r>
        <w:t>폼워크·강관 부문 전방산업 의존</w:t>
      </w:r>
    </w:p>
    <w:p>
      <w:pPr/>
      <w:r>
        <w:t>알루미늄 폼 임대자산 확대</w:t>
      </w:r>
    </w:p>
    <w:p>
      <w:pPr/>
      <w:r>
        <w:t>공장·사옥 투자로 Capex 증가</w:t>
      </w:r>
    </w:p>
    <w:p>
      <w:pPr/>
      <w:r>
        <w:t>FCF 적자 2020년 이후 지속</w:t>
      </w:r>
    </w:p>
    <w:p>
      <w:pPr/>
      <w:r>
        <w:t>폼워크 고정비 구조</w:t>
      </w:r>
    </w:p>
    <w:p>
      <w:pPr/>
      <w:r>
        <w:t>2024년 순차입금/EBITDA 4.2배</w:t>
      </w:r>
    </w:p>
    <w:p>
      <w:pPr/>
      <w:r>
        <w:t>차입금의존도 44.1%</w:t>
      </w:r>
    </w:p>
    <w:p>
      <w:pPr/>
      <w:r>
        <w:t>영업현금만으로 투자 충당 곤란</w:t>
      </w:r>
    </w:p>
    <w:p>
      <w:pPr/>
      <w:r>
        <w:t>순차입금 증가 압력</w:t>
      </w:r>
    </w:p>
    <w:p>
      <w:pPr/>
      <w:r>
        <w:t>재차환·담보 활용 능력 핵심</w:t>
      </w:r>
    </w:p>
    <w:p>
      <w:pPr/>
      <w:r>
        <w:t>강관 부문 적자 확대 지속</w:t>
      </w:r>
    </w:p>
    <w:p>
      <w:pPr/>
      <w:r>
        <w:t>운전자본 소요 증가</w:t>
      </w:r>
    </w:p>
    <w:p>
      <w:pPr/>
      <w:r>
        <w:t>단기차입 집중 유동성 관리</w:t>
      </w:r>
    </w:p>
    <w:p>
      <w:pPr/>
      <w:r>
        <w:t>신용등급 BBB-(안정적) 주요 모니터링 포인트</w:t>
      </w:r>
    </w:p>
    <w:p>
      <w:pPr/>
      <w:r>
        <w:t>EBITDA 마진 ≥ 12% 달성</w:t>
      </w:r>
    </w:p>
    <w:p>
      <w:pPr/>
      <w:r>
        <w:t>순차입금/EBITDA ≤ 3.5배</w:t>
      </w:r>
    </w:p>
    <w:p>
      <w:pPr/>
      <w:r>
        <w:t>폼워크 해외 확장 성과 가시화</w:t>
      </w:r>
    </w:p>
    <w:p>
      <w:pPr/>
      <w:r>
        <w:t>등급 상향 가능성</w:t>
      </w:r>
    </w:p>
    <w:p>
      <w:pPr/>
      <w:r>
        <w:t>EBITDA 마진 &lt; 8% 하락</w:t>
      </w:r>
    </w:p>
    <w:p>
      <w:pPr/>
      <w:r>
        <w:t>차입금의존도 &gt; 45% 초과</w:t>
      </w:r>
    </w:p>
    <w:p>
      <w:pPr/>
      <w:r>
        <w:t>FCF 적자 심화 및 재무지표 악화</w:t>
      </w:r>
    </w:p>
    <w:p>
      <w:pPr/>
      <w:r>
        <w:t>등급 하향 가능성</w:t>
      </w:r>
    </w:p>
    <w:p>
      <w:pPr>
        <w:pStyle w:val="a0"/>
      </w:pPr>
      <w:r>
        <w:t>Slide 25 -</w:t>
      </w:r>
    </w:p>
    <w:p>
      <w:r>
        <w:t>[이미지: Image]</w:t>
      </w:r>
    </w:p>
    <w:p>
      <w:pPr/>
      <w:r>
        <w:t>신용평가 활용 시 유의점 및 실무적 시사점</w:t>
      </w:r>
    </w:p>
    <w:p>
      <w:pPr/>
      <w:r>
        <w:t>BBB- 등급은 환경 변화 시 신용도 저하 가능성을 내재하므로, 투자·여신 실무에서는 자체 스트레스 시나리오와 담보·약정 조건을 병행 적용하여 등급변동 리스크를 선제 관리해야 합니다.</w:t>
      </w:r>
    </w:p>
    <w:p>
      <w:pPr/>
      <w:r>
        <w:t>등급 의미 &amp; 한계</w:t>
      </w:r>
    </w:p>
    <w:p>
      <w:pPr/>
      <w:r>
        <w:t>BBB- 등급 정의</w:t>
      </w:r>
    </w:p>
    <w:p>
      <w:pPr/>
      <w:r>
        <w:t>원리금 지급확실성 있으나 환경변화에 따라 신용도 저하 가능성 내재</w:t>
      </w:r>
    </w:p>
    <w:p>
      <w:pPr/>
      <w:r>
        <w:t>경기 침체·금리 급등·구조변화 시 빠른 등급 하락 위험</w:t>
      </w:r>
    </w:p>
    <w:p>
      <w:pPr/>
      <w:r>
        <w:t>계열지원 미반영</w:t>
      </w:r>
    </w:p>
    <w:p>
      <w:pPr/>
      <w:r>
        <w:t>개별 재무·사업 역량 중심 평가</w:t>
      </w:r>
    </w:p>
    <w:p>
      <w:pPr/>
      <w:r>
        <w:t>그룹 지원 암묵적 기대 불가</w:t>
      </w:r>
    </w:p>
    <w:p>
      <w:pPr/>
      <w:r>
        <w:t>신용등급 범위</w:t>
      </w:r>
    </w:p>
    <w:p>
      <w:pPr/>
      <w:r>
        <w:t>신용위험 의견일 뿐, 금리·환율·시장위험 비포함</w:t>
      </w:r>
    </w:p>
    <w:p>
      <w:pPr/>
      <w:r>
        <w:t>예측정보는 가정 기반, 실제와 괴리 가능</w:t>
      </w:r>
    </w:p>
    <w:p>
      <w:pPr/>
      <w:r>
        <w:t>실무 활용 유의점</w:t>
      </w:r>
    </w:p>
    <w:p>
      <w:pPr/>
      <w:r>
        <w:t>자체 시나리오 병행</w:t>
      </w:r>
    </w:p>
    <w:p>
      <w:pPr/>
      <w:r>
        <w:t>수익성 1~2%p 악화, 순차입금/EBITDA 0.5~1.0배 상승 시나리오 적용</w:t>
      </w:r>
    </w:p>
    <w:p>
      <w:pPr/>
      <w:r>
        <w:t>등급변동 손실 가능성 선제 관리</w:t>
      </w:r>
    </w:p>
    <w:p>
      <w:pPr/>
      <w:r>
        <w:t>담보·약정 조건 설계</w:t>
      </w:r>
    </w:p>
    <w:p>
      <w:pPr/>
      <w:r>
        <w:t>여신 한도, 담보 수준, 계약 조건에 등급 기준점 반영</w:t>
      </w:r>
    </w:p>
    <w:p>
      <w:pPr/>
      <w:r>
        <w:t>익스포저 한도 관리 강화</w:t>
      </w:r>
    </w:p>
    <w:p>
      <w:pPr/>
      <w:r>
        <w:t>예측정보 한계 인지</w:t>
      </w:r>
    </w:p>
    <w:p>
      <w:pPr/>
      <w:r>
        <w:t>건설경기·원자재·환율·금리 사이클 변동성 고려</w:t>
      </w:r>
    </w:p>
    <w:p>
      <w:pPr/>
      <w:r>
        <w:t>실제 실적과 괴리 가능성 상시 모니터링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