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Some documents appear to contain personal information that Jorge wouldn’t want to be made public. The work files include the PII of other people. Also, the work files contain information about the hospital’s operations.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timesheets can provide an attacker intel about other people that Jorge works with. Either work or personal information could be used to trick Jorge. For example, a malicious email can be designed to look as though it comes from a coworker or relative.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w:t>
            </w:r>
            <w:r w:rsidDel="00000000" w:rsidR="00000000" w:rsidRPr="00000000">
              <w:rPr>
                <w:rFonts w:ascii="Google Sans" w:cs="Google Sans" w:eastAsia="Google Sans" w:hAnsi="Google Sans"/>
                <w:rtl w:val="0"/>
              </w:rPr>
              <w:t xml:space="preserve"> describing technical, operational, or managerial controls that could mitigate these types of attacks: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tc>
      </w:tr>
    </w:tbl>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