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941868" w14:paraId="59C7980E" w14:textId="77777777">
      <w:pPr>
        <w:wordWrap w:val="0"/>
        <w:jc w:val="left"/>
        <w:rPr>
          <w:szCs w:val="28"/>
        </w:rPr>
      </w:pPr>
      <w:bookmarkStart w:id="0" w:name="hzdwgz"/>
      <w:bookmarkEnd w:id="0"/>
    </w:p>
    <w:p w:rsidR="00941868" w14:paraId="59213976" w14:textId="77777777">
      <w:pPr>
        <w:wordWrap w:val="0"/>
        <w:jc w:val="right"/>
        <w:rPr>
          <w:sz w:val="24"/>
        </w:rPr>
      </w:pPr>
    </w:p>
    <w:p w:rsidR="00941868" w14:paraId="6AA63EAE" w14:textId="77777777">
      <w:pPr>
        <w:wordWrap w:val="0"/>
        <w:jc w:val="right"/>
        <w:rPr>
          <w:sz w:val="24"/>
        </w:rPr>
      </w:pPr>
    </w:p>
    <w:p w:rsidR="00941868" w14:paraId="06BF78C0" w14:textId="77777777">
      <w:pPr>
        <w:wordWrap w:val="0"/>
        <w:jc w:val="right"/>
        <w:rPr>
          <w:sz w:val="24"/>
        </w:rPr>
      </w:pPr>
    </w:p>
    <w:p w:rsidR="00941868" w14:paraId="7A880190" w14:textId="77777777">
      <w:pPr>
        <w:wordWrap w:val="0"/>
        <w:jc w:val="center"/>
        <w:rPr>
          <w:b/>
          <w:bCs/>
          <w:sz w:val="48"/>
        </w:rPr>
      </w:pPr>
    </w:p>
    <w:p w:rsidR="00941868" w14:paraId="4EB0EAC5" w14:textId="77777777">
      <w:pPr>
        <w:wordWrap w:val="0"/>
        <w:jc w:val="center"/>
        <w:rPr>
          <w:rFonts w:ascii="宋体" w:eastAsia="宋体" w:hAnsi="宋体" w:cs="宋体"/>
          <w:b/>
          <w:bCs/>
          <w:sz w:val="48"/>
        </w:rPr>
      </w:pPr>
      <w:bookmarkStart w:id="1" w:name="title"/>
      <w:r>
        <w:rPr>
          <w:rFonts w:ascii="宋体" w:eastAsia="宋体" w:hAnsi="宋体" w:cs="宋体"/>
          <w:b/>
          <w:bCs/>
          <w:sz w:val="48"/>
        </w:rPr>
        <w:t>河北省自然科学基金申报书</w:t>
      </w:r>
      <w:bookmarkEnd w:id="1"/>
    </w:p>
    <w:p w:rsidR="00941868" w14:paraId="742B7256" w14:textId="77777777">
      <w:pPr>
        <w:wordWrap w:val="0"/>
        <w:jc w:val="center"/>
      </w:pPr>
    </w:p>
    <w:p w:rsidR="00941868" w14:paraId="41CE473A" w14:textId="77777777">
      <w:pPr>
        <w:wordWrap w:val="0"/>
        <w:ind w:left="560" w:leftChars="200"/>
      </w:pPr>
    </w:p>
    <w:tbl>
      <w:tblPr>
        <w:tblW w:w="9072" w:type="dxa"/>
        <w:jc w:val="center"/>
        <w:tblLook w:val="04A0"/>
      </w:tblPr>
      <w:tblGrid>
        <w:gridCol w:w="1724"/>
        <w:gridCol w:w="7348"/>
      </w:tblGrid>
      <w:tr w14:paraId="66EDCDFF" w14:textId="77777777">
        <w:tblPrEx>
          <w:tblW w:w="9072" w:type="dxa"/>
          <w:jc w:val="center"/>
          <w:tblLook w:val="04A0"/>
        </w:tblPrEx>
        <w:trPr>
          <w:trHeight w:val="680"/>
          <w:jc w:val="center"/>
        </w:trPr>
        <w:tc>
          <w:tcPr>
            <w:tcW w:w="1724" w:type="dxa"/>
            <w:vAlign w:val="center"/>
          </w:tcPr>
          <w:p w:rsidR="00941868" w14:paraId="218F4AD2" w14:textId="77777777">
            <w:pPr>
              <w:wordWrap w:val="0"/>
            </w:pPr>
            <w:r>
              <w:rPr>
                <w:rFonts w:hint="eastAsia"/>
              </w:rPr>
              <w:t>专项名称：</w:t>
            </w:r>
          </w:p>
        </w:tc>
        <w:tc>
          <w:tcPr>
            <w:tcW w:w="7348" w:type="dxa"/>
            <w:vAlign w:val="center"/>
          </w:tcPr>
          <w:p w:rsidR="00941868" w14:paraId="11363076" w14:textId="77777777">
            <w:pPr>
              <w:wordWrap w:val="0"/>
              <w:rPr>
                <w:rFonts w:ascii="宋体" w:eastAsia="宋体" w:hAnsi="宋体" w:cs="宋体"/>
              </w:rPr>
            </w:pPr>
            <w:bookmarkStart w:id="2" w:name="zxmc"/>
            <w:r>
              <w:rPr>
                <w:rFonts w:ascii="宋体" w:eastAsia="宋体" w:hAnsi="宋体" w:cs="宋体"/>
              </w:rPr>
              <w:t>基础研究专项（自然科学基金）</w:t>
            </w:r>
            <w:bookmarkEnd w:id="2"/>
          </w:p>
        </w:tc>
      </w:tr>
      <w:tr w14:paraId="6464EB8E" w14:textId="77777777">
        <w:tblPrEx>
          <w:tblW w:w="9072" w:type="dxa"/>
          <w:jc w:val="center"/>
          <w:tblLook w:val="04A0"/>
        </w:tblPrEx>
        <w:trPr>
          <w:trHeight w:val="680"/>
          <w:jc w:val="center"/>
        </w:trPr>
        <w:tc>
          <w:tcPr>
            <w:tcW w:w="1724" w:type="dxa"/>
            <w:vAlign w:val="center"/>
          </w:tcPr>
          <w:p w:rsidR="00941868" w14:paraId="4C049324" w14:textId="77777777">
            <w:pPr>
              <w:wordWrap w:val="0"/>
            </w:pPr>
            <w:r>
              <w:rPr>
                <w:rFonts w:hint="eastAsia"/>
              </w:rPr>
              <w:t>指南代码：</w:t>
            </w:r>
          </w:p>
        </w:tc>
        <w:tc>
          <w:tcPr>
            <w:tcW w:w="7348" w:type="dxa"/>
            <w:vAlign w:val="center"/>
          </w:tcPr>
          <w:p w:rsidR="00941868" w14:paraId="668DAE4F" w14:textId="77777777">
            <w:pPr>
              <w:wordWrap w:val="0"/>
              <w:jc w:val="left"/>
              <w:rPr>
                <w:rFonts w:ascii="宋体" w:eastAsia="宋体" w:hAnsi="宋体" w:cs="宋体"/>
              </w:rPr>
            </w:pPr>
            <w:bookmarkStart w:id="3" w:name="zndm"/>
            <w:r>
              <w:rPr>
                <w:rFonts w:ascii="宋体" w:eastAsia="宋体" w:hAnsi="宋体" w:cs="宋体"/>
              </w:rPr>
              <w:t>1010401-精准医学创新发展联合基金培育项目</w:t>
            </w:r>
            <w:bookmarkEnd w:id="3"/>
          </w:p>
        </w:tc>
      </w:tr>
      <w:tr w14:paraId="78F889E1" w14:textId="77777777">
        <w:tblPrEx>
          <w:tblW w:w="9072" w:type="dxa"/>
          <w:jc w:val="center"/>
          <w:tblLook w:val="04A0"/>
        </w:tblPrEx>
        <w:trPr>
          <w:trHeight w:val="680"/>
          <w:jc w:val="center"/>
        </w:trPr>
        <w:tc>
          <w:tcPr>
            <w:tcW w:w="1724" w:type="dxa"/>
            <w:vAlign w:val="center"/>
          </w:tcPr>
          <w:p w:rsidR="00941868" w14:paraId="0EADA525" w14:textId="77777777">
            <w:pPr>
              <w:wordWrap w:val="0"/>
            </w:pPr>
            <w:r>
              <w:rPr>
                <w:rFonts w:hint="eastAsia"/>
              </w:rPr>
              <w:t>项目名称：</w:t>
            </w:r>
          </w:p>
        </w:tc>
        <w:tc>
          <w:tcPr>
            <w:tcW w:w="7348" w:type="dxa"/>
            <w:vAlign w:val="center"/>
          </w:tcPr>
          <w:p w:rsidR="00941868" w14:paraId="36A527E7" w14:textId="77777777">
            <w:pPr>
              <w:wordWrap w:val="0"/>
              <w:jc w:val="left"/>
              <w:rPr>
                <w:rFonts w:ascii="宋体" w:eastAsia="宋体" w:hAnsi="宋体" w:cs="宋体"/>
              </w:rPr>
            </w:pPr>
            <w:bookmarkStart w:id="4" w:name="xmmc"/>
            <w:r>
              <w:rPr>
                <w:rFonts w:ascii="宋体" w:eastAsia="宋体" w:hAnsi="宋体" w:cs="宋体"/>
              </w:rPr>
              <w:t>基于TIPE2-TRIM13轴探析失血性休克树突状细胞免疫功能紊乱机制的研究</w:t>
            </w:r>
            <w:bookmarkEnd w:id="4"/>
          </w:p>
        </w:tc>
      </w:tr>
      <w:tr w14:paraId="6923B5E3" w14:textId="77777777">
        <w:tblPrEx>
          <w:tblW w:w="9072" w:type="dxa"/>
          <w:jc w:val="center"/>
          <w:tblLook w:val="04A0"/>
        </w:tblPrEx>
        <w:trPr>
          <w:trHeight w:val="680"/>
          <w:jc w:val="center"/>
        </w:trPr>
        <w:tc>
          <w:tcPr>
            <w:tcW w:w="1724" w:type="dxa"/>
            <w:vAlign w:val="center"/>
          </w:tcPr>
          <w:p w:rsidR="00941868" w14:paraId="71CE6915" w14:textId="77777777">
            <w:pPr>
              <w:wordWrap w:val="0"/>
            </w:pPr>
            <w:r>
              <w:rPr>
                <w:rFonts w:hint="eastAsia"/>
              </w:rPr>
              <w:t>项目类别：</w:t>
            </w:r>
          </w:p>
        </w:tc>
        <w:tc>
          <w:tcPr>
            <w:tcW w:w="7348" w:type="dxa"/>
            <w:vAlign w:val="center"/>
          </w:tcPr>
          <w:p w:rsidR="00941868" w14:paraId="16A23DA6" w14:textId="77777777">
            <w:pPr>
              <w:wordWrap w:val="0"/>
              <w:jc w:val="left"/>
              <w:rPr>
                <w:rFonts w:ascii="宋体" w:eastAsia="宋体" w:hAnsi="宋体" w:cs="宋体"/>
                <w:szCs w:val="28"/>
              </w:rPr>
            </w:pPr>
            <w:bookmarkStart w:id="5" w:name="xmlb"/>
            <w:r>
              <w:rPr>
                <w:rFonts w:ascii="宋体" w:eastAsia="宋体" w:hAnsi="宋体" w:cs="宋体"/>
                <w:szCs w:val="28"/>
              </w:rPr>
              <w:t>1010401-精准医学创新发展联合基金培育项目</w:t>
            </w:r>
            <w:bookmarkEnd w:id="5"/>
          </w:p>
        </w:tc>
      </w:tr>
      <w:tr w14:paraId="18C758DB" w14:textId="77777777">
        <w:tblPrEx>
          <w:tblW w:w="9072" w:type="dxa"/>
          <w:jc w:val="center"/>
          <w:tblLook w:val="04A0"/>
        </w:tblPrEx>
        <w:trPr>
          <w:trHeight w:val="680"/>
          <w:jc w:val="center"/>
        </w:trPr>
        <w:tc>
          <w:tcPr>
            <w:tcW w:w="1724" w:type="dxa"/>
            <w:vAlign w:val="center"/>
          </w:tcPr>
          <w:p w:rsidR="00941868" w14:paraId="1A05A23B" w14:textId="77777777">
            <w:pPr>
              <w:wordWrap w:val="0"/>
            </w:pPr>
            <w:r>
              <w:rPr>
                <w:rFonts w:hint="eastAsia"/>
              </w:rPr>
              <w:t>所属学科</w:t>
            </w:r>
            <w:r>
              <w:rPr>
                <w:rFonts w:hint="eastAsia"/>
              </w:rPr>
              <w:t>1</w:t>
            </w:r>
            <w:r>
              <w:rPr>
                <w:rFonts w:hint="eastAsia"/>
              </w:rPr>
              <w:t>：</w:t>
            </w:r>
          </w:p>
        </w:tc>
        <w:tc>
          <w:tcPr>
            <w:tcW w:w="7348" w:type="dxa"/>
            <w:vAlign w:val="center"/>
          </w:tcPr>
          <w:p w:rsidR="00941868" w14:paraId="652D5FF6" w14:textId="77777777">
            <w:pPr>
              <w:wordWrap w:val="0"/>
              <w:jc w:val="left"/>
              <w:rPr>
                <w:rFonts w:ascii="宋体" w:eastAsia="宋体" w:hAnsi="宋体" w:cs="宋体"/>
                <w:szCs w:val="28"/>
              </w:rPr>
            </w:pPr>
            <w:bookmarkStart w:id="6" w:name="fmxk1"/>
            <w:r>
              <w:rPr>
                <w:rFonts w:ascii="宋体" w:eastAsia="宋体" w:hAnsi="宋体" w:cs="宋体"/>
                <w:szCs w:val="28"/>
              </w:rPr>
              <w:t>H1511-急重症医学/创伤/烧伤/整形其他科学问题</w:t>
            </w:r>
            <w:bookmarkEnd w:id="6"/>
          </w:p>
        </w:tc>
      </w:tr>
      <w:tr w14:paraId="3225E991" w14:textId="77777777">
        <w:tblPrEx>
          <w:tblW w:w="9072" w:type="dxa"/>
          <w:jc w:val="center"/>
          <w:tblLook w:val="04A0"/>
        </w:tblPrEx>
        <w:trPr>
          <w:trHeight w:val="680"/>
          <w:jc w:val="center"/>
        </w:trPr>
        <w:tc>
          <w:tcPr>
            <w:tcW w:w="1724" w:type="dxa"/>
            <w:vAlign w:val="center"/>
          </w:tcPr>
          <w:p w:rsidR="00941868" w14:paraId="32A88008" w14:textId="77777777">
            <w:pPr>
              <w:wordWrap w:val="0"/>
            </w:pPr>
            <w:r>
              <w:rPr>
                <w:rFonts w:hint="eastAsia"/>
              </w:rPr>
              <w:t>所属学科</w:t>
            </w:r>
            <w:r>
              <w:rPr>
                <w:rFonts w:hint="eastAsia"/>
              </w:rPr>
              <w:t>2</w:t>
            </w:r>
            <w:r>
              <w:rPr>
                <w:rFonts w:hint="eastAsia"/>
              </w:rPr>
              <w:t>：</w:t>
            </w:r>
          </w:p>
        </w:tc>
        <w:tc>
          <w:tcPr>
            <w:tcW w:w="7348" w:type="dxa"/>
            <w:vAlign w:val="center"/>
          </w:tcPr>
          <w:p w:rsidR="00941868" w14:paraId="05448EC6" w14:textId="77777777">
            <w:pPr>
              <w:wordWrap w:val="0"/>
              <w:jc w:val="left"/>
              <w:rPr>
                <w:rFonts w:ascii="宋体" w:eastAsia="宋体" w:hAnsi="宋体" w:cs="宋体"/>
                <w:szCs w:val="28"/>
              </w:rPr>
            </w:pPr>
            <w:bookmarkStart w:id="7" w:name="fmxk2"/>
            <w:r>
              <w:rPr>
                <w:rFonts w:ascii="宋体" w:eastAsia="宋体" w:hAnsi="宋体" w:cs="宋体"/>
                <w:szCs w:val="28"/>
              </w:rPr>
              <w:t>无</w:t>
            </w:r>
            <w:bookmarkEnd w:id="7"/>
          </w:p>
        </w:tc>
      </w:tr>
      <w:tr w14:paraId="1442C6AC" w14:textId="77777777">
        <w:tblPrEx>
          <w:tblW w:w="9072" w:type="dxa"/>
          <w:jc w:val="center"/>
          <w:tblLook w:val="04A0"/>
        </w:tblPrEx>
        <w:trPr>
          <w:trHeight w:val="680"/>
          <w:jc w:val="center"/>
        </w:trPr>
        <w:tc>
          <w:tcPr>
            <w:tcW w:w="1724" w:type="dxa"/>
            <w:vAlign w:val="center"/>
          </w:tcPr>
          <w:p w:rsidR="00941868" w14:paraId="737E3CE2" w14:textId="77777777">
            <w:pPr>
              <w:wordWrap w:val="0"/>
            </w:pPr>
            <w:r>
              <w:rPr>
                <w:rFonts w:hint="eastAsia"/>
              </w:rPr>
              <w:t>申</w:t>
            </w:r>
            <w:r>
              <w:rPr>
                <w:rFonts w:hint="eastAsia"/>
              </w:rPr>
              <w:t xml:space="preserve"> </w:t>
            </w:r>
            <w:r>
              <w:rPr>
                <w:rFonts w:hint="eastAsia"/>
              </w:rPr>
              <w:t>报</w:t>
            </w:r>
            <w:r>
              <w:rPr>
                <w:rFonts w:hint="eastAsia"/>
              </w:rPr>
              <w:t xml:space="preserve"> </w:t>
            </w:r>
            <w:r>
              <w:rPr>
                <w:rFonts w:hint="eastAsia"/>
              </w:rPr>
              <w:t>人：</w:t>
            </w:r>
          </w:p>
        </w:tc>
        <w:tc>
          <w:tcPr>
            <w:tcW w:w="7348" w:type="dxa"/>
            <w:vAlign w:val="center"/>
          </w:tcPr>
          <w:p w:rsidR="00941868" w14:paraId="4CF2A8CE" w14:textId="77777777">
            <w:pPr>
              <w:wordWrap w:val="0"/>
              <w:jc w:val="left"/>
              <w:rPr>
                <w:rFonts w:ascii="宋体" w:eastAsia="宋体" w:hAnsi="宋体" w:cs="宋体"/>
                <w:szCs w:val="28"/>
              </w:rPr>
            </w:pPr>
            <w:bookmarkStart w:id="8" w:name="sqr"/>
            <w:r>
              <w:rPr>
                <w:rFonts w:ascii="宋体" w:eastAsia="宋体" w:hAnsi="宋体" w:cs="宋体"/>
                <w:szCs w:val="28"/>
              </w:rPr>
              <w:t>蒋丽娜</w:t>
            </w:r>
            <w:bookmarkEnd w:id="8"/>
          </w:p>
        </w:tc>
      </w:tr>
      <w:tr w14:paraId="54723733" w14:textId="77777777">
        <w:tblPrEx>
          <w:tblW w:w="9072" w:type="dxa"/>
          <w:jc w:val="center"/>
          <w:tblLook w:val="04A0"/>
        </w:tblPrEx>
        <w:trPr>
          <w:trHeight w:val="680"/>
          <w:jc w:val="center"/>
        </w:trPr>
        <w:tc>
          <w:tcPr>
            <w:tcW w:w="1724" w:type="dxa"/>
            <w:vAlign w:val="center"/>
          </w:tcPr>
          <w:p w:rsidR="00941868" w14:paraId="60CC742C" w14:textId="77777777">
            <w:pPr>
              <w:wordWrap w:val="0"/>
            </w:pPr>
            <w:r>
              <w:rPr>
                <w:rFonts w:hint="eastAsia"/>
              </w:rPr>
              <w:t>依托单位：</w:t>
            </w:r>
          </w:p>
        </w:tc>
        <w:tc>
          <w:tcPr>
            <w:tcW w:w="7348" w:type="dxa"/>
            <w:vAlign w:val="center"/>
          </w:tcPr>
          <w:p w:rsidR="00941868" w14:paraId="1E91A4F6" w14:textId="77777777">
            <w:pPr>
              <w:wordWrap w:val="0"/>
              <w:jc w:val="left"/>
              <w:rPr>
                <w:rFonts w:ascii="宋体" w:eastAsia="宋体" w:hAnsi="宋体" w:cs="宋体"/>
                <w:szCs w:val="28"/>
              </w:rPr>
            </w:pPr>
            <w:bookmarkStart w:id="9" w:name="ytdw"/>
            <w:r>
              <w:rPr>
                <w:rFonts w:ascii="宋体" w:eastAsia="宋体" w:hAnsi="宋体" w:cs="宋体"/>
                <w:szCs w:val="28"/>
              </w:rPr>
              <w:t>河北北方学院</w:t>
            </w:r>
            <w:bookmarkEnd w:id="9"/>
          </w:p>
        </w:tc>
      </w:tr>
      <w:tr w14:paraId="4F41757F" w14:textId="77777777">
        <w:tblPrEx>
          <w:tblW w:w="9072" w:type="dxa"/>
          <w:jc w:val="center"/>
          <w:tblLook w:val="04A0"/>
        </w:tblPrEx>
        <w:trPr>
          <w:trHeight w:val="680"/>
          <w:jc w:val="center"/>
        </w:trPr>
        <w:tc>
          <w:tcPr>
            <w:tcW w:w="1724" w:type="dxa"/>
            <w:vAlign w:val="center"/>
          </w:tcPr>
          <w:p w:rsidR="00941868" w14:paraId="3CBC8475" w14:textId="77777777">
            <w:pPr>
              <w:wordWrap w:val="0"/>
            </w:pPr>
            <w:r>
              <w:rPr>
                <w:rFonts w:hint="eastAsia"/>
              </w:rPr>
              <w:t>起止年月：</w:t>
            </w:r>
          </w:p>
        </w:tc>
        <w:tc>
          <w:tcPr>
            <w:tcW w:w="7348" w:type="dxa"/>
            <w:vAlign w:val="center"/>
          </w:tcPr>
          <w:p w:rsidR="00941868" w14:paraId="273249AF" w14:textId="77777777">
            <w:pPr>
              <w:wordWrap w:val="0"/>
              <w:jc w:val="left"/>
              <w:rPr>
                <w:rFonts w:ascii="宋体" w:eastAsia="宋体" w:hAnsi="宋体" w:cs="宋体"/>
                <w:szCs w:val="28"/>
              </w:rPr>
            </w:pPr>
            <w:bookmarkStart w:id="10" w:name="qzny"/>
            <w:r>
              <w:rPr>
                <w:rFonts w:ascii="宋体" w:eastAsia="宋体" w:hAnsi="宋体" w:cs="宋体"/>
                <w:szCs w:val="28"/>
              </w:rPr>
              <w:t>2025-01 至 2027-12</w:t>
            </w:r>
            <w:bookmarkEnd w:id="10"/>
          </w:p>
        </w:tc>
      </w:tr>
      <w:tr w14:paraId="37FC072F" w14:textId="77777777">
        <w:tblPrEx>
          <w:tblW w:w="9072" w:type="dxa"/>
          <w:jc w:val="center"/>
          <w:tblLook w:val="04A0"/>
        </w:tblPrEx>
        <w:trPr>
          <w:trHeight w:val="680"/>
          <w:jc w:val="center"/>
        </w:trPr>
        <w:tc>
          <w:tcPr>
            <w:tcW w:w="1724" w:type="dxa"/>
            <w:vAlign w:val="center"/>
          </w:tcPr>
          <w:p w:rsidR="00941868" w14:paraId="1D456873" w14:textId="77777777">
            <w:pPr>
              <w:wordWrap w:val="0"/>
            </w:pPr>
            <w:r>
              <w:rPr>
                <w:rFonts w:hint="eastAsia"/>
              </w:rPr>
              <w:t>填报日期：</w:t>
            </w:r>
          </w:p>
        </w:tc>
        <w:tc>
          <w:tcPr>
            <w:tcW w:w="7348" w:type="dxa"/>
            <w:vAlign w:val="center"/>
          </w:tcPr>
          <w:p w:rsidR="00941868" w14:paraId="0AC4B90E" w14:textId="77777777">
            <w:pPr>
              <w:wordWrap w:val="0"/>
              <w:jc w:val="left"/>
              <w:rPr>
                <w:rFonts w:ascii="宋体" w:eastAsia="宋体" w:hAnsi="宋体" w:cs="宋体"/>
                <w:szCs w:val="28"/>
              </w:rPr>
            </w:pPr>
            <w:bookmarkStart w:id="11" w:name="tbtime"/>
            <w:r>
              <w:rPr>
                <w:rFonts w:ascii="宋体" w:eastAsia="宋体" w:hAnsi="宋体" w:cs="宋体"/>
                <w:szCs w:val="28"/>
              </w:rPr>
              <w:t>2025-03-16</w:t>
            </w:r>
            <w:bookmarkEnd w:id="11"/>
          </w:p>
        </w:tc>
      </w:tr>
    </w:tbl>
    <w:p w:rsidR="00941868" w14:paraId="5AAC5949" w14:textId="77777777">
      <w:pPr>
        <w:wordWrap w:val="0"/>
        <w:rPr>
          <w:sz w:val="21"/>
        </w:rPr>
      </w:pPr>
    </w:p>
    <w:p w:rsidR="00941868" w14:paraId="20EA1CBD" w14:textId="77777777">
      <w:pPr>
        <w:wordWrap w:val="0"/>
        <w:rPr>
          <w:sz w:val="21"/>
        </w:rPr>
      </w:pPr>
    </w:p>
    <w:p w:rsidR="00941868" w14:paraId="505D429F" w14:textId="77777777">
      <w:pPr>
        <w:wordWrap w:val="0"/>
        <w:rPr>
          <w:sz w:val="21"/>
        </w:rPr>
      </w:pPr>
    </w:p>
    <w:p w:rsidR="00941868" w14:paraId="24D19DF0" w14:textId="77777777">
      <w:pPr>
        <w:wordWrap w:val="0"/>
        <w:rPr>
          <w:sz w:val="21"/>
        </w:rPr>
      </w:pPr>
    </w:p>
    <w:p w:rsidR="00941868" w14:paraId="18A4C14E" w14:textId="77777777">
      <w:pPr>
        <w:wordWrap w:val="0"/>
        <w:jc w:val="center"/>
        <w:rPr>
          <w:sz w:val="21"/>
        </w:rPr>
      </w:pPr>
      <w:r>
        <w:rPr>
          <w:rFonts w:hint="eastAsia"/>
          <w:b/>
          <w:sz w:val="36"/>
        </w:rPr>
        <w:t>河北省自然科学基金委制</w:t>
      </w:r>
    </w:p>
    <w:p w:rsidR="00941868" w14:paraId="03987AE5" w14:textId="77777777">
      <w:pPr>
        <w:wordWrap w:val="0"/>
        <w:rPr>
          <w:b/>
          <w:sz w:val="32"/>
        </w:rPr>
      </w:pPr>
      <w:r>
        <w:rPr>
          <w:b/>
          <w:sz w:val="32"/>
        </w:rPr>
        <w:br w:type="page"/>
      </w:r>
    </w:p>
    <w:tbl>
      <w:tblPr>
        <w:tblW w:w="0" w:type="auto"/>
        <w:jc w:val="center"/>
        <w:tblLook w:val="04A0"/>
      </w:tblPr>
      <w:tblGrid>
        <w:gridCol w:w="9242"/>
      </w:tblGrid>
      <w:tr w14:paraId="3CDC3449" w14:textId="77777777">
        <w:tblPrEx>
          <w:tblW w:w="0" w:type="auto"/>
          <w:jc w:val="center"/>
          <w:tblLook w:val="04A0"/>
        </w:tblPrEx>
        <w:trPr>
          <w:trHeight w:val="12544"/>
          <w:jc w:val="center"/>
        </w:trPr>
        <w:tc>
          <w:tcPr>
            <w:tcW w:w="9242" w:type="dxa"/>
          </w:tcPr>
          <w:p w:rsidR="00941868" w14:paraId="0BAF6774" w14:textId="77777777">
            <w:pPr>
              <w:wordWrap w:val="0"/>
              <w:jc w:val="center"/>
              <w:rPr>
                <w:b/>
              </w:rPr>
            </w:pPr>
            <w:r>
              <w:rPr>
                <w:rFonts w:hint="eastAsia"/>
                <w:b/>
              </w:rPr>
              <w:t>填</w:t>
            </w:r>
            <w:r>
              <w:rPr>
                <w:rFonts w:hint="eastAsia"/>
                <w:b/>
              </w:rPr>
              <w:t xml:space="preserve"> </w:t>
            </w:r>
            <w:r>
              <w:rPr>
                <w:rFonts w:hint="eastAsia"/>
                <w:b/>
              </w:rPr>
              <w:t>报</w:t>
            </w:r>
            <w:r>
              <w:rPr>
                <w:rFonts w:hint="eastAsia"/>
                <w:b/>
              </w:rPr>
              <w:t xml:space="preserve"> </w:t>
            </w:r>
            <w:r>
              <w:rPr>
                <w:rFonts w:hint="eastAsia"/>
                <w:b/>
              </w:rPr>
              <w:t>说</w:t>
            </w:r>
            <w:r>
              <w:rPr>
                <w:rFonts w:hint="eastAsia"/>
                <w:b/>
              </w:rPr>
              <w:t xml:space="preserve"> </w:t>
            </w:r>
            <w:r>
              <w:rPr>
                <w:rFonts w:hint="eastAsia"/>
                <w:b/>
              </w:rPr>
              <w:t>明</w:t>
            </w:r>
          </w:p>
          <w:p w:rsidR="00941868" w14:paraId="24BFEFAF" w14:textId="77777777">
            <w:pPr>
              <w:wordWrap w:val="0"/>
              <w:spacing w:line="440" w:lineRule="exact"/>
              <w:ind w:firstLine="480" w:firstLineChars="200"/>
              <w:jc w:val="left"/>
              <w:rPr>
                <w:rFonts w:cs="仿宋_GB2312"/>
                <w:sz w:val="24"/>
              </w:rPr>
            </w:pPr>
            <w:r>
              <w:rPr>
                <w:rFonts w:cs="仿宋_GB2312"/>
                <w:sz w:val="24"/>
              </w:rPr>
              <w:t>1.</w:t>
            </w:r>
            <w:r>
              <w:rPr>
                <w:rFonts w:cs="仿宋_GB2312" w:hint="eastAsia"/>
                <w:sz w:val="24"/>
              </w:rPr>
              <w:t>申报书的内容将作为项目评审以及签订计划书的重要依据，申报书的各项填报内容请实事求是、准确完整、层次清晰。</w:t>
            </w:r>
          </w:p>
          <w:p w:rsidR="00941868" w14:paraId="725AE330" w14:textId="77777777">
            <w:pPr>
              <w:wordWrap w:val="0"/>
              <w:spacing w:line="440" w:lineRule="exact"/>
              <w:ind w:firstLine="480" w:firstLineChars="200"/>
              <w:jc w:val="left"/>
              <w:rPr>
                <w:rFonts w:cs="仿宋_GB2312"/>
                <w:sz w:val="24"/>
              </w:rPr>
            </w:pPr>
            <w:r>
              <w:rPr>
                <w:rFonts w:cs="仿宋_GB2312"/>
                <w:sz w:val="24"/>
              </w:rPr>
              <w:t>2.</w:t>
            </w:r>
            <w:r>
              <w:rPr>
                <w:rFonts w:cs="仿宋_GB2312" w:hint="eastAsia"/>
                <w:sz w:val="24"/>
              </w:rPr>
              <w:t>请申报单位认真阅读指南，所申报的项目研究内容须对应指南代码、符合指南的要求。</w:t>
            </w:r>
          </w:p>
          <w:p w:rsidR="00941868" w14:paraId="23CAA7BE" w14:textId="77777777">
            <w:pPr>
              <w:wordWrap w:val="0"/>
              <w:spacing w:line="440" w:lineRule="exact"/>
              <w:ind w:firstLine="480" w:firstLineChars="200"/>
              <w:jc w:val="left"/>
              <w:rPr>
                <w:rFonts w:cs="仿宋_GB2312"/>
                <w:sz w:val="24"/>
              </w:rPr>
            </w:pPr>
            <w:r>
              <w:rPr>
                <w:rFonts w:cs="仿宋_GB2312"/>
                <w:sz w:val="24"/>
              </w:rPr>
              <w:t>3.</w:t>
            </w:r>
            <w:r>
              <w:rPr>
                <w:rFonts w:cs="仿宋_GB2312" w:hint="eastAsia"/>
                <w:sz w:val="24"/>
              </w:rPr>
              <w:t>申报单位可根据申报指南、申报项目的研究内容自行确定所申报项目的项目名称。项目名称应清晰、准确反映研究内容，项目名称不宜宽泛。</w:t>
            </w:r>
          </w:p>
          <w:p w:rsidR="00941868" w14:paraId="3091EEE1" w14:textId="77777777">
            <w:pPr>
              <w:wordWrap w:val="0"/>
              <w:spacing w:line="440" w:lineRule="exact"/>
              <w:ind w:firstLine="480" w:firstLineChars="200"/>
              <w:jc w:val="left"/>
              <w:rPr>
                <w:rFonts w:cs="仿宋_GB2312"/>
                <w:sz w:val="24"/>
              </w:rPr>
            </w:pPr>
            <w:r>
              <w:rPr>
                <w:rFonts w:cs="仿宋_GB2312"/>
                <w:sz w:val="24"/>
              </w:rPr>
              <w:t>4.</w:t>
            </w:r>
            <w:r>
              <w:rPr>
                <w:rFonts w:cs="仿宋_GB2312" w:hint="eastAsia"/>
                <w:sz w:val="24"/>
              </w:rPr>
              <w:t>通过河北省科技计划项目综合服务平台按照系统提示在线填写申报书。凡不填写的内容，请用“无”表示。</w:t>
            </w:r>
          </w:p>
          <w:p w:rsidR="00941868" w14:paraId="6985F2D2" w14:textId="77777777">
            <w:pPr>
              <w:wordWrap w:val="0"/>
              <w:spacing w:line="440" w:lineRule="exact"/>
              <w:ind w:firstLine="480" w:firstLineChars="200"/>
              <w:jc w:val="left"/>
              <w:rPr>
                <w:rFonts w:cs="仿宋_GB2312"/>
                <w:sz w:val="24"/>
              </w:rPr>
            </w:pPr>
            <w:r>
              <w:rPr>
                <w:rFonts w:cs="仿宋_GB2312"/>
                <w:sz w:val="24"/>
              </w:rPr>
              <w:t>5.</w:t>
            </w:r>
            <w:r>
              <w:rPr>
                <w:rFonts w:cs="仿宋_GB2312" w:hint="eastAsia"/>
                <w:sz w:val="24"/>
              </w:rPr>
              <w:t>申报书中的单位名称，请填写全称，并与单位公章一致。</w:t>
            </w:r>
          </w:p>
          <w:p w:rsidR="00941868" w14:paraId="52C14E43" w14:textId="77777777">
            <w:pPr>
              <w:wordWrap w:val="0"/>
              <w:spacing w:line="440" w:lineRule="exact"/>
              <w:ind w:firstLine="480" w:firstLineChars="200"/>
              <w:jc w:val="left"/>
              <w:rPr>
                <w:rFonts w:cs="仿宋_GB2312"/>
                <w:sz w:val="24"/>
              </w:rPr>
            </w:pPr>
            <w:r>
              <w:rPr>
                <w:rFonts w:cs="仿宋_GB2312"/>
                <w:sz w:val="24"/>
              </w:rPr>
              <w:t>6.</w:t>
            </w:r>
            <w:r>
              <w:rPr>
                <w:rFonts w:cs="仿宋_GB2312" w:hint="eastAsia"/>
                <w:sz w:val="24"/>
              </w:rPr>
              <w:t>“项目基本信息”表格中，“技术领域”应填写项目负责人的主要研究领域；“企业拥有专利数量”应填写申报单位拥有专利数量。</w:t>
            </w:r>
          </w:p>
          <w:p w:rsidR="00941868" w14:paraId="5CE4305D" w14:textId="77777777">
            <w:pPr>
              <w:wordWrap w:val="0"/>
              <w:spacing w:line="440" w:lineRule="exact"/>
              <w:ind w:firstLine="480" w:firstLineChars="200"/>
              <w:jc w:val="left"/>
              <w:rPr>
                <w:rFonts w:cs="仿宋_GB2312"/>
                <w:sz w:val="24"/>
              </w:rPr>
            </w:pPr>
            <w:r>
              <w:rPr>
                <w:rFonts w:cs="仿宋_GB2312"/>
                <w:sz w:val="24"/>
              </w:rPr>
              <w:t>7.</w:t>
            </w:r>
            <w:r>
              <w:rPr>
                <w:rFonts w:cs="仿宋_GB2312" w:hint="eastAsia"/>
                <w:sz w:val="24"/>
              </w:rPr>
              <w:t>“项目组主要成员”表格中，人员数量不能超过</w:t>
            </w:r>
            <w:r>
              <w:rPr>
                <w:rFonts w:cs="仿宋_GB2312"/>
                <w:sz w:val="24"/>
              </w:rPr>
              <w:t>10</w:t>
            </w:r>
            <w:r>
              <w:rPr>
                <w:rFonts w:cs="仿宋_GB2312" w:hint="eastAsia"/>
                <w:sz w:val="24"/>
              </w:rPr>
              <w:t>人（含项目负责人）。其中，申报青年科学基金项目（</w:t>
            </w:r>
            <w:r>
              <w:rPr>
                <w:rFonts w:cs="仿宋_GB2312"/>
                <w:sz w:val="24"/>
              </w:rPr>
              <w:t>A</w:t>
            </w:r>
            <w:r>
              <w:rPr>
                <w:rFonts w:cs="仿宋_GB2312" w:hint="eastAsia"/>
                <w:sz w:val="24"/>
              </w:rPr>
              <w:t>类）、青</w:t>
            </w:r>
            <w:r>
              <w:rPr>
                <w:rFonts w:cs="仿宋_GB2312" w:hint="eastAsia"/>
                <w:sz w:val="24"/>
              </w:rPr>
              <w:t>年科学基金项目（</w:t>
            </w:r>
            <w:r>
              <w:rPr>
                <w:rFonts w:cs="仿宋_GB2312"/>
                <w:sz w:val="24"/>
              </w:rPr>
              <w:t>B</w:t>
            </w:r>
            <w:r>
              <w:rPr>
                <w:rFonts w:cs="仿宋_GB2312" w:hint="eastAsia"/>
                <w:sz w:val="24"/>
              </w:rPr>
              <w:t>类）、青年科学基金项目（</w:t>
            </w:r>
            <w:r>
              <w:rPr>
                <w:rFonts w:cs="仿宋_GB2312"/>
                <w:sz w:val="24"/>
              </w:rPr>
              <w:t>C</w:t>
            </w:r>
            <w:r>
              <w:rPr>
                <w:rFonts w:cs="仿宋_GB2312" w:hint="eastAsia"/>
                <w:sz w:val="24"/>
              </w:rPr>
              <w:t>类）、青年科学基金项目（</w:t>
            </w:r>
            <w:r>
              <w:rPr>
                <w:rFonts w:cs="仿宋_GB2312"/>
                <w:sz w:val="24"/>
              </w:rPr>
              <w:t>D</w:t>
            </w:r>
            <w:r>
              <w:rPr>
                <w:rFonts w:cs="仿宋_GB2312" w:hint="eastAsia"/>
                <w:sz w:val="24"/>
              </w:rPr>
              <w:t>类）和春晖人才项目仅填写项目负责人信息。</w:t>
            </w:r>
          </w:p>
          <w:p w:rsidR="00941868" w14:paraId="39203953" w14:textId="77777777">
            <w:pPr>
              <w:wordWrap w:val="0"/>
              <w:spacing w:line="440" w:lineRule="exact"/>
              <w:ind w:firstLine="480" w:firstLineChars="200"/>
              <w:jc w:val="left"/>
              <w:rPr>
                <w:rFonts w:cs="仿宋_GB2312"/>
                <w:sz w:val="24"/>
              </w:rPr>
            </w:pPr>
            <w:r>
              <w:rPr>
                <w:rFonts w:cs="仿宋_GB2312"/>
                <w:sz w:val="24"/>
              </w:rPr>
              <w:t>8.</w:t>
            </w:r>
            <w:r>
              <w:rPr>
                <w:rFonts w:cs="仿宋_GB2312" w:hint="eastAsia"/>
                <w:sz w:val="24"/>
              </w:rPr>
              <w:t>申报书正文部分总字数建议不超过</w:t>
            </w:r>
            <w:r>
              <w:rPr>
                <w:rFonts w:cs="仿宋_GB2312"/>
                <w:sz w:val="24"/>
              </w:rPr>
              <w:t>10000</w:t>
            </w:r>
            <w:r>
              <w:rPr>
                <w:rFonts w:cs="仿宋_GB2312" w:hint="eastAsia"/>
                <w:sz w:val="24"/>
              </w:rPr>
              <w:t>字。</w:t>
            </w:r>
          </w:p>
          <w:p w:rsidR="00941868" w14:paraId="24440151" w14:textId="77777777">
            <w:pPr>
              <w:wordWrap w:val="0"/>
              <w:spacing w:line="440" w:lineRule="exact"/>
              <w:ind w:firstLine="480" w:firstLineChars="200"/>
              <w:jc w:val="left"/>
              <w:rPr>
                <w:rFonts w:cs="仿宋_GB2312"/>
                <w:sz w:val="24"/>
              </w:rPr>
            </w:pPr>
            <w:r>
              <w:rPr>
                <w:rFonts w:cs="仿宋_GB2312"/>
                <w:sz w:val="24"/>
              </w:rPr>
              <w:t>9.</w:t>
            </w:r>
            <w:r>
              <w:rPr>
                <w:rFonts w:cs="仿宋_GB2312" w:hint="eastAsia"/>
                <w:sz w:val="24"/>
              </w:rPr>
              <w:t>申报创新研究群体项目，项目名称栏填写“研究方向”，而不是具体的研究课题名称；申报书摘要部分填写申报人和参与者的“主要学术成绩”。 </w:t>
            </w:r>
          </w:p>
          <w:p w:rsidR="00941868" w14:paraId="5FF343EF" w14:textId="77777777">
            <w:pPr>
              <w:wordWrap w:val="0"/>
              <w:spacing w:line="440" w:lineRule="exact"/>
              <w:ind w:firstLine="480" w:firstLineChars="200"/>
              <w:rPr>
                <w:rFonts w:cs="仿宋_GB2312"/>
                <w:sz w:val="24"/>
              </w:rPr>
            </w:pPr>
            <w:r>
              <w:rPr>
                <w:rFonts w:cs="仿宋_GB2312" w:hint="eastAsia"/>
                <w:sz w:val="24"/>
              </w:rPr>
              <w:t>填写完成后，请申报单位对所申报信息的真实、完整、有效进行审核，并对申报材料的真实性、完整性负责。</w:t>
            </w:r>
          </w:p>
          <w:p w:rsidR="00941868" w14:paraId="649B8222" w14:textId="77777777">
            <w:pPr>
              <w:wordWrap w:val="0"/>
              <w:spacing w:line="360" w:lineRule="auto"/>
              <w:ind w:firstLine="640" w:firstLineChars="200"/>
              <w:rPr>
                <w:b/>
                <w:sz w:val="32"/>
              </w:rPr>
            </w:pPr>
          </w:p>
        </w:tc>
      </w:tr>
    </w:tbl>
    <w:p w:rsidR="00941868" w14:paraId="66CE9781" w14:textId="77777777">
      <w:pPr>
        <w:wordWrap w:val="0"/>
        <w:rPr>
          <w:b/>
          <w:sz w:val="32"/>
        </w:rPr>
      </w:pPr>
      <w:r>
        <w:rPr>
          <w:b/>
          <w:sz w:val="32"/>
        </w:rPr>
        <w:br w:type="page"/>
      </w:r>
    </w:p>
    <w:tbl>
      <w:tblPr>
        <w:tblW w:w="10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90"/>
        <w:gridCol w:w="1276"/>
        <w:gridCol w:w="54"/>
        <w:gridCol w:w="1080"/>
        <w:gridCol w:w="284"/>
        <w:gridCol w:w="425"/>
        <w:gridCol w:w="1134"/>
        <w:gridCol w:w="403"/>
        <w:gridCol w:w="785"/>
        <w:gridCol w:w="88"/>
        <w:gridCol w:w="53"/>
        <w:gridCol w:w="1342"/>
        <w:gridCol w:w="993"/>
        <w:gridCol w:w="283"/>
        <w:gridCol w:w="1841"/>
      </w:tblGrid>
      <w:tr w14:paraId="25953675" w14:textId="77777777">
        <w:tblPrEx>
          <w:tblW w:w="10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cantSplit/>
          <w:trHeight w:val="509"/>
          <w:jc w:val="center"/>
        </w:trPr>
        <w:tc>
          <w:tcPr>
            <w:tcW w:w="10531" w:type="dxa"/>
            <w:gridSpan w:val="15"/>
            <w:vAlign w:val="center"/>
          </w:tcPr>
          <w:p w:rsidR="00941868" w14:paraId="1E97188A" w14:textId="77777777">
            <w:pPr>
              <w:wordWrap w:val="0"/>
              <w:jc w:val="center"/>
              <w:rPr>
                <w:sz w:val="24"/>
              </w:rPr>
            </w:pPr>
            <w:r>
              <w:rPr>
                <w:rFonts w:hint="eastAsia"/>
                <w:b/>
                <w:szCs w:val="28"/>
              </w:rPr>
              <w:t>项目基本信息</w:t>
            </w:r>
          </w:p>
        </w:tc>
      </w:tr>
      <w:tr w14:paraId="0D08B95B" w14:textId="77777777">
        <w:tblPrEx>
          <w:tblW w:w="10531" w:type="dxa"/>
          <w:jc w:val="center"/>
          <w:tblLayout w:type="fixed"/>
          <w:tblLook w:val="04A0"/>
        </w:tblPrEx>
        <w:trPr>
          <w:cantSplit/>
          <w:trHeight w:val="509"/>
          <w:jc w:val="center"/>
        </w:trPr>
        <w:tc>
          <w:tcPr>
            <w:tcW w:w="1766" w:type="dxa"/>
            <w:gridSpan w:val="2"/>
            <w:vAlign w:val="center"/>
          </w:tcPr>
          <w:p w:rsidR="00941868" w14:paraId="6856F58D" w14:textId="77777777">
            <w:pPr>
              <w:wordWrap w:val="0"/>
              <w:jc w:val="center"/>
              <w:rPr>
                <w:sz w:val="24"/>
              </w:rPr>
            </w:pPr>
            <w:r>
              <w:rPr>
                <w:rFonts w:hint="eastAsia"/>
                <w:sz w:val="24"/>
              </w:rPr>
              <w:t>项目名称</w:t>
            </w:r>
          </w:p>
        </w:tc>
        <w:tc>
          <w:tcPr>
            <w:tcW w:w="4253" w:type="dxa"/>
            <w:gridSpan w:val="8"/>
            <w:vAlign w:val="center"/>
          </w:tcPr>
          <w:p w:rsidR="00941868" w14:paraId="6B171443" w14:textId="77777777">
            <w:pPr>
              <w:wordWrap w:val="0"/>
              <w:rPr>
                <w:rFonts w:ascii="宋体" w:eastAsia="宋体" w:hAnsi="宋体" w:cs="宋体"/>
                <w:sz w:val="24"/>
              </w:rPr>
            </w:pPr>
            <w:bookmarkStart w:id="12" w:name="xmmc1"/>
            <w:r>
              <w:rPr>
                <w:rFonts w:ascii="宋体" w:eastAsia="宋体" w:hAnsi="宋体" w:cs="宋体"/>
                <w:sz w:val="24"/>
              </w:rPr>
              <w:t>基于TIPE2-TRIM13轴探析失血性休克树突状细胞免疫功能紊乱机制的研究</w:t>
            </w:r>
            <w:bookmarkEnd w:id="12"/>
          </w:p>
        </w:tc>
        <w:tc>
          <w:tcPr>
            <w:tcW w:w="1395" w:type="dxa"/>
            <w:gridSpan w:val="2"/>
            <w:vAlign w:val="center"/>
          </w:tcPr>
          <w:p w:rsidR="00941868" w14:paraId="6F7139B6" w14:textId="77777777">
            <w:pPr>
              <w:wordWrap w:val="0"/>
              <w:jc w:val="center"/>
              <w:rPr>
                <w:sz w:val="24"/>
              </w:rPr>
            </w:pPr>
            <w:r>
              <w:rPr>
                <w:rFonts w:hint="eastAsia"/>
                <w:sz w:val="24"/>
              </w:rPr>
              <w:t>所属专项</w:t>
            </w:r>
          </w:p>
        </w:tc>
        <w:tc>
          <w:tcPr>
            <w:tcW w:w="3117" w:type="dxa"/>
            <w:gridSpan w:val="3"/>
            <w:vAlign w:val="center"/>
          </w:tcPr>
          <w:p w:rsidR="00941868" w14:paraId="65BFE032" w14:textId="77777777">
            <w:pPr>
              <w:wordWrap w:val="0"/>
              <w:jc w:val="left"/>
              <w:rPr>
                <w:rFonts w:ascii="宋体" w:eastAsia="宋体" w:hAnsi="宋体" w:cs="宋体"/>
                <w:sz w:val="24"/>
              </w:rPr>
            </w:pPr>
            <w:bookmarkStart w:id="13" w:name="zxmc1"/>
            <w:r>
              <w:rPr>
                <w:rFonts w:ascii="宋体" w:eastAsia="宋体" w:hAnsi="宋体" w:cs="宋体"/>
                <w:sz w:val="24"/>
              </w:rPr>
              <w:t>基础研究专项（自然科学基金）</w:t>
            </w:r>
            <w:bookmarkEnd w:id="13"/>
          </w:p>
        </w:tc>
      </w:tr>
      <w:tr w14:paraId="13285320" w14:textId="77777777">
        <w:tblPrEx>
          <w:tblW w:w="10531" w:type="dxa"/>
          <w:jc w:val="center"/>
          <w:tblLayout w:type="fixed"/>
          <w:tblLook w:val="04A0"/>
        </w:tblPrEx>
        <w:trPr>
          <w:cantSplit/>
          <w:trHeight w:val="403"/>
          <w:jc w:val="center"/>
        </w:trPr>
        <w:tc>
          <w:tcPr>
            <w:tcW w:w="1766" w:type="dxa"/>
            <w:gridSpan w:val="2"/>
            <w:vAlign w:val="center"/>
          </w:tcPr>
          <w:p w:rsidR="00941868" w14:paraId="22BB8DB6" w14:textId="77777777">
            <w:pPr>
              <w:wordWrap w:val="0"/>
              <w:jc w:val="center"/>
              <w:rPr>
                <w:sz w:val="24"/>
              </w:rPr>
            </w:pPr>
            <w:r>
              <w:rPr>
                <w:rFonts w:hint="eastAsia"/>
                <w:sz w:val="24"/>
              </w:rPr>
              <w:t>指南代码</w:t>
            </w:r>
          </w:p>
        </w:tc>
        <w:tc>
          <w:tcPr>
            <w:tcW w:w="4253" w:type="dxa"/>
            <w:gridSpan w:val="8"/>
            <w:vAlign w:val="center"/>
          </w:tcPr>
          <w:p w:rsidR="00941868" w14:paraId="103834B2" w14:textId="77777777">
            <w:pPr>
              <w:wordWrap w:val="0"/>
              <w:rPr>
                <w:rFonts w:ascii="宋体" w:eastAsia="宋体" w:hAnsi="宋体" w:cs="宋体"/>
                <w:sz w:val="24"/>
              </w:rPr>
            </w:pPr>
            <w:bookmarkStart w:id="14" w:name="zndm1"/>
            <w:r>
              <w:rPr>
                <w:rFonts w:ascii="宋体" w:eastAsia="宋体" w:hAnsi="宋体" w:cs="宋体"/>
                <w:sz w:val="24"/>
              </w:rPr>
              <w:t>1010401-精准医学创新发展联合基金培育项目</w:t>
            </w:r>
            <w:bookmarkEnd w:id="14"/>
          </w:p>
        </w:tc>
        <w:tc>
          <w:tcPr>
            <w:tcW w:w="1395" w:type="dxa"/>
            <w:gridSpan w:val="2"/>
            <w:vAlign w:val="center"/>
          </w:tcPr>
          <w:p w:rsidR="00941868" w14:paraId="574A3F45" w14:textId="77777777">
            <w:pPr>
              <w:wordWrap w:val="0"/>
              <w:jc w:val="center"/>
              <w:rPr>
                <w:sz w:val="24"/>
              </w:rPr>
            </w:pPr>
            <w:r>
              <w:rPr>
                <w:rFonts w:hint="eastAsia"/>
                <w:sz w:val="24"/>
              </w:rPr>
              <w:t>科技活动</w:t>
            </w:r>
          </w:p>
          <w:p w:rsidR="00941868" w14:paraId="566A1328" w14:textId="77777777">
            <w:pPr>
              <w:wordWrap w:val="0"/>
              <w:jc w:val="center"/>
              <w:rPr>
                <w:sz w:val="24"/>
              </w:rPr>
            </w:pPr>
            <w:r>
              <w:rPr>
                <w:rFonts w:hint="eastAsia"/>
                <w:sz w:val="24"/>
              </w:rPr>
              <w:t>类型</w:t>
            </w:r>
          </w:p>
        </w:tc>
        <w:tc>
          <w:tcPr>
            <w:tcW w:w="3117" w:type="dxa"/>
            <w:gridSpan w:val="3"/>
            <w:vAlign w:val="center"/>
          </w:tcPr>
          <w:p w:rsidR="00941868" w14:paraId="3E6DBE3F" w14:textId="77777777">
            <w:pPr>
              <w:wordWrap w:val="0"/>
              <w:jc w:val="left"/>
              <w:rPr>
                <w:rFonts w:ascii="宋体" w:eastAsia="宋体" w:hAnsi="宋体" w:cs="宋体"/>
                <w:sz w:val="24"/>
              </w:rPr>
            </w:pPr>
            <w:bookmarkStart w:id="15" w:name="kjhdlx"/>
            <w:r>
              <w:rPr>
                <w:rFonts w:ascii="宋体" w:eastAsia="宋体" w:hAnsi="宋体" w:cs="宋体"/>
                <w:sz w:val="24"/>
              </w:rPr>
              <w:t>基础研究</w:t>
            </w:r>
            <w:bookmarkEnd w:id="15"/>
          </w:p>
        </w:tc>
      </w:tr>
      <w:tr w14:paraId="5A2BA634" w14:textId="77777777">
        <w:tblPrEx>
          <w:tblW w:w="10531" w:type="dxa"/>
          <w:jc w:val="center"/>
          <w:tblLayout w:type="fixed"/>
          <w:tblLook w:val="04A0"/>
        </w:tblPrEx>
        <w:trPr>
          <w:cantSplit/>
          <w:trHeight w:val="548"/>
          <w:jc w:val="center"/>
        </w:trPr>
        <w:tc>
          <w:tcPr>
            <w:tcW w:w="1766" w:type="dxa"/>
            <w:gridSpan w:val="2"/>
            <w:vAlign w:val="center"/>
          </w:tcPr>
          <w:p w:rsidR="00941868" w14:paraId="0D09BD1B" w14:textId="77777777">
            <w:pPr>
              <w:wordWrap w:val="0"/>
              <w:jc w:val="center"/>
              <w:rPr>
                <w:sz w:val="24"/>
              </w:rPr>
            </w:pPr>
            <w:r>
              <w:rPr>
                <w:rFonts w:hint="eastAsia"/>
                <w:sz w:val="24"/>
              </w:rPr>
              <w:t>应用行业</w:t>
            </w:r>
          </w:p>
        </w:tc>
        <w:tc>
          <w:tcPr>
            <w:tcW w:w="4253" w:type="dxa"/>
            <w:gridSpan w:val="8"/>
            <w:vAlign w:val="center"/>
          </w:tcPr>
          <w:p w:rsidR="00941868" w14:paraId="49A87D6A" w14:textId="77777777">
            <w:pPr>
              <w:wordWrap w:val="0"/>
              <w:rPr>
                <w:rFonts w:ascii="宋体" w:eastAsia="宋体" w:hAnsi="宋体" w:cs="宋体"/>
                <w:sz w:val="24"/>
              </w:rPr>
            </w:pPr>
            <w:bookmarkStart w:id="16" w:name="yyhy"/>
            <w:r>
              <w:rPr>
                <w:rFonts w:ascii="宋体" w:eastAsia="宋体" w:hAnsi="宋体" w:cs="宋体"/>
                <w:sz w:val="24"/>
              </w:rPr>
              <w:t>专科疾病防治活动</w:t>
            </w:r>
            <w:bookmarkEnd w:id="16"/>
          </w:p>
        </w:tc>
        <w:tc>
          <w:tcPr>
            <w:tcW w:w="1395" w:type="dxa"/>
            <w:gridSpan w:val="2"/>
            <w:vAlign w:val="center"/>
          </w:tcPr>
          <w:p w:rsidR="00941868" w14:paraId="5FE025B8" w14:textId="77777777">
            <w:pPr>
              <w:wordWrap w:val="0"/>
              <w:jc w:val="center"/>
              <w:rPr>
                <w:sz w:val="24"/>
              </w:rPr>
            </w:pPr>
            <w:r>
              <w:rPr>
                <w:rFonts w:hint="eastAsia"/>
                <w:sz w:val="24"/>
              </w:rPr>
              <w:t>技术领域</w:t>
            </w:r>
          </w:p>
        </w:tc>
        <w:tc>
          <w:tcPr>
            <w:tcW w:w="3117" w:type="dxa"/>
            <w:gridSpan w:val="3"/>
            <w:vAlign w:val="center"/>
          </w:tcPr>
          <w:p w:rsidR="00941868" w14:paraId="3513F85C" w14:textId="77777777">
            <w:pPr>
              <w:wordWrap w:val="0"/>
              <w:jc w:val="left"/>
              <w:rPr>
                <w:rFonts w:ascii="宋体" w:eastAsia="宋体" w:hAnsi="宋体" w:cs="宋体"/>
                <w:sz w:val="24"/>
              </w:rPr>
            </w:pPr>
            <w:bookmarkStart w:id="17" w:name="jsly"/>
            <w:r>
              <w:rPr>
                <w:rFonts w:ascii="宋体" w:eastAsia="宋体" w:hAnsi="宋体" w:cs="宋体"/>
                <w:sz w:val="24"/>
              </w:rPr>
              <w:t>医疗卫生技术</w:t>
            </w:r>
            <w:bookmarkEnd w:id="17"/>
          </w:p>
        </w:tc>
      </w:tr>
      <w:tr w14:paraId="47A81552" w14:textId="77777777">
        <w:tblPrEx>
          <w:tblW w:w="10531" w:type="dxa"/>
          <w:jc w:val="center"/>
          <w:tblLayout w:type="fixed"/>
          <w:tblLook w:val="04A0"/>
        </w:tblPrEx>
        <w:trPr>
          <w:cantSplit/>
          <w:trHeight w:val="541"/>
          <w:jc w:val="center"/>
        </w:trPr>
        <w:tc>
          <w:tcPr>
            <w:tcW w:w="1766" w:type="dxa"/>
            <w:gridSpan w:val="2"/>
            <w:vAlign w:val="center"/>
          </w:tcPr>
          <w:p w:rsidR="00941868" w14:paraId="57940F5A" w14:textId="77777777">
            <w:pPr>
              <w:wordWrap w:val="0"/>
              <w:jc w:val="center"/>
              <w:rPr>
                <w:sz w:val="24"/>
              </w:rPr>
            </w:pPr>
            <w:r>
              <w:rPr>
                <w:rFonts w:hint="eastAsia"/>
                <w:sz w:val="24"/>
              </w:rPr>
              <w:t>所属学科</w:t>
            </w:r>
            <w:r>
              <w:rPr>
                <w:rFonts w:hint="eastAsia"/>
                <w:sz w:val="24"/>
              </w:rPr>
              <w:t>1</w:t>
            </w:r>
          </w:p>
        </w:tc>
        <w:tc>
          <w:tcPr>
            <w:tcW w:w="4253" w:type="dxa"/>
            <w:gridSpan w:val="8"/>
            <w:vAlign w:val="center"/>
          </w:tcPr>
          <w:p w:rsidR="00941868" w14:paraId="661DD033" w14:textId="77777777">
            <w:pPr>
              <w:wordWrap w:val="0"/>
              <w:rPr>
                <w:rFonts w:ascii="宋体" w:eastAsia="宋体" w:hAnsi="宋体" w:cs="宋体"/>
                <w:sz w:val="24"/>
              </w:rPr>
            </w:pPr>
            <w:bookmarkStart w:id="18" w:name="ssxk1"/>
            <w:r>
              <w:rPr>
                <w:rFonts w:ascii="宋体" w:eastAsia="宋体" w:hAnsi="宋体" w:cs="宋体"/>
                <w:sz w:val="24"/>
              </w:rPr>
              <w:t>H1511-急重症医学/创伤/烧伤/整形其他科学问题</w:t>
            </w:r>
            <w:bookmarkEnd w:id="18"/>
          </w:p>
        </w:tc>
        <w:tc>
          <w:tcPr>
            <w:tcW w:w="1395" w:type="dxa"/>
            <w:gridSpan w:val="2"/>
            <w:vAlign w:val="center"/>
          </w:tcPr>
          <w:p w:rsidR="00941868" w14:paraId="20C932EF" w14:textId="77777777">
            <w:pPr>
              <w:wordWrap w:val="0"/>
              <w:jc w:val="center"/>
              <w:rPr>
                <w:sz w:val="24"/>
              </w:rPr>
            </w:pPr>
            <w:r>
              <w:rPr>
                <w:rFonts w:hint="eastAsia"/>
                <w:sz w:val="24"/>
              </w:rPr>
              <w:t>所属学科</w:t>
            </w:r>
            <w:r>
              <w:rPr>
                <w:rFonts w:hint="eastAsia"/>
                <w:sz w:val="24"/>
              </w:rPr>
              <w:t>2</w:t>
            </w:r>
          </w:p>
        </w:tc>
        <w:tc>
          <w:tcPr>
            <w:tcW w:w="3117" w:type="dxa"/>
            <w:gridSpan w:val="3"/>
            <w:vAlign w:val="center"/>
          </w:tcPr>
          <w:p w:rsidR="00941868" w14:paraId="61B3BEB5" w14:textId="77777777">
            <w:pPr>
              <w:wordWrap w:val="0"/>
              <w:jc w:val="left"/>
              <w:rPr>
                <w:rFonts w:ascii="宋体" w:eastAsia="宋体" w:hAnsi="宋体" w:cs="宋体"/>
                <w:sz w:val="24"/>
              </w:rPr>
            </w:pPr>
            <w:bookmarkStart w:id="19" w:name="ssxk2"/>
            <w:r>
              <w:rPr>
                <w:rFonts w:ascii="宋体" w:eastAsia="宋体" w:hAnsi="宋体" w:cs="宋体"/>
                <w:sz w:val="24"/>
              </w:rPr>
              <w:t>无</w:t>
            </w:r>
            <w:bookmarkEnd w:id="19"/>
          </w:p>
        </w:tc>
      </w:tr>
      <w:tr w14:paraId="02DED460" w14:textId="77777777">
        <w:tblPrEx>
          <w:tblW w:w="10531" w:type="dxa"/>
          <w:jc w:val="center"/>
          <w:tblLayout w:type="fixed"/>
          <w:tblLook w:val="04A0"/>
        </w:tblPrEx>
        <w:trPr>
          <w:cantSplit/>
          <w:trHeight w:val="419"/>
          <w:jc w:val="center"/>
        </w:trPr>
        <w:tc>
          <w:tcPr>
            <w:tcW w:w="1766" w:type="dxa"/>
            <w:gridSpan w:val="2"/>
            <w:vAlign w:val="center"/>
          </w:tcPr>
          <w:p w:rsidR="00941868" w14:paraId="1646D664" w14:textId="77777777">
            <w:pPr>
              <w:wordWrap w:val="0"/>
              <w:jc w:val="center"/>
              <w:rPr>
                <w:sz w:val="24"/>
              </w:rPr>
            </w:pPr>
            <w:r>
              <w:rPr>
                <w:rFonts w:hint="eastAsia"/>
                <w:sz w:val="24"/>
              </w:rPr>
              <w:t>关键词</w:t>
            </w:r>
          </w:p>
        </w:tc>
        <w:tc>
          <w:tcPr>
            <w:tcW w:w="8765" w:type="dxa"/>
            <w:gridSpan w:val="13"/>
            <w:vAlign w:val="center"/>
          </w:tcPr>
          <w:p w:rsidR="00941868" w14:paraId="369B6783" w14:textId="77777777">
            <w:pPr>
              <w:wordWrap w:val="0"/>
              <w:jc w:val="left"/>
              <w:rPr>
                <w:rFonts w:ascii="宋体" w:eastAsia="宋体" w:hAnsi="宋体" w:cs="宋体"/>
                <w:sz w:val="24"/>
              </w:rPr>
            </w:pPr>
            <w:bookmarkStart w:id="20" w:name="gjc"/>
            <w:r>
              <w:rPr>
                <w:rFonts w:ascii="宋体" w:eastAsia="宋体" w:hAnsi="宋体" w:cs="宋体"/>
                <w:sz w:val="24"/>
              </w:rPr>
              <w:t>失血性休克,树突状细胞,内质网自噬,肿瘤坏死因子α诱导蛋白8样分子2,三重基序蛋白13</w:t>
            </w:r>
            <w:bookmarkEnd w:id="20"/>
          </w:p>
        </w:tc>
      </w:tr>
      <w:tr w14:paraId="21721E9D" w14:textId="77777777">
        <w:tblPrEx>
          <w:tblW w:w="10531" w:type="dxa"/>
          <w:jc w:val="center"/>
          <w:tblLayout w:type="fixed"/>
          <w:tblLook w:val="04A0"/>
        </w:tblPrEx>
        <w:trPr>
          <w:cantSplit/>
          <w:trHeight w:val="419"/>
          <w:jc w:val="center"/>
        </w:trPr>
        <w:tc>
          <w:tcPr>
            <w:tcW w:w="490" w:type="dxa"/>
            <w:vMerge w:val="restart"/>
            <w:vAlign w:val="center"/>
          </w:tcPr>
          <w:p w:rsidR="00941868" w14:paraId="39861ACD" w14:textId="77777777">
            <w:pPr>
              <w:wordWrap w:val="0"/>
              <w:jc w:val="center"/>
              <w:rPr>
                <w:sz w:val="24"/>
              </w:rPr>
            </w:pPr>
            <w:r>
              <w:rPr>
                <w:rFonts w:cs="仿宋_GB2312" w:hint="eastAsia"/>
                <w:sz w:val="24"/>
              </w:rPr>
              <w:t>申报</w:t>
            </w:r>
            <w:r>
              <w:rPr>
                <w:rFonts w:hint="eastAsia"/>
                <w:sz w:val="24"/>
              </w:rPr>
              <w:t>人信息</w:t>
            </w:r>
          </w:p>
        </w:tc>
        <w:tc>
          <w:tcPr>
            <w:tcW w:w="1276" w:type="dxa"/>
            <w:vAlign w:val="center"/>
          </w:tcPr>
          <w:p w:rsidR="00941868" w14:paraId="68BEFF97" w14:textId="77777777">
            <w:pPr>
              <w:wordWrap w:val="0"/>
              <w:jc w:val="center"/>
              <w:rPr>
                <w:sz w:val="24"/>
              </w:rPr>
            </w:pPr>
            <w:r>
              <w:rPr>
                <w:rFonts w:hint="eastAsia"/>
                <w:sz w:val="24"/>
              </w:rPr>
              <w:t>姓名</w:t>
            </w:r>
          </w:p>
        </w:tc>
        <w:tc>
          <w:tcPr>
            <w:tcW w:w="1134" w:type="dxa"/>
            <w:gridSpan w:val="2"/>
            <w:vAlign w:val="center"/>
          </w:tcPr>
          <w:p w:rsidR="00941868" w14:paraId="026041E4" w14:textId="77777777">
            <w:pPr>
              <w:wordWrap w:val="0"/>
              <w:jc w:val="center"/>
              <w:rPr>
                <w:rFonts w:ascii="宋体" w:eastAsia="宋体" w:hAnsi="宋体" w:cs="宋体"/>
                <w:sz w:val="24"/>
              </w:rPr>
            </w:pPr>
            <w:bookmarkStart w:id="21" w:name="cddwfzr"/>
            <w:r>
              <w:rPr>
                <w:rFonts w:ascii="宋体" w:eastAsia="宋体" w:hAnsi="宋体" w:cs="宋体"/>
                <w:sz w:val="24"/>
              </w:rPr>
              <w:t>蒋丽娜</w:t>
            </w:r>
            <w:bookmarkEnd w:id="21"/>
          </w:p>
        </w:tc>
        <w:tc>
          <w:tcPr>
            <w:tcW w:w="709" w:type="dxa"/>
            <w:gridSpan w:val="2"/>
            <w:vAlign w:val="center"/>
          </w:tcPr>
          <w:p w:rsidR="00941868" w14:paraId="41CC68DF" w14:textId="77777777">
            <w:pPr>
              <w:wordWrap w:val="0"/>
              <w:jc w:val="center"/>
              <w:rPr>
                <w:sz w:val="24"/>
              </w:rPr>
            </w:pPr>
            <w:r>
              <w:rPr>
                <w:rFonts w:hint="eastAsia"/>
                <w:sz w:val="24"/>
              </w:rPr>
              <w:t>性别</w:t>
            </w:r>
          </w:p>
        </w:tc>
        <w:tc>
          <w:tcPr>
            <w:tcW w:w="1537" w:type="dxa"/>
            <w:gridSpan w:val="2"/>
            <w:vAlign w:val="center"/>
          </w:tcPr>
          <w:p w:rsidR="00941868" w14:paraId="59E010D3" w14:textId="77777777">
            <w:pPr>
              <w:wordWrap w:val="0"/>
              <w:jc w:val="center"/>
              <w:rPr>
                <w:rFonts w:ascii="宋体" w:eastAsia="宋体" w:hAnsi="宋体" w:cs="宋体"/>
                <w:sz w:val="24"/>
              </w:rPr>
            </w:pPr>
            <w:bookmarkStart w:id="22" w:name="xb"/>
            <w:r>
              <w:rPr>
                <w:rFonts w:ascii="宋体" w:eastAsia="宋体" w:hAnsi="宋体" w:cs="宋体"/>
                <w:sz w:val="24"/>
              </w:rPr>
              <w:t>女</w:t>
            </w:r>
            <w:bookmarkEnd w:id="22"/>
          </w:p>
        </w:tc>
        <w:tc>
          <w:tcPr>
            <w:tcW w:w="873" w:type="dxa"/>
            <w:gridSpan w:val="2"/>
            <w:vAlign w:val="center"/>
          </w:tcPr>
          <w:p w:rsidR="00941868" w14:paraId="03F24905" w14:textId="77777777">
            <w:pPr>
              <w:wordWrap w:val="0"/>
              <w:jc w:val="center"/>
              <w:rPr>
                <w:sz w:val="24"/>
              </w:rPr>
            </w:pPr>
            <w:r>
              <w:rPr>
                <w:rFonts w:hint="eastAsia"/>
                <w:sz w:val="24"/>
              </w:rPr>
              <w:t>出生年月</w:t>
            </w:r>
          </w:p>
        </w:tc>
        <w:tc>
          <w:tcPr>
            <w:tcW w:w="1395" w:type="dxa"/>
            <w:gridSpan w:val="2"/>
            <w:vAlign w:val="center"/>
          </w:tcPr>
          <w:p w:rsidR="00941868" w14:paraId="00E7FA8B" w14:textId="77777777">
            <w:pPr>
              <w:wordWrap w:val="0"/>
              <w:jc w:val="center"/>
              <w:rPr>
                <w:rFonts w:ascii="宋体" w:eastAsia="宋体" w:hAnsi="宋体" w:cs="宋体"/>
                <w:sz w:val="24"/>
              </w:rPr>
            </w:pPr>
            <w:bookmarkStart w:id="23" w:name="csny"/>
            <w:r>
              <w:rPr>
                <w:rFonts w:ascii="宋体" w:eastAsia="宋体" w:hAnsi="宋体" w:cs="宋体"/>
                <w:sz w:val="24"/>
              </w:rPr>
              <w:t>1979-12</w:t>
            </w:r>
            <w:bookmarkEnd w:id="23"/>
          </w:p>
        </w:tc>
        <w:tc>
          <w:tcPr>
            <w:tcW w:w="993" w:type="dxa"/>
            <w:vAlign w:val="center"/>
          </w:tcPr>
          <w:p w:rsidR="00941868" w14:paraId="193F846F" w14:textId="77777777">
            <w:pPr>
              <w:jc w:val="center"/>
              <w:rPr>
                <w:sz w:val="24"/>
              </w:rPr>
            </w:pPr>
            <w:r>
              <w:rPr>
                <w:rFonts w:hint="eastAsia"/>
                <w:sz w:val="24"/>
              </w:rPr>
              <w:t>固定</w:t>
            </w:r>
          </w:p>
          <w:p w:rsidR="00941868" w14:paraId="5E836309" w14:textId="77777777">
            <w:pPr>
              <w:wordWrap w:val="0"/>
              <w:jc w:val="center"/>
              <w:rPr>
                <w:sz w:val="24"/>
              </w:rPr>
            </w:pPr>
            <w:r>
              <w:rPr>
                <w:rFonts w:hint="eastAsia"/>
                <w:sz w:val="24"/>
              </w:rPr>
              <w:t>电话</w:t>
            </w:r>
          </w:p>
        </w:tc>
        <w:tc>
          <w:tcPr>
            <w:tcW w:w="2124" w:type="dxa"/>
            <w:gridSpan w:val="2"/>
            <w:vAlign w:val="center"/>
          </w:tcPr>
          <w:p w:rsidR="00941868" w14:paraId="717B477B" w14:textId="77777777">
            <w:pPr>
              <w:wordWrap w:val="0"/>
              <w:jc w:val="center"/>
              <w:rPr>
                <w:rFonts w:ascii="宋体" w:eastAsia="宋体" w:hAnsi="宋体" w:cs="宋体"/>
                <w:sz w:val="24"/>
              </w:rPr>
            </w:pPr>
            <w:bookmarkStart w:id="24" w:name="cddwfzrdh"/>
            <w:r>
              <w:rPr>
                <w:rFonts w:ascii="宋体" w:eastAsia="宋体" w:hAnsi="宋体" w:cs="宋体"/>
                <w:sz w:val="24"/>
              </w:rPr>
              <w:t>18932630917</w:t>
            </w:r>
            <w:bookmarkEnd w:id="24"/>
          </w:p>
        </w:tc>
      </w:tr>
      <w:tr w14:paraId="6F3E6B54" w14:textId="77777777">
        <w:tblPrEx>
          <w:tblW w:w="10531" w:type="dxa"/>
          <w:jc w:val="center"/>
          <w:tblLayout w:type="fixed"/>
          <w:tblLook w:val="04A0"/>
        </w:tblPrEx>
        <w:trPr>
          <w:cantSplit/>
          <w:trHeight w:val="419"/>
          <w:jc w:val="center"/>
        </w:trPr>
        <w:tc>
          <w:tcPr>
            <w:tcW w:w="490" w:type="dxa"/>
            <w:vMerge/>
            <w:vAlign w:val="center"/>
          </w:tcPr>
          <w:p w:rsidR="00941868" w14:paraId="320D3A4A" w14:textId="77777777">
            <w:pPr>
              <w:wordWrap w:val="0"/>
              <w:jc w:val="center"/>
              <w:rPr>
                <w:sz w:val="24"/>
              </w:rPr>
            </w:pPr>
          </w:p>
        </w:tc>
        <w:tc>
          <w:tcPr>
            <w:tcW w:w="1276" w:type="dxa"/>
            <w:vAlign w:val="center"/>
          </w:tcPr>
          <w:p w:rsidR="00941868" w14:paraId="4081E6C6" w14:textId="77777777">
            <w:pPr>
              <w:wordWrap w:val="0"/>
              <w:jc w:val="center"/>
              <w:rPr>
                <w:sz w:val="24"/>
              </w:rPr>
            </w:pPr>
            <w:r>
              <w:rPr>
                <w:rFonts w:hint="eastAsia"/>
                <w:sz w:val="24"/>
              </w:rPr>
              <w:t>学位</w:t>
            </w:r>
          </w:p>
        </w:tc>
        <w:tc>
          <w:tcPr>
            <w:tcW w:w="1134" w:type="dxa"/>
            <w:gridSpan w:val="2"/>
            <w:vAlign w:val="center"/>
          </w:tcPr>
          <w:p w:rsidR="00941868" w14:paraId="527F151E" w14:textId="77777777">
            <w:pPr>
              <w:wordWrap w:val="0"/>
              <w:jc w:val="center"/>
              <w:rPr>
                <w:rFonts w:ascii="宋体" w:eastAsia="宋体" w:hAnsi="宋体" w:cs="宋体"/>
                <w:sz w:val="24"/>
              </w:rPr>
            </w:pPr>
            <w:bookmarkStart w:id="25" w:name="xw"/>
            <w:r>
              <w:rPr>
                <w:rFonts w:ascii="宋体" w:eastAsia="宋体" w:hAnsi="宋体" w:cs="宋体"/>
                <w:sz w:val="24"/>
              </w:rPr>
              <w:t>博士</w:t>
            </w:r>
            <w:bookmarkEnd w:id="25"/>
          </w:p>
        </w:tc>
        <w:tc>
          <w:tcPr>
            <w:tcW w:w="709" w:type="dxa"/>
            <w:gridSpan w:val="2"/>
            <w:vAlign w:val="center"/>
          </w:tcPr>
          <w:p w:rsidR="00941868" w14:paraId="7059FBE8" w14:textId="77777777">
            <w:pPr>
              <w:wordWrap w:val="0"/>
              <w:jc w:val="center"/>
              <w:rPr>
                <w:sz w:val="24"/>
              </w:rPr>
            </w:pPr>
            <w:r>
              <w:rPr>
                <w:rFonts w:hint="eastAsia"/>
                <w:sz w:val="24"/>
              </w:rPr>
              <w:t>职称</w:t>
            </w:r>
          </w:p>
        </w:tc>
        <w:tc>
          <w:tcPr>
            <w:tcW w:w="1537" w:type="dxa"/>
            <w:gridSpan w:val="2"/>
            <w:vAlign w:val="center"/>
          </w:tcPr>
          <w:p w:rsidR="00941868" w14:paraId="4721F595" w14:textId="77777777">
            <w:pPr>
              <w:wordWrap w:val="0"/>
              <w:jc w:val="center"/>
              <w:rPr>
                <w:rFonts w:ascii="宋体" w:eastAsia="宋体" w:hAnsi="宋体" w:cs="宋体"/>
                <w:sz w:val="24"/>
              </w:rPr>
            </w:pPr>
            <w:bookmarkStart w:id="26" w:name="zc"/>
            <w:r>
              <w:rPr>
                <w:rFonts w:ascii="宋体" w:eastAsia="宋体" w:hAnsi="宋体" w:cs="宋体"/>
                <w:sz w:val="24"/>
              </w:rPr>
              <w:t>教授</w:t>
            </w:r>
            <w:bookmarkEnd w:id="26"/>
          </w:p>
        </w:tc>
        <w:tc>
          <w:tcPr>
            <w:tcW w:w="873" w:type="dxa"/>
            <w:gridSpan w:val="2"/>
            <w:vAlign w:val="center"/>
          </w:tcPr>
          <w:p w:rsidR="00941868" w14:paraId="7CD72A2B" w14:textId="77777777">
            <w:pPr>
              <w:wordWrap w:val="0"/>
              <w:jc w:val="center"/>
              <w:rPr>
                <w:sz w:val="24"/>
              </w:rPr>
            </w:pPr>
            <w:r>
              <w:rPr>
                <w:rFonts w:hint="eastAsia"/>
                <w:sz w:val="24"/>
              </w:rPr>
              <w:t>民族</w:t>
            </w:r>
          </w:p>
        </w:tc>
        <w:tc>
          <w:tcPr>
            <w:tcW w:w="1395" w:type="dxa"/>
            <w:gridSpan w:val="2"/>
            <w:vAlign w:val="center"/>
          </w:tcPr>
          <w:p w:rsidR="00941868" w14:paraId="6579BA0A" w14:textId="77777777">
            <w:pPr>
              <w:wordWrap w:val="0"/>
              <w:jc w:val="center"/>
              <w:rPr>
                <w:rFonts w:ascii="宋体" w:eastAsia="宋体" w:hAnsi="宋体" w:cs="宋体"/>
                <w:sz w:val="24"/>
              </w:rPr>
            </w:pPr>
            <w:bookmarkStart w:id="27" w:name="mz"/>
            <w:r>
              <w:rPr>
                <w:rFonts w:ascii="宋体" w:eastAsia="宋体" w:hAnsi="宋体" w:cs="宋体"/>
                <w:sz w:val="24"/>
              </w:rPr>
              <w:t>汉族</w:t>
            </w:r>
            <w:bookmarkEnd w:id="27"/>
          </w:p>
        </w:tc>
        <w:tc>
          <w:tcPr>
            <w:tcW w:w="993" w:type="dxa"/>
            <w:vAlign w:val="center"/>
          </w:tcPr>
          <w:p w:rsidR="00941868" w14:paraId="076179FF" w14:textId="77777777">
            <w:pPr>
              <w:wordWrap w:val="0"/>
              <w:jc w:val="center"/>
              <w:rPr>
                <w:sz w:val="24"/>
              </w:rPr>
            </w:pPr>
            <w:r>
              <w:rPr>
                <w:rFonts w:hint="eastAsia"/>
                <w:sz w:val="24"/>
              </w:rPr>
              <w:t>移动</w:t>
            </w:r>
          </w:p>
          <w:p w:rsidR="00941868" w14:paraId="09E30CBE" w14:textId="77777777">
            <w:pPr>
              <w:wordWrap w:val="0"/>
              <w:jc w:val="center"/>
              <w:rPr>
                <w:sz w:val="24"/>
              </w:rPr>
            </w:pPr>
            <w:r>
              <w:rPr>
                <w:rFonts w:hint="eastAsia"/>
                <w:sz w:val="24"/>
              </w:rPr>
              <w:t>电话</w:t>
            </w:r>
          </w:p>
        </w:tc>
        <w:tc>
          <w:tcPr>
            <w:tcW w:w="2124" w:type="dxa"/>
            <w:gridSpan w:val="2"/>
            <w:vAlign w:val="center"/>
          </w:tcPr>
          <w:p w:rsidR="00941868" w14:paraId="666C9935" w14:textId="77777777">
            <w:pPr>
              <w:wordWrap w:val="0"/>
              <w:jc w:val="center"/>
              <w:rPr>
                <w:rFonts w:ascii="宋体" w:eastAsia="宋体" w:hAnsi="宋体" w:cs="宋体"/>
                <w:sz w:val="24"/>
              </w:rPr>
            </w:pPr>
            <w:bookmarkStart w:id="28" w:name="cddwfzrsj"/>
            <w:r>
              <w:rPr>
                <w:rFonts w:ascii="宋体" w:eastAsia="宋体" w:hAnsi="宋体" w:cs="宋体"/>
                <w:sz w:val="24"/>
              </w:rPr>
              <w:t>18932630917</w:t>
            </w:r>
            <w:bookmarkEnd w:id="28"/>
          </w:p>
        </w:tc>
      </w:tr>
      <w:tr w14:paraId="10AA0730" w14:textId="77777777">
        <w:tblPrEx>
          <w:tblW w:w="10531" w:type="dxa"/>
          <w:jc w:val="center"/>
          <w:tblLayout w:type="fixed"/>
          <w:tblLook w:val="04A0"/>
        </w:tblPrEx>
        <w:trPr>
          <w:cantSplit/>
          <w:trHeight w:val="419"/>
          <w:jc w:val="center"/>
        </w:trPr>
        <w:tc>
          <w:tcPr>
            <w:tcW w:w="490" w:type="dxa"/>
            <w:vMerge/>
            <w:vAlign w:val="center"/>
          </w:tcPr>
          <w:p w:rsidR="00941868" w14:paraId="48A876FE" w14:textId="77777777">
            <w:pPr>
              <w:wordWrap w:val="0"/>
              <w:jc w:val="center"/>
              <w:rPr>
                <w:sz w:val="24"/>
              </w:rPr>
            </w:pPr>
          </w:p>
        </w:tc>
        <w:tc>
          <w:tcPr>
            <w:tcW w:w="1276" w:type="dxa"/>
            <w:vAlign w:val="center"/>
          </w:tcPr>
          <w:p w:rsidR="00941868" w14:paraId="01E9C352" w14:textId="77777777">
            <w:pPr>
              <w:wordWrap w:val="0"/>
              <w:jc w:val="center"/>
              <w:rPr>
                <w:sz w:val="24"/>
              </w:rPr>
            </w:pPr>
            <w:r>
              <w:rPr>
                <w:rFonts w:hint="eastAsia"/>
                <w:sz w:val="24"/>
              </w:rPr>
              <w:t>证件名称</w:t>
            </w:r>
          </w:p>
        </w:tc>
        <w:tc>
          <w:tcPr>
            <w:tcW w:w="1134" w:type="dxa"/>
            <w:gridSpan w:val="2"/>
            <w:vAlign w:val="center"/>
          </w:tcPr>
          <w:p w:rsidR="00941868" w14:paraId="7FF6DA7B" w14:textId="77777777">
            <w:pPr>
              <w:wordWrap w:val="0"/>
              <w:jc w:val="center"/>
              <w:rPr>
                <w:rFonts w:ascii="宋体" w:eastAsia="宋体" w:hAnsi="宋体" w:cs="宋体"/>
                <w:sz w:val="24"/>
              </w:rPr>
            </w:pPr>
            <w:bookmarkStart w:id="29" w:name="zjmc"/>
            <w:r>
              <w:rPr>
                <w:rFonts w:ascii="宋体" w:eastAsia="宋体" w:hAnsi="宋体" w:cs="宋体"/>
                <w:sz w:val="24"/>
              </w:rPr>
              <w:t>身份证</w:t>
            </w:r>
            <w:bookmarkEnd w:id="29"/>
          </w:p>
        </w:tc>
        <w:tc>
          <w:tcPr>
            <w:tcW w:w="709" w:type="dxa"/>
            <w:gridSpan w:val="2"/>
            <w:vAlign w:val="center"/>
          </w:tcPr>
          <w:p w:rsidR="00941868" w14:paraId="3C289BA5" w14:textId="77777777">
            <w:pPr>
              <w:wordWrap w:val="0"/>
              <w:jc w:val="center"/>
              <w:rPr>
                <w:sz w:val="24"/>
              </w:rPr>
            </w:pPr>
            <w:r>
              <w:rPr>
                <w:rFonts w:hint="eastAsia"/>
                <w:sz w:val="24"/>
              </w:rPr>
              <w:t>证件号码</w:t>
            </w:r>
          </w:p>
        </w:tc>
        <w:tc>
          <w:tcPr>
            <w:tcW w:w="3805" w:type="dxa"/>
            <w:gridSpan w:val="6"/>
            <w:vAlign w:val="center"/>
          </w:tcPr>
          <w:p w:rsidR="00941868" w14:paraId="7CE7D630" w14:textId="77777777">
            <w:pPr>
              <w:wordWrap w:val="0"/>
              <w:jc w:val="left"/>
              <w:rPr>
                <w:rFonts w:ascii="宋体" w:eastAsia="宋体" w:hAnsi="宋体" w:cs="宋体"/>
                <w:sz w:val="24"/>
              </w:rPr>
            </w:pPr>
            <w:bookmarkStart w:id="30" w:name="zjhm"/>
            <w:r>
              <w:rPr>
                <w:rFonts w:ascii="宋体" w:eastAsia="宋体" w:hAnsi="宋体" w:cs="宋体"/>
                <w:sz w:val="24"/>
              </w:rPr>
              <w:t>13112119791210366x</w:t>
            </w:r>
            <w:bookmarkEnd w:id="30"/>
          </w:p>
        </w:tc>
        <w:tc>
          <w:tcPr>
            <w:tcW w:w="993" w:type="dxa"/>
            <w:vAlign w:val="center"/>
          </w:tcPr>
          <w:p w:rsidR="00941868" w14:paraId="133A97F2" w14:textId="77777777">
            <w:pPr>
              <w:wordWrap w:val="0"/>
              <w:jc w:val="center"/>
              <w:rPr>
                <w:sz w:val="24"/>
              </w:rPr>
            </w:pPr>
            <w:r>
              <w:rPr>
                <w:rFonts w:hint="eastAsia"/>
                <w:sz w:val="24"/>
              </w:rPr>
              <w:t>电子</w:t>
            </w:r>
          </w:p>
          <w:p w:rsidR="00941868" w14:paraId="6510FA0E" w14:textId="77777777">
            <w:pPr>
              <w:wordWrap w:val="0"/>
              <w:jc w:val="center"/>
              <w:rPr>
                <w:sz w:val="24"/>
              </w:rPr>
            </w:pPr>
            <w:r>
              <w:rPr>
                <w:rFonts w:hint="eastAsia"/>
                <w:sz w:val="24"/>
              </w:rPr>
              <w:t>邮箱</w:t>
            </w:r>
          </w:p>
        </w:tc>
        <w:tc>
          <w:tcPr>
            <w:tcW w:w="2124" w:type="dxa"/>
            <w:gridSpan w:val="2"/>
            <w:vAlign w:val="center"/>
          </w:tcPr>
          <w:p w:rsidR="00941868" w14:paraId="5755C66C" w14:textId="77777777">
            <w:pPr>
              <w:wordWrap w:val="0"/>
              <w:jc w:val="center"/>
              <w:rPr>
                <w:rFonts w:ascii="宋体" w:eastAsia="宋体" w:hAnsi="宋体" w:cs="宋体"/>
                <w:sz w:val="24"/>
              </w:rPr>
            </w:pPr>
            <w:bookmarkStart w:id="31" w:name="cddwfzryx"/>
            <w:r>
              <w:rPr>
                <w:rFonts w:ascii="宋体" w:eastAsia="宋体" w:hAnsi="宋体" w:cs="宋体"/>
                <w:sz w:val="24"/>
              </w:rPr>
              <w:t>jln1020@163.com</w:t>
            </w:r>
            <w:bookmarkEnd w:id="31"/>
          </w:p>
        </w:tc>
      </w:tr>
      <w:tr w14:paraId="62748A8B" w14:textId="77777777">
        <w:tblPrEx>
          <w:tblW w:w="10531" w:type="dxa"/>
          <w:jc w:val="center"/>
          <w:tblLayout w:type="fixed"/>
          <w:tblLook w:val="04A0"/>
        </w:tblPrEx>
        <w:trPr>
          <w:cantSplit/>
          <w:trHeight w:val="419"/>
          <w:jc w:val="center"/>
        </w:trPr>
        <w:tc>
          <w:tcPr>
            <w:tcW w:w="490" w:type="dxa"/>
            <w:vMerge/>
            <w:vAlign w:val="center"/>
          </w:tcPr>
          <w:p w:rsidR="00941868" w14:paraId="65E269C4" w14:textId="77777777">
            <w:pPr>
              <w:wordWrap w:val="0"/>
              <w:jc w:val="center"/>
              <w:rPr>
                <w:sz w:val="24"/>
              </w:rPr>
            </w:pPr>
          </w:p>
        </w:tc>
        <w:tc>
          <w:tcPr>
            <w:tcW w:w="1276" w:type="dxa"/>
            <w:vAlign w:val="center"/>
          </w:tcPr>
          <w:p w:rsidR="00941868" w14:paraId="3A008049" w14:textId="77777777">
            <w:pPr>
              <w:wordWrap w:val="0"/>
              <w:jc w:val="center"/>
              <w:rPr>
                <w:sz w:val="24"/>
              </w:rPr>
            </w:pPr>
            <w:r>
              <w:rPr>
                <w:rFonts w:hint="eastAsia"/>
                <w:sz w:val="24"/>
              </w:rPr>
              <w:t>工作单位</w:t>
            </w:r>
          </w:p>
        </w:tc>
        <w:tc>
          <w:tcPr>
            <w:tcW w:w="5648" w:type="dxa"/>
            <w:gridSpan w:val="10"/>
            <w:vAlign w:val="center"/>
          </w:tcPr>
          <w:p w:rsidR="00941868" w14:paraId="56B3D382" w14:textId="77777777">
            <w:pPr>
              <w:wordWrap w:val="0"/>
              <w:jc w:val="left"/>
              <w:rPr>
                <w:rFonts w:ascii="宋体" w:eastAsia="宋体" w:hAnsi="宋体" w:cs="宋体"/>
                <w:sz w:val="24"/>
              </w:rPr>
            </w:pPr>
            <w:bookmarkStart w:id="32" w:name="sbrdwmc"/>
            <w:r>
              <w:rPr>
                <w:rFonts w:ascii="宋体" w:eastAsia="宋体" w:hAnsi="宋体" w:cs="宋体"/>
                <w:sz w:val="24"/>
              </w:rPr>
              <w:t>河北北方学院</w:t>
            </w:r>
            <w:bookmarkEnd w:id="32"/>
          </w:p>
        </w:tc>
        <w:tc>
          <w:tcPr>
            <w:tcW w:w="993" w:type="dxa"/>
            <w:vAlign w:val="center"/>
          </w:tcPr>
          <w:p w:rsidR="00941868" w14:paraId="6E8E03EE" w14:textId="77777777">
            <w:pPr>
              <w:wordWrap w:val="0"/>
              <w:jc w:val="center"/>
              <w:rPr>
                <w:sz w:val="24"/>
              </w:rPr>
            </w:pPr>
            <w:r>
              <w:rPr>
                <w:rFonts w:hint="eastAsia"/>
                <w:sz w:val="24"/>
              </w:rPr>
              <w:t>申报人</w:t>
            </w:r>
          </w:p>
          <w:p w:rsidR="00941868" w14:paraId="4BC60D13" w14:textId="77777777">
            <w:pPr>
              <w:wordWrap w:val="0"/>
              <w:jc w:val="center"/>
              <w:rPr>
                <w:sz w:val="24"/>
              </w:rPr>
            </w:pPr>
            <w:r>
              <w:rPr>
                <w:rFonts w:hint="eastAsia"/>
                <w:sz w:val="24"/>
              </w:rPr>
              <w:t>类型</w:t>
            </w:r>
          </w:p>
        </w:tc>
        <w:tc>
          <w:tcPr>
            <w:tcW w:w="2124" w:type="dxa"/>
            <w:gridSpan w:val="2"/>
            <w:vAlign w:val="center"/>
          </w:tcPr>
          <w:p w:rsidR="00941868" w14:paraId="40464291" w14:textId="77777777">
            <w:pPr>
              <w:jc w:val="center"/>
              <w:rPr>
                <w:rFonts w:ascii="宋体" w:eastAsia="宋体" w:hAnsi="宋体" w:cs="宋体"/>
                <w:sz w:val="24"/>
              </w:rPr>
            </w:pPr>
            <w:bookmarkStart w:id="33" w:name="sbrlb"/>
            <w:r>
              <w:rPr>
                <w:rFonts w:ascii="宋体" w:eastAsia="宋体" w:hAnsi="宋体" w:cs="宋体"/>
                <w:sz w:val="24"/>
              </w:rPr>
              <w:t>在冀全职人员</w:t>
            </w:r>
            <w:bookmarkEnd w:id="33"/>
          </w:p>
        </w:tc>
      </w:tr>
      <w:tr w14:paraId="3C486B07" w14:textId="77777777">
        <w:tblPrEx>
          <w:tblW w:w="10531" w:type="dxa"/>
          <w:jc w:val="center"/>
          <w:tblLayout w:type="fixed"/>
          <w:tblLook w:val="04A0"/>
        </w:tblPrEx>
        <w:trPr>
          <w:cantSplit/>
          <w:trHeight w:val="419"/>
          <w:jc w:val="center"/>
        </w:trPr>
        <w:tc>
          <w:tcPr>
            <w:tcW w:w="490" w:type="dxa"/>
            <w:vMerge/>
            <w:vAlign w:val="center"/>
          </w:tcPr>
          <w:p w:rsidR="00941868" w14:paraId="2BF3D67B" w14:textId="77777777">
            <w:pPr>
              <w:wordWrap w:val="0"/>
              <w:jc w:val="center"/>
              <w:rPr>
                <w:sz w:val="24"/>
              </w:rPr>
            </w:pPr>
          </w:p>
        </w:tc>
        <w:tc>
          <w:tcPr>
            <w:tcW w:w="1276" w:type="dxa"/>
            <w:vAlign w:val="center"/>
          </w:tcPr>
          <w:p w:rsidR="00941868" w14:paraId="4477FA4F" w14:textId="77777777">
            <w:pPr>
              <w:wordWrap w:val="0"/>
              <w:jc w:val="center"/>
              <w:rPr>
                <w:sz w:val="24"/>
              </w:rPr>
            </w:pPr>
            <w:r>
              <w:rPr>
                <w:rFonts w:hint="eastAsia"/>
                <w:sz w:val="24"/>
              </w:rPr>
              <w:t>个人通讯地址</w:t>
            </w:r>
          </w:p>
        </w:tc>
        <w:tc>
          <w:tcPr>
            <w:tcW w:w="5648" w:type="dxa"/>
            <w:gridSpan w:val="10"/>
            <w:vAlign w:val="center"/>
          </w:tcPr>
          <w:p w:rsidR="00941868" w14:paraId="49CA896E" w14:textId="77777777">
            <w:pPr>
              <w:wordWrap w:val="0"/>
              <w:jc w:val="left"/>
              <w:rPr>
                <w:rFonts w:ascii="宋体" w:eastAsia="宋体" w:hAnsi="宋体" w:cs="宋体"/>
                <w:sz w:val="24"/>
              </w:rPr>
            </w:pPr>
            <w:bookmarkStart w:id="34" w:name="txdz"/>
            <w:bookmarkEnd w:id="34"/>
          </w:p>
        </w:tc>
        <w:tc>
          <w:tcPr>
            <w:tcW w:w="993" w:type="dxa"/>
            <w:vAlign w:val="center"/>
          </w:tcPr>
          <w:p w:rsidR="00941868" w14:paraId="437E3E56" w14:textId="77777777">
            <w:pPr>
              <w:wordWrap w:val="0"/>
              <w:jc w:val="center"/>
              <w:rPr>
                <w:sz w:val="24"/>
              </w:rPr>
            </w:pPr>
            <w:r>
              <w:rPr>
                <w:rFonts w:hint="eastAsia"/>
                <w:sz w:val="24"/>
              </w:rPr>
              <w:t>邮政</w:t>
            </w:r>
          </w:p>
          <w:p w:rsidR="00941868" w14:paraId="7A072DE7" w14:textId="77777777">
            <w:pPr>
              <w:wordWrap w:val="0"/>
              <w:jc w:val="center"/>
              <w:rPr>
                <w:sz w:val="24"/>
              </w:rPr>
            </w:pPr>
            <w:r>
              <w:rPr>
                <w:rFonts w:hint="eastAsia"/>
                <w:sz w:val="24"/>
              </w:rPr>
              <w:t>编码</w:t>
            </w:r>
          </w:p>
        </w:tc>
        <w:tc>
          <w:tcPr>
            <w:tcW w:w="2124" w:type="dxa"/>
            <w:gridSpan w:val="2"/>
            <w:vAlign w:val="center"/>
          </w:tcPr>
          <w:p w:rsidR="00941868" w14:paraId="0078FB2C" w14:textId="77777777">
            <w:pPr>
              <w:wordWrap w:val="0"/>
              <w:jc w:val="center"/>
              <w:rPr>
                <w:rFonts w:ascii="宋体" w:eastAsia="宋体" w:hAnsi="宋体" w:cs="宋体"/>
                <w:sz w:val="24"/>
              </w:rPr>
            </w:pPr>
            <w:bookmarkStart w:id="35" w:name="yzbm"/>
            <w:r>
              <w:rPr>
                <w:rFonts w:ascii="宋体" w:eastAsia="宋体" w:hAnsi="宋体" w:cs="宋体"/>
                <w:sz w:val="24"/>
              </w:rPr>
              <w:t>075000</w:t>
            </w:r>
            <w:bookmarkEnd w:id="35"/>
          </w:p>
        </w:tc>
      </w:tr>
      <w:tr w14:paraId="2D2DBE4B" w14:textId="77777777">
        <w:tblPrEx>
          <w:tblW w:w="10531" w:type="dxa"/>
          <w:jc w:val="center"/>
          <w:tblLayout w:type="fixed"/>
          <w:tblLook w:val="04A0"/>
        </w:tblPrEx>
        <w:trPr>
          <w:cantSplit/>
          <w:trHeight w:val="419"/>
          <w:jc w:val="center"/>
        </w:trPr>
        <w:tc>
          <w:tcPr>
            <w:tcW w:w="490" w:type="dxa"/>
            <w:vMerge/>
            <w:vAlign w:val="center"/>
          </w:tcPr>
          <w:p w:rsidR="00941868" w14:paraId="413EAD2E" w14:textId="77777777">
            <w:pPr>
              <w:wordWrap w:val="0"/>
              <w:jc w:val="center"/>
              <w:rPr>
                <w:sz w:val="24"/>
              </w:rPr>
            </w:pPr>
          </w:p>
        </w:tc>
        <w:tc>
          <w:tcPr>
            <w:tcW w:w="1276" w:type="dxa"/>
            <w:vAlign w:val="center"/>
          </w:tcPr>
          <w:p w:rsidR="00941868" w14:paraId="1C86A783" w14:textId="77777777">
            <w:pPr>
              <w:wordWrap w:val="0"/>
              <w:jc w:val="center"/>
              <w:rPr>
                <w:sz w:val="24"/>
              </w:rPr>
            </w:pPr>
            <w:r>
              <w:rPr>
                <w:rFonts w:hint="eastAsia"/>
                <w:sz w:val="24"/>
              </w:rPr>
              <w:t>主要研究领域</w:t>
            </w:r>
          </w:p>
        </w:tc>
        <w:tc>
          <w:tcPr>
            <w:tcW w:w="8765" w:type="dxa"/>
            <w:gridSpan w:val="13"/>
            <w:vAlign w:val="center"/>
          </w:tcPr>
          <w:p w:rsidR="00941868" w14:paraId="74D51258" w14:textId="77777777">
            <w:pPr>
              <w:wordWrap w:val="0"/>
              <w:jc w:val="left"/>
              <w:rPr>
                <w:rFonts w:ascii="宋体" w:eastAsia="宋体" w:hAnsi="宋体" w:cs="宋体"/>
                <w:sz w:val="24"/>
              </w:rPr>
            </w:pPr>
            <w:bookmarkStart w:id="36" w:name="zyyjly"/>
            <w:r>
              <w:rPr>
                <w:rFonts w:ascii="宋体" w:eastAsia="宋体" w:hAnsi="宋体" w:cs="宋体"/>
                <w:sz w:val="24"/>
              </w:rPr>
              <w:t>重症休克、脓毒症等急危重症的免疫功能研究</w:t>
            </w:r>
            <w:bookmarkEnd w:id="36"/>
          </w:p>
        </w:tc>
      </w:tr>
      <w:tr w14:paraId="5A9F03CB" w14:textId="77777777">
        <w:tblPrEx>
          <w:tblW w:w="10531" w:type="dxa"/>
          <w:jc w:val="center"/>
          <w:tblLayout w:type="fixed"/>
          <w:tblLook w:val="04A0"/>
        </w:tblPrEx>
        <w:trPr>
          <w:cantSplit/>
          <w:trHeight w:val="539"/>
          <w:jc w:val="center"/>
        </w:trPr>
        <w:tc>
          <w:tcPr>
            <w:tcW w:w="490" w:type="dxa"/>
            <w:vMerge w:val="restart"/>
          </w:tcPr>
          <w:p w:rsidR="00941868" w14:paraId="4EEA14B1" w14:textId="77777777">
            <w:pPr>
              <w:wordWrap w:val="0"/>
              <w:rPr>
                <w:sz w:val="24"/>
              </w:rPr>
            </w:pPr>
          </w:p>
          <w:p w:rsidR="00941868" w14:paraId="0528B527" w14:textId="77777777">
            <w:pPr>
              <w:wordWrap w:val="0"/>
              <w:rPr>
                <w:sz w:val="24"/>
              </w:rPr>
            </w:pPr>
          </w:p>
          <w:p w:rsidR="00941868" w14:paraId="05BA4D66" w14:textId="77777777">
            <w:pPr>
              <w:wordWrap w:val="0"/>
              <w:rPr>
                <w:sz w:val="24"/>
              </w:rPr>
            </w:pPr>
          </w:p>
          <w:p w:rsidR="00941868" w14:paraId="5737E652" w14:textId="77777777">
            <w:pPr>
              <w:wordWrap w:val="0"/>
              <w:rPr>
                <w:sz w:val="24"/>
              </w:rPr>
            </w:pPr>
          </w:p>
          <w:p w:rsidR="00941868" w14:paraId="168BAE56" w14:textId="77777777">
            <w:pPr>
              <w:wordWrap w:val="0"/>
              <w:rPr>
                <w:sz w:val="24"/>
              </w:rPr>
            </w:pPr>
          </w:p>
          <w:p w:rsidR="00941868" w14:paraId="07ABC4DB" w14:textId="77777777">
            <w:pPr>
              <w:wordWrap w:val="0"/>
              <w:rPr>
                <w:sz w:val="24"/>
              </w:rPr>
            </w:pPr>
          </w:p>
          <w:p w:rsidR="00941868" w14:paraId="63ABAE18" w14:textId="77777777">
            <w:pPr>
              <w:wordWrap w:val="0"/>
              <w:rPr>
                <w:sz w:val="24"/>
              </w:rPr>
            </w:pPr>
            <w:r>
              <w:rPr>
                <w:rFonts w:hint="eastAsia"/>
                <w:sz w:val="24"/>
              </w:rPr>
              <w:t>申报</w:t>
            </w:r>
          </w:p>
          <w:p w:rsidR="00941868" w14:paraId="4C42B2D3" w14:textId="77777777">
            <w:pPr>
              <w:wordWrap w:val="0"/>
              <w:rPr>
                <w:sz w:val="24"/>
              </w:rPr>
            </w:pPr>
            <w:r>
              <w:rPr>
                <w:rFonts w:hint="eastAsia"/>
                <w:sz w:val="24"/>
              </w:rPr>
              <w:t>单</w:t>
            </w:r>
          </w:p>
          <w:p w:rsidR="00941868" w14:paraId="35D315E8" w14:textId="77777777">
            <w:pPr>
              <w:wordWrap w:val="0"/>
              <w:rPr>
                <w:sz w:val="24"/>
              </w:rPr>
            </w:pPr>
            <w:r>
              <w:rPr>
                <w:rFonts w:hint="eastAsia"/>
                <w:sz w:val="24"/>
              </w:rPr>
              <w:t>位</w:t>
            </w:r>
          </w:p>
          <w:p w:rsidR="00941868" w14:paraId="7DFC232B" w14:textId="77777777">
            <w:pPr>
              <w:wordWrap w:val="0"/>
              <w:rPr>
                <w:sz w:val="24"/>
              </w:rPr>
            </w:pPr>
            <w:r>
              <w:rPr>
                <w:rFonts w:hint="eastAsia"/>
                <w:sz w:val="24"/>
              </w:rPr>
              <w:t>概</w:t>
            </w:r>
          </w:p>
          <w:p w:rsidR="00941868" w14:paraId="4CDE2A2C" w14:textId="77777777">
            <w:pPr>
              <w:wordWrap w:val="0"/>
              <w:rPr>
                <w:sz w:val="24"/>
              </w:rPr>
            </w:pPr>
            <w:r>
              <w:rPr>
                <w:rFonts w:hint="eastAsia"/>
                <w:sz w:val="24"/>
              </w:rPr>
              <w:t>况</w:t>
            </w:r>
          </w:p>
          <w:p w:rsidR="00941868" w14:paraId="0204B613" w14:textId="77777777">
            <w:pPr>
              <w:wordWrap w:val="0"/>
              <w:rPr>
                <w:sz w:val="24"/>
              </w:rPr>
            </w:pPr>
          </w:p>
          <w:p w:rsidR="00941868" w14:paraId="09C9B373" w14:textId="77777777">
            <w:pPr>
              <w:wordWrap w:val="0"/>
              <w:rPr>
                <w:sz w:val="24"/>
              </w:rPr>
            </w:pPr>
          </w:p>
          <w:p w:rsidR="00941868" w14:paraId="19F5ED44" w14:textId="77777777">
            <w:pPr>
              <w:wordWrap w:val="0"/>
              <w:rPr>
                <w:sz w:val="24"/>
              </w:rPr>
            </w:pPr>
          </w:p>
        </w:tc>
        <w:tc>
          <w:tcPr>
            <w:tcW w:w="1276" w:type="dxa"/>
            <w:vAlign w:val="center"/>
          </w:tcPr>
          <w:p w:rsidR="00941868" w14:paraId="0A9C13CD" w14:textId="77777777">
            <w:pPr>
              <w:wordWrap w:val="0"/>
              <w:jc w:val="center"/>
              <w:rPr>
                <w:sz w:val="24"/>
              </w:rPr>
            </w:pPr>
            <w:r>
              <w:rPr>
                <w:rFonts w:hint="eastAsia"/>
                <w:sz w:val="24"/>
              </w:rPr>
              <w:t>单位名称</w:t>
            </w:r>
          </w:p>
        </w:tc>
        <w:tc>
          <w:tcPr>
            <w:tcW w:w="4253" w:type="dxa"/>
            <w:gridSpan w:val="8"/>
            <w:vAlign w:val="center"/>
          </w:tcPr>
          <w:p w:rsidR="00941868" w14:paraId="20B05C5B" w14:textId="77777777">
            <w:pPr>
              <w:wordWrap w:val="0"/>
              <w:jc w:val="left"/>
              <w:rPr>
                <w:rFonts w:ascii="宋体" w:eastAsia="宋体" w:hAnsi="宋体" w:cs="宋体"/>
                <w:sz w:val="24"/>
              </w:rPr>
            </w:pPr>
            <w:bookmarkStart w:id="37" w:name="cddwmc"/>
            <w:r>
              <w:rPr>
                <w:rFonts w:ascii="宋体" w:eastAsia="宋体" w:hAnsi="宋体" w:cs="宋体"/>
                <w:sz w:val="24"/>
              </w:rPr>
              <w:t>河北北方学院</w:t>
            </w:r>
            <w:bookmarkEnd w:id="37"/>
          </w:p>
        </w:tc>
        <w:tc>
          <w:tcPr>
            <w:tcW w:w="1395" w:type="dxa"/>
            <w:gridSpan w:val="2"/>
            <w:vAlign w:val="center"/>
          </w:tcPr>
          <w:p w:rsidR="00941868" w14:paraId="28D3C5B8" w14:textId="77777777">
            <w:pPr>
              <w:wordWrap w:val="0"/>
              <w:jc w:val="center"/>
              <w:rPr>
                <w:sz w:val="24"/>
              </w:rPr>
            </w:pPr>
            <w:r>
              <w:rPr>
                <w:rFonts w:hint="eastAsia"/>
                <w:sz w:val="24"/>
              </w:rPr>
              <w:t>法定代表人</w:t>
            </w:r>
          </w:p>
        </w:tc>
        <w:tc>
          <w:tcPr>
            <w:tcW w:w="3117" w:type="dxa"/>
            <w:gridSpan w:val="3"/>
            <w:vAlign w:val="center"/>
          </w:tcPr>
          <w:p w:rsidR="00941868" w14:paraId="5F54FDF2" w14:textId="77777777">
            <w:pPr>
              <w:wordWrap w:val="0"/>
              <w:jc w:val="center"/>
              <w:rPr>
                <w:rFonts w:ascii="宋体" w:eastAsia="宋体" w:hAnsi="宋体" w:cs="宋体"/>
                <w:sz w:val="24"/>
              </w:rPr>
            </w:pPr>
            <w:bookmarkStart w:id="38" w:name="cddwfr1"/>
            <w:r>
              <w:rPr>
                <w:rFonts w:ascii="宋体" w:eastAsia="宋体" w:hAnsi="宋体" w:cs="宋体"/>
                <w:sz w:val="24"/>
              </w:rPr>
              <w:t>彭学君</w:t>
            </w:r>
            <w:bookmarkEnd w:id="38"/>
          </w:p>
        </w:tc>
      </w:tr>
      <w:tr w14:paraId="67389968" w14:textId="77777777">
        <w:tblPrEx>
          <w:tblW w:w="10531" w:type="dxa"/>
          <w:jc w:val="center"/>
          <w:tblLayout w:type="fixed"/>
          <w:tblLook w:val="04A0"/>
        </w:tblPrEx>
        <w:trPr>
          <w:cantSplit/>
          <w:trHeight w:val="561"/>
          <w:jc w:val="center"/>
        </w:trPr>
        <w:tc>
          <w:tcPr>
            <w:tcW w:w="490" w:type="dxa"/>
            <w:vMerge/>
          </w:tcPr>
          <w:p w:rsidR="00941868" w14:paraId="216160DC" w14:textId="77777777">
            <w:pPr>
              <w:wordWrap w:val="0"/>
              <w:rPr>
                <w:sz w:val="24"/>
              </w:rPr>
            </w:pPr>
          </w:p>
        </w:tc>
        <w:tc>
          <w:tcPr>
            <w:tcW w:w="1276" w:type="dxa"/>
            <w:vAlign w:val="center"/>
          </w:tcPr>
          <w:p w:rsidR="00941868" w14:paraId="2FCD90CB" w14:textId="77777777">
            <w:pPr>
              <w:wordWrap w:val="0"/>
              <w:jc w:val="center"/>
              <w:rPr>
                <w:sz w:val="24"/>
              </w:rPr>
            </w:pPr>
            <w:r>
              <w:rPr>
                <w:rFonts w:hint="eastAsia"/>
                <w:sz w:val="24"/>
              </w:rPr>
              <w:t>单位地址</w:t>
            </w:r>
          </w:p>
        </w:tc>
        <w:tc>
          <w:tcPr>
            <w:tcW w:w="4253" w:type="dxa"/>
            <w:gridSpan w:val="8"/>
            <w:vAlign w:val="center"/>
          </w:tcPr>
          <w:p w:rsidR="00941868" w14:paraId="7C389069" w14:textId="77777777">
            <w:pPr>
              <w:wordWrap w:val="0"/>
              <w:jc w:val="left"/>
              <w:rPr>
                <w:rFonts w:ascii="宋体" w:eastAsia="宋体" w:hAnsi="宋体" w:cs="宋体"/>
                <w:sz w:val="24"/>
              </w:rPr>
            </w:pPr>
            <w:bookmarkStart w:id="39" w:name="cddwdz1"/>
            <w:r>
              <w:rPr>
                <w:rFonts w:ascii="宋体" w:eastAsia="宋体" w:hAnsi="宋体" w:cs="宋体"/>
                <w:sz w:val="24"/>
              </w:rPr>
              <w:t>张家口市高新区钻石南路11号</w:t>
            </w:r>
            <w:bookmarkEnd w:id="39"/>
          </w:p>
        </w:tc>
        <w:tc>
          <w:tcPr>
            <w:tcW w:w="1395" w:type="dxa"/>
            <w:gridSpan w:val="2"/>
            <w:vAlign w:val="center"/>
          </w:tcPr>
          <w:p w:rsidR="00941868" w14:paraId="21091617" w14:textId="77777777">
            <w:pPr>
              <w:wordWrap w:val="0"/>
              <w:jc w:val="center"/>
              <w:rPr>
                <w:sz w:val="24"/>
              </w:rPr>
            </w:pPr>
            <w:r>
              <w:rPr>
                <w:rFonts w:hint="eastAsia"/>
                <w:sz w:val="24"/>
              </w:rPr>
              <w:t>注册（纳税）地区</w:t>
            </w:r>
          </w:p>
        </w:tc>
        <w:tc>
          <w:tcPr>
            <w:tcW w:w="3117" w:type="dxa"/>
            <w:gridSpan w:val="3"/>
            <w:vAlign w:val="center"/>
          </w:tcPr>
          <w:p w:rsidR="00941868" w14:paraId="74A13343" w14:textId="77777777">
            <w:pPr>
              <w:wordWrap w:val="0"/>
              <w:jc w:val="center"/>
              <w:rPr>
                <w:rFonts w:ascii="宋体" w:eastAsia="宋体" w:hAnsi="宋体" w:cs="宋体"/>
                <w:sz w:val="24"/>
              </w:rPr>
            </w:pPr>
            <w:bookmarkStart w:id="40" w:name="cddwssdq"/>
            <w:r>
              <w:rPr>
                <w:rFonts w:ascii="宋体" w:eastAsia="宋体" w:hAnsi="宋体" w:cs="宋体"/>
                <w:sz w:val="24"/>
              </w:rPr>
              <w:t>河北省-张家口市-桥东区</w:t>
            </w:r>
            <w:bookmarkEnd w:id="40"/>
          </w:p>
        </w:tc>
      </w:tr>
      <w:tr w14:paraId="5EEA6F6C" w14:textId="77777777">
        <w:tblPrEx>
          <w:tblW w:w="10531" w:type="dxa"/>
          <w:jc w:val="center"/>
          <w:tblLayout w:type="fixed"/>
          <w:tblLook w:val="04A0"/>
        </w:tblPrEx>
        <w:trPr>
          <w:cantSplit/>
          <w:trHeight w:val="492"/>
          <w:jc w:val="center"/>
        </w:trPr>
        <w:tc>
          <w:tcPr>
            <w:tcW w:w="490" w:type="dxa"/>
            <w:vMerge/>
          </w:tcPr>
          <w:p w:rsidR="00941868" w14:paraId="01622598" w14:textId="77777777">
            <w:pPr>
              <w:wordWrap w:val="0"/>
              <w:rPr>
                <w:sz w:val="24"/>
              </w:rPr>
            </w:pPr>
          </w:p>
        </w:tc>
        <w:tc>
          <w:tcPr>
            <w:tcW w:w="1276" w:type="dxa"/>
            <w:vAlign w:val="center"/>
          </w:tcPr>
          <w:p w:rsidR="00941868" w14:paraId="2D48E088" w14:textId="77777777">
            <w:pPr>
              <w:wordWrap w:val="0"/>
              <w:rPr>
                <w:sz w:val="24"/>
              </w:rPr>
            </w:pPr>
            <w:r>
              <w:rPr>
                <w:sz w:val="24"/>
              </w:rPr>
              <w:t>统一社会信用代码</w:t>
            </w:r>
          </w:p>
        </w:tc>
        <w:tc>
          <w:tcPr>
            <w:tcW w:w="8765" w:type="dxa"/>
            <w:gridSpan w:val="13"/>
            <w:vAlign w:val="center"/>
          </w:tcPr>
          <w:p w:rsidR="00941868" w14:paraId="5FDA909B" w14:textId="77777777">
            <w:pPr>
              <w:wordWrap w:val="0"/>
              <w:rPr>
                <w:rFonts w:ascii="宋体" w:eastAsia="宋体" w:hAnsi="宋体" w:cs="宋体"/>
                <w:sz w:val="24"/>
              </w:rPr>
            </w:pPr>
            <w:bookmarkStart w:id="41" w:name="cddwxydm"/>
            <w:r>
              <w:rPr>
                <w:rFonts w:ascii="宋体" w:eastAsia="宋体" w:hAnsi="宋体" w:cs="宋体"/>
                <w:sz w:val="24"/>
              </w:rPr>
              <w:t>121300007575304338</w:t>
            </w:r>
            <w:bookmarkEnd w:id="41"/>
          </w:p>
        </w:tc>
      </w:tr>
      <w:tr w14:paraId="443EE75F" w14:textId="77777777">
        <w:tblPrEx>
          <w:tblW w:w="10531" w:type="dxa"/>
          <w:jc w:val="center"/>
          <w:tblLayout w:type="fixed"/>
          <w:tblLook w:val="04A0"/>
        </w:tblPrEx>
        <w:trPr>
          <w:cantSplit/>
          <w:trHeight w:val="402"/>
          <w:jc w:val="center"/>
        </w:trPr>
        <w:tc>
          <w:tcPr>
            <w:tcW w:w="490" w:type="dxa"/>
            <w:vMerge/>
          </w:tcPr>
          <w:p w:rsidR="00941868" w14:paraId="62C173F9" w14:textId="77777777">
            <w:pPr>
              <w:wordWrap w:val="0"/>
              <w:rPr>
                <w:sz w:val="24"/>
              </w:rPr>
            </w:pPr>
          </w:p>
        </w:tc>
        <w:tc>
          <w:tcPr>
            <w:tcW w:w="1276" w:type="dxa"/>
            <w:vAlign w:val="center"/>
          </w:tcPr>
          <w:p w:rsidR="00941868" w14:paraId="328B0D52" w14:textId="77777777">
            <w:pPr>
              <w:wordWrap w:val="0"/>
              <w:jc w:val="center"/>
              <w:rPr>
                <w:sz w:val="24"/>
              </w:rPr>
            </w:pPr>
            <w:r>
              <w:rPr>
                <w:rFonts w:hint="eastAsia"/>
                <w:sz w:val="24"/>
              </w:rPr>
              <w:t>开户名称</w:t>
            </w:r>
          </w:p>
        </w:tc>
        <w:tc>
          <w:tcPr>
            <w:tcW w:w="4165" w:type="dxa"/>
            <w:gridSpan w:val="7"/>
            <w:vAlign w:val="center"/>
          </w:tcPr>
          <w:p w:rsidR="00941868" w14:paraId="1B8AD1EA" w14:textId="77777777">
            <w:pPr>
              <w:wordWrap w:val="0"/>
              <w:rPr>
                <w:rFonts w:ascii="宋体" w:eastAsia="宋体" w:hAnsi="宋体" w:cs="宋体"/>
                <w:sz w:val="24"/>
              </w:rPr>
            </w:pPr>
            <w:bookmarkStart w:id="42" w:name="cddwkhmc"/>
            <w:r>
              <w:rPr>
                <w:rFonts w:ascii="宋体" w:eastAsia="宋体" w:hAnsi="宋体" w:cs="宋体"/>
                <w:sz w:val="24"/>
              </w:rPr>
              <w:t>河北北方学院</w:t>
            </w:r>
            <w:bookmarkEnd w:id="42"/>
          </w:p>
        </w:tc>
        <w:tc>
          <w:tcPr>
            <w:tcW w:w="1483" w:type="dxa"/>
            <w:gridSpan w:val="3"/>
            <w:vAlign w:val="center"/>
          </w:tcPr>
          <w:p w:rsidR="00941868" w14:paraId="37A3D0A8" w14:textId="77777777">
            <w:pPr>
              <w:wordWrap w:val="0"/>
              <w:jc w:val="center"/>
              <w:rPr>
                <w:sz w:val="24"/>
              </w:rPr>
            </w:pPr>
            <w:r>
              <w:rPr>
                <w:sz w:val="24"/>
              </w:rPr>
              <w:t>开户银行</w:t>
            </w:r>
          </w:p>
          <w:p w:rsidR="00941868" w14:paraId="22887DEC" w14:textId="77777777">
            <w:pPr>
              <w:wordWrap w:val="0"/>
              <w:jc w:val="center"/>
              <w:rPr>
                <w:sz w:val="24"/>
              </w:rPr>
            </w:pPr>
            <w:r>
              <w:rPr>
                <w:sz w:val="24"/>
              </w:rPr>
              <w:t>行号</w:t>
            </w:r>
          </w:p>
        </w:tc>
        <w:tc>
          <w:tcPr>
            <w:tcW w:w="3117" w:type="dxa"/>
            <w:gridSpan w:val="3"/>
            <w:vAlign w:val="center"/>
          </w:tcPr>
          <w:p w:rsidR="00941868" w14:paraId="695385BF" w14:textId="77777777">
            <w:pPr>
              <w:wordWrap w:val="0"/>
              <w:rPr>
                <w:rFonts w:ascii="宋体" w:eastAsia="宋体" w:hAnsi="宋体" w:cs="宋体"/>
                <w:sz w:val="24"/>
              </w:rPr>
            </w:pPr>
            <w:bookmarkStart w:id="43" w:name="cddwhh"/>
            <w:r>
              <w:rPr>
                <w:rFonts w:ascii="宋体" w:eastAsia="宋体" w:hAnsi="宋体" w:cs="宋体"/>
                <w:sz w:val="24"/>
              </w:rPr>
              <w:t>105138000098</w:t>
            </w:r>
            <w:bookmarkEnd w:id="43"/>
          </w:p>
        </w:tc>
      </w:tr>
      <w:tr w14:paraId="28EDE3FF" w14:textId="77777777">
        <w:tblPrEx>
          <w:tblW w:w="10531" w:type="dxa"/>
          <w:jc w:val="center"/>
          <w:tblLayout w:type="fixed"/>
          <w:tblLook w:val="04A0"/>
        </w:tblPrEx>
        <w:trPr>
          <w:cantSplit/>
          <w:trHeight w:val="543"/>
          <w:jc w:val="center"/>
        </w:trPr>
        <w:tc>
          <w:tcPr>
            <w:tcW w:w="490" w:type="dxa"/>
            <w:vMerge/>
          </w:tcPr>
          <w:p w:rsidR="00941868" w14:paraId="3C3F126F" w14:textId="77777777">
            <w:pPr>
              <w:wordWrap w:val="0"/>
              <w:rPr>
                <w:sz w:val="24"/>
              </w:rPr>
            </w:pPr>
          </w:p>
        </w:tc>
        <w:tc>
          <w:tcPr>
            <w:tcW w:w="1276" w:type="dxa"/>
            <w:vAlign w:val="center"/>
          </w:tcPr>
          <w:p w:rsidR="00941868" w14:paraId="5AB30DE1" w14:textId="77777777">
            <w:pPr>
              <w:wordWrap w:val="0"/>
              <w:jc w:val="center"/>
              <w:rPr>
                <w:sz w:val="24"/>
              </w:rPr>
            </w:pPr>
            <w:r>
              <w:rPr>
                <w:rFonts w:hint="eastAsia"/>
                <w:sz w:val="24"/>
              </w:rPr>
              <w:t>开户银行</w:t>
            </w:r>
          </w:p>
        </w:tc>
        <w:tc>
          <w:tcPr>
            <w:tcW w:w="4165" w:type="dxa"/>
            <w:gridSpan w:val="7"/>
            <w:vAlign w:val="center"/>
          </w:tcPr>
          <w:p w:rsidR="00941868" w14:paraId="22285D9C" w14:textId="77777777">
            <w:pPr>
              <w:wordWrap w:val="0"/>
              <w:jc w:val="center"/>
              <w:rPr>
                <w:rFonts w:ascii="宋体" w:eastAsia="宋体" w:hAnsi="宋体" w:cs="宋体"/>
                <w:sz w:val="24"/>
              </w:rPr>
            </w:pPr>
            <w:bookmarkStart w:id="44" w:name="cddwkhh"/>
            <w:r>
              <w:rPr>
                <w:rFonts w:ascii="宋体" w:eastAsia="宋体" w:hAnsi="宋体" w:cs="宋体"/>
                <w:sz w:val="24"/>
              </w:rPr>
              <w:t>中国建设银行张家口分行开发区支行</w:t>
            </w:r>
            <w:bookmarkEnd w:id="44"/>
          </w:p>
        </w:tc>
        <w:tc>
          <w:tcPr>
            <w:tcW w:w="1483" w:type="dxa"/>
            <w:gridSpan w:val="3"/>
            <w:vAlign w:val="center"/>
          </w:tcPr>
          <w:p w:rsidR="00941868" w14:paraId="019C0098" w14:textId="77777777">
            <w:pPr>
              <w:wordWrap w:val="0"/>
              <w:jc w:val="center"/>
              <w:rPr>
                <w:sz w:val="24"/>
              </w:rPr>
            </w:pPr>
            <w:r>
              <w:rPr>
                <w:rFonts w:hint="eastAsia"/>
                <w:sz w:val="24"/>
              </w:rPr>
              <w:t>帐号</w:t>
            </w:r>
          </w:p>
        </w:tc>
        <w:tc>
          <w:tcPr>
            <w:tcW w:w="3117" w:type="dxa"/>
            <w:gridSpan w:val="3"/>
            <w:vAlign w:val="center"/>
          </w:tcPr>
          <w:p w:rsidR="00941868" w14:paraId="58CF6F4E" w14:textId="77777777">
            <w:pPr>
              <w:wordWrap w:val="0"/>
              <w:rPr>
                <w:rFonts w:ascii="宋体" w:eastAsia="宋体" w:hAnsi="宋体" w:cs="宋体"/>
                <w:sz w:val="24"/>
              </w:rPr>
            </w:pPr>
            <w:bookmarkStart w:id="45" w:name="cddwzh"/>
            <w:r>
              <w:rPr>
                <w:rFonts w:ascii="宋体" w:eastAsia="宋体" w:hAnsi="宋体" w:cs="宋体"/>
                <w:sz w:val="24"/>
              </w:rPr>
              <w:t>13001675408050002658</w:t>
            </w:r>
            <w:bookmarkEnd w:id="45"/>
          </w:p>
        </w:tc>
      </w:tr>
      <w:tr w14:paraId="228CE95A" w14:textId="77777777">
        <w:tblPrEx>
          <w:tblW w:w="10531" w:type="dxa"/>
          <w:jc w:val="center"/>
          <w:tblLayout w:type="fixed"/>
          <w:tblLook w:val="04A0"/>
        </w:tblPrEx>
        <w:trPr>
          <w:cantSplit/>
          <w:trHeight w:val="135"/>
          <w:jc w:val="center"/>
        </w:trPr>
        <w:tc>
          <w:tcPr>
            <w:tcW w:w="490" w:type="dxa"/>
            <w:vMerge/>
          </w:tcPr>
          <w:p w:rsidR="00941868" w14:paraId="495078B7" w14:textId="77777777">
            <w:pPr>
              <w:wordWrap w:val="0"/>
              <w:rPr>
                <w:sz w:val="24"/>
              </w:rPr>
            </w:pPr>
          </w:p>
        </w:tc>
        <w:tc>
          <w:tcPr>
            <w:tcW w:w="1276" w:type="dxa"/>
            <w:tcBorders>
              <w:bottom w:val="single" w:sz="4" w:space="0" w:color="auto"/>
            </w:tcBorders>
            <w:vAlign w:val="center"/>
          </w:tcPr>
          <w:p w:rsidR="00941868" w14:paraId="2F33DE78" w14:textId="77777777">
            <w:pPr>
              <w:wordWrap w:val="0"/>
              <w:jc w:val="center"/>
              <w:rPr>
                <w:sz w:val="24"/>
              </w:rPr>
            </w:pPr>
            <w:r>
              <w:rPr>
                <w:rFonts w:hint="eastAsia"/>
                <w:sz w:val="24"/>
              </w:rPr>
              <w:t>职工总数</w:t>
            </w:r>
          </w:p>
        </w:tc>
        <w:tc>
          <w:tcPr>
            <w:tcW w:w="1418" w:type="dxa"/>
            <w:gridSpan w:val="3"/>
            <w:tcBorders>
              <w:bottom w:val="single" w:sz="4" w:space="0" w:color="auto"/>
            </w:tcBorders>
            <w:vAlign w:val="center"/>
          </w:tcPr>
          <w:p w:rsidR="00941868" w14:paraId="73EA8133" w14:textId="77777777">
            <w:pPr>
              <w:wordWrap w:val="0"/>
              <w:jc w:val="center"/>
              <w:rPr>
                <w:sz w:val="24"/>
              </w:rPr>
            </w:pPr>
            <w:bookmarkStart w:id="46" w:name="cddwzrs"/>
            <w:r>
              <w:rPr>
                <w:rFonts w:ascii="宋体" w:eastAsia="宋体" w:hAnsi="宋体" w:cs="宋体" w:hint="eastAsia"/>
                <w:sz w:val="24"/>
              </w:rPr>
              <w:t>1600</w:t>
            </w:r>
            <w:bookmarkEnd w:id="46"/>
            <w:r>
              <w:rPr>
                <w:rFonts w:hint="eastAsia"/>
                <w:sz w:val="24"/>
              </w:rPr>
              <w:t>人</w:t>
            </w:r>
          </w:p>
        </w:tc>
        <w:tc>
          <w:tcPr>
            <w:tcW w:w="1559" w:type="dxa"/>
            <w:gridSpan w:val="2"/>
            <w:tcBorders>
              <w:bottom w:val="single" w:sz="4" w:space="0" w:color="auto"/>
            </w:tcBorders>
            <w:vAlign w:val="center"/>
          </w:tcPr>
          <w:p w:rsidR="00941868" w14:paraId="066B790B" w14:textId="77777777">
            <w:pPr>
              <w:wordWrap w:val="0"/>
              <w:jc w:val="center"/>
              <w:rPr>
                <w:sz w:val="24"/>
              </w:rPr>
            </w:pPr>
            <w:r>
              <w:rPr>
                <w:rFonts w:hint="eastAsia"/>
                <w:sz w:val="24"/>
              </w:rPr>
              <w:t>技术人员数</w:t>
            </w:r>
          </w:p>
        </w:tc>
        <w:tc>
          <w:tcPr>
            <w:tcW w:w="1188" w:type="dxa"/>
            <w:gridSpan w:val="2"/>
            <w:tcBorders>
              <w:bottom w:val="single" w:sz="4" w:space="0" w:color="auto"/>
            </w:tcBorders>
            <w:vAlign w:val="center"/>
          </w:tcPr>
          <w:p w:rsidR="00941868" w14:paraId="640F43AE" w14:textId="77777777">
            <w:pPr>
              <w:wordWrap w:val="0"/>
              <w:jc w:val="center"/>
              <w:rPr>
                <w:sz w:val="24"/>
              </w:rPr>
            </w:pPr>
            <w:bookmarkStart w:id="47" w:name="cddwjjsry"/>
            <w:r>
              <w:rPr>
                <w:rFonts w:ascii="宋体" w:eastAsia="宋体" w:hAnsi="宋体" w:cs="宋体" w:hint="eastAsia"/>
                <w:sz w:val="24"/>
              </w:rPr>
              <w:t>900</w:t>
            </w:r>
            <w:bookmarkEnd w:id="47"/>
            <w:r>
              <w:rPr>
                <w:rFonts w:hint="eastAsia"/>
                <w:sz w:val="24"/>
              </w:rPr>
              <w:t>人</w:t>
            </w:r>
          </w:p>
        </w:tc>
        <w:tc>
          <w:tcPr>
            <w:tcW w:w="1483" w:type="dxa"/>
            <w:gridSpan w:val="3"/>
            <w:tcBorders>
              <w:bottom w:val="single" w:sz="4" w:space="0" w:color="auto"/>
            </w:tcBorders>
            <w:vAlign w:val="center"/>
          </w:tcPr>
          <w:p w:rsidR="00941868" w14:paraId="38A45C41" w14:textId="77777777">
            <w:pPr>
              <w:wordWrap w:val="0"/>
              <w:ind w:left="480" w:hanging="480" w:hangingChars="200"/>
              <w:jc w:val="center"/>
              <w:rPr>
                <w:sz w:val="24"/>
              </w:rPr>
            </w:pPr>
            <w:r>
              <w:rPr>
                <w:rFonts w:hint="eastAsia"/>
                <w:sz w:val="24"/>
              </w:rPr>
              <w:t>中高级</w:t>
            </w:r>
          </w:p>
          <w:p w:rsidR="00941868" w14:paraId="1473EEA0" w14:textId="77777777">
            <w:pPr>
              <w:wordWrap w:val="0"/>
              <w:ind w:left="480" w:hanging="480" w:hangingChars="200"/>
              <w:jc w:val="center"/>
              <w:rPr>
                <w:sz w:val="24"/>
              </w:rPr>
            </w:pPr>
            <w:r>
              <w:rPr>
                <w:rFonts w:hint="eastAsia"/>
                <w:sz w:val="24"/>
              </w:rPr>
              <w:t>技术人员数</w:t>
            </w:r>
          </w:p>
        </w:tc>
        <w:tc>
          <w:tcPr>
            <w:tcW w:w="3117" w:type="dxa"/>
            <w:gridSpan w:val="3"/>
            <w:tcBorders>
              <w:bottom w:val="single" w:sz="4" w:space="0" w:color="auto"/>
            </w:tcBorders>
            <w:vAlign w:val="center"/>
          </w:tcPr>
          <w:p w:rsidR="00941868" w14:paraId="3E962EC4" w14:textId="77777777">
            <w:pPr>
              <w:wordWrap w:val="0"/>
              <w:jc w:val="center"/>
              <w:rPr>
                <w:sz w:val="24"/>
              </w:rPr>
            </w:pPr>
            <w:bookmarkStart w:id="48" w:name="cddwzgjry"/>
            <w:r>
              <w:rPr>
                <w:rFonts w:ascii="宋体" w:eastAsia="宋体" w:hAnsi="宋体" w:cs="宋体" w:hint="eastAsia"/>
                <w:sz w:val="24"/>
              </w:rPr>
              <w:t>700</w:t>
            </w:r>
            <w:bookmarkEnd w:id="48"/>
            <w:r>
              <w:rPr>
                <w:rFonts w:hint="eastAsia"/>
                <w:sz w:val="24"/>
              </w:rPr>
              <w:t>人</w:t>
            </w:r>
          </w:p>
        </w:tc>
      </w:tr>
      <w:tr w14:paraId="358FCF12" w14:textId="77777777">
        <w:tblPrEx>
          <w:tblW w:w="10531" w:type="dxa"/>
          <w:jc w:val="center"/>
          <w:tblLayout w:type="fixed"/>
          <w:tblLook w:val="04A0"/>
        </w:tblPrEx>
        <w:trPr>
          <w:cantSplit/>
          <w:trHeight w:val="135"/>
          <w:jc w:val="center"/>
        </w:trPr>
        <w:tc>
          <w:tcPr>
            <w:tcW w:w="490" w:type="dxa"/>
            <w:vMerge/>
          </w:tcPr>
          <w:p w:rsidR="00941868" w14:paraId="12E0D480" w14:textId="77777777">
            <w:pPr>
              <w:wordWrap w:val="0"/>
              <w:rPr>
                <w:sz w:val="24"/>
              </w:rPr>
            </w:pPr>
          </w:p>
        </w:tc>
        <w:tc>
          <w:tcPr>
            <w:tcW w:w="1276" w:type="dxa"/>
            <w:tcBorders>
              <w:bottom w:val="single" w:sz="4" w:space="0" w:color="auto"/>
            </w:tcBorders>
            <w:vAlign w:val="center"/>
          </w:tcPr>
          <w:p w:rsidR="00941868" w14:paraId="5644EBD2" w14:textId="77777777">
            <w:pPr>
              <w:wordWrap w:val="0"/>
              <w:jc w:val="center"/>
              <w:rPr>
                <w:sz w:val="24"/>
              </w:rPr>
            </w:pPr>
            <w:r>
              <w:rPr>
                <w:rFonts w:hint="eastAsia"/>
                <w:sz w:val="24"/>
              </w:rPr>
              <w:t>是否为省级以上高新技术</w:t>
            </w:r>
          </w:p>
          <w:p w:rsidR="00941868" w14:paraId="2D17AF68" w14:textId="77777777">
            <w:pPr>
              <w:wordWrap w:val="0"/>
              <w:jc w:val="center"/>
              <w:rPr>
                <w:sz w:val="24"/>
              </w:rPr>
            </w:pPr>
            <w:r>
              <w:rPr>
                <w:rFonts w:hint="eastAsia"/>
                <w:sz w:val="24"/>
              </w:rPr>
              <w:t>企业</w:t>
            </w:r>
          </w:p>
        </w:tc>
        <w:tc>
          <w:tcPr>
            <w:tcW w:w="1418" w:type="dxa"/>
            <w:gridSpan w:val="3"/>
            <w:tcBorders>
              <w:bottom w:val="single" w:sz="4" w:space="0" w:color="auto"/>
            </w:tcBorders>
            <w:vAlign w:val="center"/>
          </w:tcPr>
          <w:p w:rsidR="00941868" w14:paraId="00B0F3A4" w14:textId="77777777">
            <w:pPr>
              <w:wordWrap w:val="0"/>
              <w:jc w:val="center"/>
              <w:rPr>
                <w:rFonts w:ascii="宋体" w:eastAsia="宋体" w:hAnsi="宋体" w:cs="宋体"/>
                <w:sz w:val="24"/>
              </w:rPr>
            </w:pPr>
            <w:bookmarkStart w:id="49" w:name="cddwgx"/>
            <w:r>
              <w:rPr>
                <w:rFonts w:ascii="宋体" w:eastAsia="宋体" w:hAnsi="宋体" w:cs="宋体"/>
                <w:sz w:val="24"/>
              </w:rPr>
              <w:t>否</w:t>
            </w:r>
            <w:bookmarkEnd w:id="49"/>
          </w:p>
        </w:tc>
        <w:tc>
          <w:tcPr>
            <w:tcW w:w="1559" w:type="dxa"/>
            <w:gridSpan w:val="2"/>
            <w:tcBorders>
              <w:bottom w:val="single" w:sz="4" w:space="0" w:color="auto"/>
            </w:tcBorders>
            <w:vAlign w:val="center"/>
          </w:tcPr>
          <w:p w:rsidR="00941868" w14:paraId="1F7F794D" w14:textId="77777777">
            <w:pPr>
              <w:wordWrap w:val="0"/>
              <w:jc w:val="center"/>
              <w:rPr>
                <w:sz w:val="24"/>
              </w:rPr>
            </w:pPr>
            <w:r>
              <w:rPr>
                <w:rFonts w:hint="eastAsia"/>
                <w:sz w:val="24"/>
              </w:rPr>
              <w:t>是否为省级以上科技型中小企业</w:t>
            </w:r>
          </w:p>
        </w:tc>
        <w:tc>
          <w:tcPr>
            <w:tcW w:w="1188" w:type="dxa"/>
            <w:gridSpan w:val="2"/>
            <w:tcBorders>
              <w:bottom w:val="single" w:sz="4" w:space="0" w:color="auto"/>
            </w:tcBorders>
            <w:vAlign w:val="center"/>
          </w:tcPr>
          <w:p w:rsidR="00941868" w14:paraId="785D4494" w14:textId="77777777">
            <w:pPr>
              <w:wordWrap w:val="0"/>
              <w:jc w:val="center"/>
              <w:rPr>
                <w:rFonts w:ascii="宋体" w:eastAsia="宋体" w:hAnsi="宋体" w:cs="宋体"/>
                <w:sz w:val="24"/>
              </w:rPr>
            </w:pPr>
            <w:bookmarkStart w:id="50" w:name="cddwkx"/>
            <w:r>
              <w:rPr>
                <w:rFonts w:ascii="宋体" w:eastAsia="宋体" w:hAnsi="宋体" w:cs="宋体"/>
                <w:sz w:val="24"/>
              </w:rPr>
              <w:t>否</w:t>
            </w:r>
            <w:bookmarkEnd w:id="50"/>
          </w:p>
        </w:tc>
        <w:tc>
          <w:tcPr>
            <w:tcW w:w="1483" w:type="dxa"/>
            <w:gridSpan w:val="3"/>
            <w:tcBorders>
              <w:bottom w:val="single" w:sz="4" w:space="0" w:color="auto"/>
            </w:tcBorders>
            <w:vAlign w:val="center"/>
          </w:tcPr>
          <w:p w:rsidR="00941868" w14:paraId="2D1CE3A8" w14:textId="77777777">
            <w:pPr>
              <w:wordWrap w:val="0"/>
              <w:ind w:left="480" w:hanging="480" w:hangingChars="200"/>
              <w:jc w:val="center"/>
              <w:rPr>
                <w:sz w:val="24"/>
              </w:rPr>
            </w:pPr>
            <w:r>
              <w:rPr>
                <w:rFonts w:hint="eastAsia"/>
                <w:sz w:val="24"/>
              </w:rPr>
              <w:t>所属园区</w:t>
            </w:r>
          </w:p>
        </w:tc>
        <w:tc>
          <w:tcPr>
            <w:tcW w:w="3117" w:type="dxa"/>
            <w:gridSpan w:val="3"/>
            <w:tcBorders>
              <w:bottom w:val="single" w:sz="4" w:space="0" w:color="auto"/>
            </w:tcBorders>
            <w:vAlign w:val="center"/>
          </w:tcPr>
          <w:p w:rsidR="00941868" w14:paraId="485665E5" w14:textId="77777777">
            <w:pPr>
              <w:wordWrap w:val="0"/>
              <w:jc w:val="center"/>
              <w:rPr>
                <w:rFonts w:ascii="宋体" w:eastAsia="宋体" w:hAnsi="宋体" w:cs="宋体"/>
                <w:sz w:val="24"/>
              </w:rPr>
            </w:pPr>
            <w:bookmarkStart w:id="51" w:name="cddwyq"/>
            <w:r>
              <w:rPr>
                <w:rFonts w:ascii="宋体" w:eastAsia="宋体" w:hAnsi="宋体" w:cs="宋体"/>
                <w:sz w:val="24"/>
              </w:rPr>
              <w:t>张家口市-张家口东山高新区</w:t>
            </w:r>
            <w:bookmarkEnd w:id="51"/>
          </w:p>
        </w:tc>
      </w:tr>
      <w:tr w14:paraId="41755199" w14:textId="77777777">
        <w:tblPrEx>
          <w:tblW w:w="10531" w:type="dxa"/>
          <w:jc w:val="center"/>
          <w:tblLayout w:type="fixed"/>
          <w:tblLook w:val="04A0"/>
        </w:tblPrEx>
        <w:trPr>
          <w:cantSplit/>
          <w:trHeight w:val="574"/>
          <w:jc w:val="center"/>
        </w:trPr>
        <w:tc>
          <w:tcPr>
            <w:tcW w:w="490" w:type="dxa"/>
            <w:vMerge/>
          </w:tcPr>
          <w:p w:rsidR="00941868" w14:paraId="6907A6F3" w14:textId="77777777">
            <w:pPr>
              <w:wordWrap w:val="0"/>
              <w:rPr>
                <w:sz w:val="24"/>
              </w:rPr>
            </w:pPr>
          </w:p>
        </w:tc>
        <w:tc>
          <w:tcPr>
            <w:tcW w:w="2694" w:type="dxa"/>
            <w:gridSpan w:val="4"/>
            <w:vAlign w:val="center"/>
          </w:tcPr>
          <w:p w:rsidR="00941868" w14:paraId="659CA812" w14:textId="77777777">
            <w:pPr>
              <w:wordWrap w:val="0"/>
              <w:jc w:val="center"/>
              <w:rPr>
                <w:sz w:val="24"/>
              </w:rPr>
            </w:pPr>
            <w:r>
              <w:rPr>
                <w:rFonts w:hint="eastAsia"/>
                <w:sz w:val="24"/>
              </w:rPr>
              <w:t>上年度单位研发投入</w:t>
            </w:r>
          </w:p>
        </w:tc>
        <w:tc>
          <w:tcPr>
            <w:tcW w:w="2747" w:type="dxa"/>
            <w:gridSpan w:val="4"/>
            <w:vAlign w:val="center"/>
          </w:tcPr>
          <w:p w:rsidR="00941868" w14:paraId="45E894AE" w14:textId="77777777">
            <w:pPr>
              <w:wordWrap w:val="0"/>
              <w:jc w:val="center"/>
              <w:rPr>
                <w:sz w:val="24"/>
              </w:rPr>
            </w:pPr>
            <w:r>
              <w:rPr>
                <w:rFonts w:hint="eastAsia"/>
                <w:sz w:val="24"/>
              </w:rPr>
              <w:t>上年度单位销售收入</w:t>
            </w:r>
          </w:p>
        </w:tc>
        <w:tc>
          <w:tcPr>
            <w:tcW w:w="4600" w:type="dxa"/>
            <w:gridSpan w:val="6"/>
            <w:vAlign w:val="center"/>
          </w:tcPr>
          <w:p w:rsidR="00941868" w14:paraId="069C9E66" w14:textId="77777777">
            <w:pPr>
              <w:wordWrap w:val="0"/>
              <w:jc w:val="center"/>
              <w:rPr>
                <w:sz w:val="24"/>
              </w:rPr>
            </w:pPr>
            <w:r>
              <w:rPr>
                <w:rFonts w:hint="eastAsia"/>
                <w:sz w:val="24"/>
              </w:rPr>
              <w:t>上年度单位研发投入</w:t>
            </w:r>
            <w:r>
              <w:rPr>
                <w:rFonts w:hint="eastAsia"/>
                <w:sz w:val="24"/>
              </w:rPr>
              <w:t xml:space="preserve"> / </w:t>
            </w:r>
            <w:r>
              <w:rPr>
                <w:rFonts w:hint="eastAsia"/>
                <w:sz w:val="24"/>
              </w:rPr>
              <w:t>销售收入</w:t>
            </w:r>
          </w:p>
        </w:tc>
      </w:tr>
      <w:tr w14:paraId="418CFC21" w14:textId="77777777">
        <w:tblPrEx>
          <w:tblW w:w="10531" w:type="dxa"/>
          <w:jc w:val="center"/>
          <w:tblLayout w:type="fixed"/>
          <w:tblLook w:val="04A0"/>
        </w:tblPrEx>
        <w:trPr>
          <w:cantSplit/>
          <w:trHeight w:val="499"/>
          <w:jc w:val="center"/>
        </w:trPr>
        <w:tc>
          <w:tcPr>
            <w:tcW w:w="490" w:type="dxa"/>
            <w:vMerge/>
          </w:tcPr>
          <w:p w:rsidR="00941868" w14:paraId="4CC82A4E" w14:textId="77777777">
            <w:pPr>
              <w:wordWrap w:val="0"/>
              <w:rPr>
                <w:sz w:val="24"/>
              </w:rPr>
            </w:pPr>
          </w:p>
        </w:tc>
        <w:tc>
          <w:tcPr>
            <w:tcW w:w="2694" w:type="dxa"/>
            <w:gridSpan w:val="4"/>
            <w:vAlign w:val="center"/>
          </w:tcPr>
          <w:p w:rsidR="00941868" w14:paraId="360BD65E" w14:textId="77777777">
            <w:pPr>
              <w:wordWrap w:val="0"/>
              <w:jc w:val="center"/>
              <w:rPr>
                <w:sz w:val="24"/>
              </w:rPr>
            </w:pPr>
            <w:bookmarkStart w:id="52" w:name="cddwyftr"/>
            <w:r>
              <w:rPr>
                <w:rFonts w:ascii="宋体" w:eastAsia="宋体" w:hAnsi="宋体" w:cs="宋体" w:hint="eastAsia"/>
                <w:sz w:val="24"/>
              </w:rPr>
              <w:t>1000.0</w:t>
            </w:r>
            <w:bookmarkEnd w:id="52"/>
            <w:r>
              <w:rPr>
                <w:rFonts w:hint="eastAsia"/>
                <w:sz w:val="24"/>
              </w:rPr>
              <w:t>万元</w:t>
            </w:r>
          </w:p>
        </w:tc>
        <w:tc>
          <w:tcPr>
            <w:tcW w:w="2747" w:type="dxa"/>
            <w:gridSpan w:val="4"/>
            <w:vAlign w:val="center"/>
          </w:tcPr>
          <w:p w:rsidR="00941868" w14:paraId="7F2B9A6D" w14:textId="77777777">
            <w:pPr>
              <w:wordWrap w:val="0"/>
              <w:jc w:val="center"/>
              <w:rPr>
                <w:sz w:val="24"/>
              </w:rPr>
            </w:pPr>
            <w:bookmarkStart w:id="53" w:name="cddwxssr"/>
            <w:r>
              <w:rPr>
                <w:rFonts w:ascii="宋体" w:eastAsia="宋体" w:hAnsi="宋体" w:cs="宋体" w:hint="eastAsia"/>
                <w:sz w:val="24"/>
              </w:rPr>
              <w:t>0.0</w:t>
            </w:r>
            <w:bookmarkEnd w:id="53"/>
            <w:r>
              <w:rPr>
                <w:rFonts w:hint="eastAsia"/>
                <w:sz w:val="24"/>
              </w:rPr>
              <w:t>万元</w:t>
            </w:r>
          </w:p>
        </w:tc>
        <w:tc>
          <w:tcPr>
            <w:tcW w:w="4600" w:type="dxa"/>
            <w:gridSpan w:val="6"/>
            <w:vAlign w:val="center"/>
          </w:tcPr>
          <w:p w:rsidR="00941868" w14:paraId="46D05656" w14:textId="77777777">
            <w:pPr>
              <w:wordWrap w:val="0"/>
              <w:jc w:val="center"/>
              <w:rPr>
                <w:sz w:val="24"/>
              </w:rPr>
            </w:pPr>
            <w:bookmarkStart w:id="54" w:name="cddwbl"/>
            <w:r>
              <w:rPr>
                <w:rFonts w:ascii="宋体" w:eastAsia="宋体" w:hAnsi="宋体" w:cs="宋体" w:hint="eastAsia"/>
                <w:sz w:val="24"/>
              </w:rPr>
              <w:t>0</w:t>
            </w:r>
            <w:bookmarkEnd w:id="54"/>
            <w:r>
              <w:rPr>
                <w:rFonts w:hint="eastAsia"/>
                <w:sz w:val="24"/>
              </w:rPr>
              <w:t>%</w:t>
            </w:r>
          </w:p>
        </w:tc>
      </w:tr>
      <w:tr w14:paraId="21B59496" w14:textId="77777777">
        <w:tblPrEx>
          <w:tblW w:w="10531" w:type="dxa"/>
          <w:jc w:val="center"/>
          <w:tblLayout w:type="fixed"/>
          <w:tblLook w:val="04A0"/>
        </w:tblPrEx>
        <w:trPr>
          <w:cantSplit/>
          <w:trHeight w:val="450"/>
          <w:jc w:val="center"/>
        </w:trPr>
        <w:tc>
          <w:tcPr>
            <w:tcW w:w="490" w:type="dxa"/>
            <w:vMerge/>
          </w:tcPr>
          <w:p w:rsidR="00941868" w14:paraId="58B1647D" w14:textId="77777777">
            <w:pPr>
              <w:wordWrap w:val="0"/>
              <w:rPr>
                <w:sz w:val="24"/>
              </w:rPr>
            </w:pPr>
          </w:p>
        </w:tc>
        <w:tc>
          <w:tcPr>
            <w:tcW w:w="2694" w:type="dxa"/>
            <w:gridSpan w:val="4"/>
            <w:vAlign w:val="center"/>
          </w:tcPr>
          <w:p w:rsidR="00941868" w14:paraId="2868FBD5" w14:textId="77777777">
            <w:pPr>
              <w:wordWrap w:val="0"/>
              <w:jc w:val="center"/>
              <w:rPr>
                <w:sz w:val="24"/>
              </w:rPr>
            </w:pPr>
            <w:r>
              <w:rPr>
                <w:rFonts w:hint="eastAsia"/>
                <w:sz w:val="24"/>
              </w:rPr>
              <w:t>注册资本</w:t>
            </w:r>
          </w:p>
        </w:tc>
        <w:tc>
          <w:tcPr>
            <w:tcW w:w="1962" w:type="dxa"/>
            <w:gridSpan w:val="3"/>
            <w:vAlign w:val="center"/>
          </w:tcPr>
          <w:p w:rsidR="00941868" w14:paraId="5E91EDD9" w14:textId="77777777">
            <w:pPr>
              <w:wordWrap w:val="0"/>
              <w:jc w:val="center"/>
              <w:rPr>
                <w:sz w:val="24"/>
              </w:rPr>
            </w:pPr>
            <w:bookmarkStart w:id="55" w:name="cddwzczb"/>
            <w:r>
              <w:rPr>
                <w:rFonts w:ascii="宋体" w:eastAsia="宋体" w:hAnsi="宋体" w:cs="宋体" w:hint="eastAsia"/>
                <w:sz w:val="24"/>
              </w:rPr>
              <w:t>44000.0</w:t>
            </w:r>
            <w:bookmarkEnd w:id="55"/>
            <w:r>
              <w:rPr>
                <w:rFonts w:hint="eastAsia"/>
                <w:sz w:val="24"/>
              </w:rPr>
              <w:t>万元</w:t>
            </w:r>
          </w:p>
        </w:tc>
        <w:tc>
          <w:tcPr>
            <w:tcW w:w="785" w:type="dxa"/>
            <w:vAlign w:val="center"/>
          </w:tcPr>
          <w:p w:rsidR="00941868" w14:paraId="1F5E8503" w14:textId="77777777">
            <w:pPr>
              <w:wordWrap w:val="0"/>
              <w:jc w:val="center"/>
              <w:rPr>
                <w:sz w:val="24"/>
              </w:rPr>
            </w:pPr>
            <w:r>
              <w:rPr>
                <w:rFonts w:hint="eastAsia"/>
                <w:sz w:val="24"/>
              </w:rPr>
              <w:t>注册时间</w:t>
            </w:r>
          </w:p>
        </w:tc>
        <w:tc>
          <w:tcPr>
            <w:tcW w:w="1483" w:type="dxa"/>
            <w:gridSpan w:val="3"/>
            <w:vAlign w:val="center"/>
          </w:tcPr>
          <w:p w:rsidR="00941868" w14:paraId="08217C24" w14:textId="77777777">
            <w:pPr>
              <w:wordWrap w:val="0"/>
              <w:jc w:val="center"/>
              <w:rPr>
                <w:rFonts w:ascii="宋体" w:eastAsia="宋体" w:hAnsi="宋体" w:cs="宋体"/>
                <w:sz w:val="24"/>
              </w:rPr>
            </w:pPr>
            <w:bookmarkStart w:id="56" w:name="cddwzcsj"/>
            <w:r>
              <w:rPr>
                <w:rFonts w:ascii="宋体" w:eastAsia="宋体" w:hAnsi="宋体" w:cs="宋体"/>
                <w:sz w:val="24"/>
              </w:rPr>
              <w:t>2003-01-01</w:t>
            </w:r>
            <w:bookmarkEnd w:id="56"/>
          </w:p>
        </w:tc>
        <w:tc>
          <w:tcPr>
            <w:tcW w:w="1276" w:type="dxa"/>
            <w:gridSpan w:val="2"/>
            <w:vAlign w:val="center"/>
          </w:tcPr>
          <w:p w:rsidR="00941868" w14:paraId="07A41F76" w14:textId="77777777">
            <w:pPr>
              <w:wordWrap w:val="0"/>
              <w:jc w:val="center"/>
              <w:rPr>
                <w:sz w:val="24"/>
              </w:rPr>
            </w:pPr>
            <w:r>
              <w:rPr>
                <w:rFonts w:hint="eastAsia"/>
                <w:sz w:val="24"/>
              </w:rPr>
              <w:t>拥有专利</w:t>
            </w:r>
          </w:p>
          <w:p w:rsidR="00941868" w14:paraId="3E57B60D" w14:textId="77777777">
            <w:pPr>
              <w:wordWrap w:val="0"/>
              <w:jc w:val="center"/>
              <w:rPr>
                <w:sz w:val="24"/>
              </w:rPr>
            </w:pPr>
            <w:r>
              <w:rPr>
                <w:rFonts w:hint="eastAsia"/>
                <w:sz w:val="24"/>
              </w:rPr>
              <w:t>数量</w:t>
            </w:r>
          </w:p>
        </w:tc>
        <w:tc>
          <w:tcPr>
            <w:tcW w:w="1841" w:type="dxa"/>
            <w:vAlign w:val="center"/>
          </w:tcPr>
          <w:p w:rsidR="00941868" w14:paraId="45EFF5CD" w14:textId="77777777">
            <w:pPr>
              <w:wordWrap w:val="0"/>
              <w:jc w:val="center"/>
              <w:rPr>
                <w:rFonts w:ascii="宋体" w:eastAsia="宋体" w:hAnsi="宋体" w:cs="宋体"/>
                <w:sz w:val="24"/>
              </w:rPr>
            </w:pPr>
            <w:bookmarkStart w:id="57" w:name="cddwzls"/>
            <w:r>
              <w:rPr>
                <w:rFonts w:ascii="宋体" w:eastAsia="宋体" w:hAnsi="宋体" w:cs="宋体"/>
                <w:sz w:val="24"/>
              </w:rPr>
              <w:t>100</w:t>
            </w:r>
            <w:bookmarkEnd w:id="57"/>
          </w:p>
        </w:tc>
      </w:tr>
      <w:tr w14:paraId="73302DAE" w14:textId="77777777">
        <w:tblPrEx>
          <w:tblW w:w="10531" w:type="dxa"/>
          <w:jc w:val="center"/>
          <w:tblLayout w:type="fixed"/>
          <w:tblLook w:val="04A0"/>
        </w:tblPrEx>
        <w:trPr>
          <w:cantSplit/>
          <w:trHeight w:val="552"/>
          <w:jc w:val="center"/>
        </w:trPr>
        <w:tc>
          <w:tcPr>
            <w:tcW w:w="490" w:type="dxa"/>
            <w:vMerge/>
          </w:tcPr>
          <w:p w:rsidR="00941868" w14:paraId="4E121389" w14:textId="77777777">
            <w:pPr>
              <w:wordWrap w:val="0"/>
              <w:rPr>
                <w:sz w:val="24"/>
              </w:rPr>
            </w:pPr>
          </w:p>
        </w:tc>
        <w:tc>
          <w:tcPr>
            <w:tcW w:w="2694" w:type="dxa"/>
            <w:gridSpan w:val="4"/>
            <w:vAlign w:val="center"/>
          </w:tcPr>
          <w:p w:rsidR="00941868" w14:paraId="26844ED4" w14:textId="77777777">
            <w:pPr>
              <w:wordWrap w:val="0"/>
              <w:jc w:val="center"/>
              <w:rPr>
                <w:sz w:val="24"/>
              </w:rPr>
            </w:pPr>
            <w:r>
              <w:rPr>
                <w:rFonts w:hint="eastAsia"/>
                <w:sz w:val="24"/>
              </w:rPr>
              <w:t>单位性质</w:t>
            </w:r>
          </w:p>
        </w:tc>
        <w:tc>
          <w:tcPr>
            <w:tcW w:w="1962" w:type="dxa"/>
            <w:gridSpan w:val="3"/>
            <w:vAlign w:val="center"/>
          </w:tcPr>
          <w:p w:rsidR="00941868" w14:paraId="3CD0EF9C" w14:textId="77777777">
            <w:pPr>
              <w:wordWrap w:val="0"/>
              <w:jc w:val="center"/>
              <w:rPr>
                <w:rFonts w:ascii="宋体" w:eastAsia="宋体" w:hAnsi="宋体" w:cs="宋体"/>
                <w:sz w:val="24"/>
              </w:rPr>
            </w:pPr>
            <w:bookmarkStart w:id="58" w:name="cddwdwxz"/>
            <w:r>
              <w:rPr>
                <w:rFonts w:ascii="宋体" w:eastAsia="宋体" w:hAnsi="宋体" w:cs="宋体"/>
                <w:sz w:val="24"/>
              </w:rPr>
              <w:t>高等学校</w:t>
            </w:r>
            <w:bookmarkEnd w:id="58"/>
          </w:p>
        </w:tc>
        <w:tc>
          <w:tcPr>
            <w:tcW w:w="785" w:type="dxa"/>
            <w:vAlign w:val="center"/>
          </w:tcPr>
          <w:p w:rsidR="00941868" w14:paraId="36851049" w14:textId="77777777">
            <w:pPr>
              <w:wordWrap w:val="0"/>
              <w:jc w:val="center"/>
              <w:rPr>
                <w:sz w:val="24"/>
              </w:rPr>
            </w:pPr>
            <w:r>
              <w:rPr>
                <w:rFonts w:hint="eastAsia"/>
                <w:sz w:val="24"/>
              </w:rPr>
              <w:t>单位规模</w:t>
            </w:r>
          </w:p>
        </w:tc>
        <w:tc>
          <w:tcPr>
            <w:tcW w:w="4600" w:type="dxa"/>
            <w:gridSpan w:val="6"/>
            <w:vAlign w:val="center"/>
          </w:tcPr>
          <w:p w:rsidR="00941868" w14:paraId="29CE877A" w14:textId="77777777">
            <w:pPr>
              <w:wordWrap w:val="0"/>
              <w:jc w:val="center"/>
              <w:rPr>
                <w:rFonts w:ascii="宋体" w:eastAsia="宋体" w:hAnsi="宋体" w:cs="宋体"/>
                <w:sz w:val="24"/>
              </w:rPr>
            </w:pPr>
            <w:bookmarkStart w:id="59" w:name="cddwdwgm"/>
            <w:r>
              <w:rPr>
                <w:rFonts w:ascii="宋体" w:eastAsia="宋体" w:hAnsi="宋体" w:cs="宋体"/>
                <w:sz w:val="24"/>
              </w:rPr>
              <w:t>其他</w:t>
            </w:r>
            <w:bookmarkEnd w:id="59"/>
          </w:p>
        </w:tc>
      </w:tr>
      <w:tr w14:paraId="3B20F9A5" w14:textId="77777777">
        <w:tblPrEx>
          <w:tblW w:w="10531" w:type="dxa"/>
          <w:jc w:val="center"/>
          <w:tblLayout w:type="fixed"/>
          <w:tblLook w:val="04A0"/>
        </w:tblPrEx>
        <w:trPr>
          <w:cantSplit/>
          <w:trHeight w:val="552"/>
          <w:jc w:val="center"/>
        </w:trPr>
        <w:tc>
          <w:tcPr>
            <w:tcW w:w="490" w:type="dxa"/>
            <w:vMerge/>
          </w:tcPr>
          <w:p w:rsidR="00941868" w14:paraId="1A556EAA" w14:textId="77777777">
            <w:pPr>
              <w:wordWrap w:val="0"/>
              <w:rPr>
                <w:sz w:val="24"/>
              </w:rPr>
            </w:pPr>
          </w:p>
        </w:tc>
        <w:tc>
          <w:tcPr>
            <w:tcW w:w="2694" w:type="dxa"/>
            <w:gridSpan w:val="4"/>
            <w:vAlign w:val="center"/>
          </w:tcPr>
          <w:p w:rsidR="00941868" w14:paraId="5A832C60" w14:textId="77777777">
            <w:pPr>
              <w:wordWrap w:val="0"/>
              <w:jc w:val="center"/>
              <w:rPr>
                <w:sz w:val="24"/>
              </w:rPr>
            </w:pPr>
            <w:r>
              <w:rPr>
                <w:rFonts w:hint="eastAsia"/>
                <w:sz w:val="24"/>
              </w:rPr>
              <w:t>其它特征</w:t>
            </w:r>
          </w:p>
        </w:tc>
        <w:tc>
          <w:tcPr>
            <w:tcW w:w="7347" w:type="dxa"/>
            <w:gridSpan w:val="10"/>
            <w:vAlign w:val="center"/>
          </w:tcPr>
          <w:p w:rsidR="00941868" w14:paraId="754A36B0" w14:textId="77777777">
            <w:pPr>
              <w:wordWrap w:val="0"/>
              <w:jc w:val="left"/>
              <w:rPr>
                <w:rFonts w:ascii="宋体" w:eastAsia="宋体" w:hAnsi="宋体" w:cs="宋体"/>
                <w:sz w:val="24"/>
              </w:rPr>
            </w:pPr>
            <w:bookmarkStart w:id="60" w:name="cddwqt"/>
            <w:r>
              <w:rPr>
                <w:rFonts w:ascii="宋体" w:eastAsia="宋体" w:hAnsi="宋体" w:cs="宋体"/>
                <w:sz w:val="24"/>
              </w:rPr>
              <w:t>省重点实验室（工程技术研究中心）,省级科普基地</w:t>
            </w:r>
            <w:bookmarkEnd w:id="60"/>
          </w:p>
        </w:tc>
      </w:tr>
      <w:tr w14:paraId="16BAB993" w14:textId="77777777">
        <w:tblPrEx>
          <w:tblW w:w="10531" w:type="dxa"/>
          <w:jc w:val="center"/>
          <w:tblLayout w:type="fixed"/>
          <w:tblLook w:val="04A0"/>
        </w:tblPrEx>
        <w:trPr>
          <w:cantSplit/>
          <w:trHeight w:val="450"/>
          <w:jc w:val="center"/>
        </w:trPr>
        <w:tc>
          <w:tcPr>
            <w:tcW w:w="10531" w:type="dxa"/>
            <w:gridSpan w:val="15"/>
            <w:vAlign w:val="center"/>
          </w:tcPr>
          <w:p w:rsidR="00941868" w14:paraId="7B160495" w14:textId="77777777">
            <w:pPr>
              <w:wordWrap w:val="0"/>
              <w:jc w:val="center"/>
              <w:rPr>
                <w:sz w:val="24"/>
              </w:rPr>
            </w:pPr>
            <w:r>
              <w:rPr>
                <w:sz w:val="24"/>
              </w:rPr>
              <w:t>合作单位</w:t>
            </w:r>
            <w:r>
              <w:rPr>
                <w:rFonts w:hint="eastAsia"/>
                <w:sz w:val="24"/>
              </w:rPr>
              <w:t>概况</w:t>
            </w:r>
          </w:p>
        </w:tc>
      </w:tr>
      <w:tr w14:paraId="08006773" w14:textId="77777777">
        <w:tblPrEx>
          <w:tblW w:w="10531" w:type="dxa"/>
          <w:jc w:val="center"/>
          <w:tblLayout w:type="fixed"/>
          <w:tblLook w:val="04A0"/>
        </w:tblPrEx>
        <w:trPr>
          <w:cantSplit/>
          <w:trHeight w:val="450"/>
          <w:jc w:val="center"/>
        </w:trPr>
        <w:tc>
          <w:tcPr>
            <w:tcW w:w="1820" w:type="dxa"/>
            <w:gridSpan w:val="3"/>
            <w:vAlign w:val="center"/>
          </w:tcPr>
          <w:p w:rsidR="00941868" w14:paraId="146DF02E" w14:textId="77777777">
            <w:pPr>
              <w:wordWrap w:val="0"/>
              <w:jc w:val="center"/>
              <w:rPr>
                <w:sz w:val="24"/>
              </w:rPr>
            </w:pPr>
            <w:r>
              <w:rPr>
                <w:rFonts w:hint="eastAsia"/>
                <w:sz w:val="24"/>
              </w:rPr>
              <w:t>单位名称</w:t>
            </w:r>
          </w:p>
        </w:tc>
        <w:tc>
          <w:tcPr>
            <w:tcW w:w="1364" w:type="dxa"/>
            <w:gridSpan w:val="2"/>
            <w:vAlign w:val="center"/>
          </w:tcPr>
          <w:p w:rsidR="00941868" w14:paraId="58A3DBE4" w14:textId="77777777">
            <w:pPr>
              <w:wordWrap w:val="0"/>
              <w:jc w:val="center"/>
              <w:rPr>
                <w:sz w:val="24"/>
              </w:rPr>
            </w:pPr>
            <w:r>
              <w:rPr>
                <w:rFonts w:hint="eastAsia"/>
                <w:sz w:val="24"/>
              </w:rPr>
              <w:t>国别</w:t>
            </w:r>
          </w:p>
        </w:tc>
        <w:tc>
          <w:tcPr>
            <w:tcW w:w="1962" w:type="dxa"/>
            <w:gridSpan w:val="3"/>
            <w:vAlign w:val="center"/>
          </w:tcPr>
          <w:p w:rsidR="00941868" w14:paraId="2137A919" w14:textId="77777777">
            <w:pPr>
              <w:wordWrap w:val="0"/>
              <w:jc w:val="center"/>
              <w:rPr>
                <w:sz w:val="24"/>
              </w:rPr>
            </w:pPr>
            <w:r>
              <w:rPr>
                <w:rFonts w:hint="eastAsia"/>
                <w:sz w:val="24"/>
              </w:rPr>
              <w:t>所属地区</w:t>
            </w:r>
          </w:p>
        </w:tc>
        <w:tc>
          <w:tcPr>
            <w:tcW w:w="926" w:type="dxa"/>
            <w:gridSpan w:val="3"/>
            <w:vAlign w:val="center"/>
          </w:tcPr>
          <w:p w:rsidR="00941868" w14:paraId="6F5EF3CE" w14:textId="77777777">
            <w:pPr>
              <w:wordWrap w:val="0"/>
              <w:jc w:val="center"/>
              <w:rPr>
                <w:sz w:val="24"/>
              </w:rPr>
            </w:pPr>
            <w:r>
              <w:rPr>
                <w:rFonts w:hint="eastAsia"/>
                <w:sz w:val="24"/>
              </w:rPr>
              <w:t>单位地址</w:t>
            </w:r>
          </w:p>
        </w:tc>
        <w:tc>
          <w:tcPr>
            <w:tcW w:w="1342" w:type="dxa"/>
            <w:vAlign w:val="center"/>
          </w:tcPr>
          <w:p w:rsidR="00941868" w14:paraId="28BC09DE" w14:textId="77777777">
            <w:pPr>
              <w:wordWrap w:val="0"/>
              <w:jc w:val="center"/>
              <w:rPr>
                <w:sz w:val="24"/>
              </w:rPr>
            </w:pPr>
            <w:r>
              <w:rPr>
                <w:rFonts w:hint="eastAsia"/>
                <w:sz w:val="24"/>
              </w:rPr>
              <w:t>单位性质</w:t>
            </w:r>
          </w:p>
        </w:tc>
        <w:tc>
          <w:tcPr>
            <w:tcW w:w="1276" w:type="dxa"/>
            <w:gridSpan w:val="2"/>
            <w:vAlign w:val="center"/>
          </w:tcPr>
          <w:p w:rsidR="00941868" w14:paraId="50D35001" w14:textId="77777777">
            <w:pPr>
              <w:wordWrap w:val="0"/>
              <w:jc w:val="center"/>
              <w:rPr>
                <w:sz w:val="24"/>
              </w:rPr>
            </w:pPr>
            <w:r>
              <w:rPr>
                <w:rFonts w:hint="eastAsia"/>
                <w:sz w:val="24"/>
              </w:rPr>
              <w:t>联系人</w:t>
            </w:r>
          </w:p>
        </w:tc>
        <w:tc>
          <w:tcPr>
            <w:tcW w:w="1841" w:type="dxa"/>
            <w:vAlign w:val="center"/>
          </w:tcPr>
          <w:p w:rsidR="00941868" w14:paraId="55B125B5" w14:textId="77777777">
            <w:pPr>
              <w:wordWrap w:val="0"/>
              <w:jc w:val="center"/>
              <w:rPr>
                <w:sz w:val="24"/>
              </w:rPr>
            </w:pPr>
            <w:r>
              <w:rPr>
                <w:rFonts w:hint="eastAsia"/>
                <w:sz w:val="24"/>
              </w:rPr>
              <w:t>手机</w:t>
            </w:r>
          </w:p>
        </w:tc>
      </w:tr>
      <w:tr w14:paraId="47D85A82" w14:textId="77777777">
        <w:tblPrEx>
          <w:tblW w:w="10531" w:type="dxa"/>
          <w:jc w:val="center"/>
          <w:tblLayout w:type="fixed"/>
          <w:tblLook w:val="04A0"/>
        </w:tblPrEx>
        <w:trPr>
          <w:cantSplit/>
          <w:trHeight w:val="450"/>
          <w:jc w:val="center"/>
        </w:trPr>
        <w:tc>
          <w:tcPr>
            <w:tcW w:w="1820" w:type="dxa"/>
            <w:gridSpan w:val="3"/>
            <w:vAlign w:val="center"/>
          </w:tcPr>
          <w:p w:rsidR="00941868" w14:paraId="128D6053" w14:textId="77777777">
            <w:pPr>
              <w:wordWrap w:val="0"/>
              <w:rPr>
                <w:rFonts w:ascii="宋体" w:eastAsia="宋体" w:hAnsi="宋体" w:cs="宋体"/>
                <w:sz w:val="24"/>
              </w:rPr>
            </w:pPr>
            <w:r>
              <w:rPr>
                <w:rFonts w:ascii="宋体" w:eastAsia="宋体" w:hAnsi="宋体" w:cs="宋体"/>
                <w:sz w:val="24"/>
              </w:rPr>
              <w:t>河北北方学院附属第一医院</w:t>
            </w:r>
          </w:p>
        </w:tc>
        <w:tc>
          <w:tcPr>
            <w:tcW w:w="1364" w:type="dxa"/>
            <w:gridSpan w:val="2"/>
            <w:vAlign w:val="center"/>
          </w:tcPr>
          <w:p w:rsidR="00941868" w14:paraId="54B516CF" w14:textId="77777777">
            <w:pPr>
              <w:wordWrap w:val="0"/>
              <w:jc w:val="center"/>
              <w:rPr>
                <w:rFonts w:ascii="宋体" w:eastAsia="宋体" w:hAnsi="宋体" w:cs="宋体"/>
                <w:sz w:val="24"/>
              </w:rPr>
            </w:pPr>
            <w:r>
              <w:rPr>
                <w:rFonts w:ascii="宋体" w:eastAsia="宋体" w:hAnsi="宋体" w:cs="宋体"/>
                <w:sz w:val="24"/>
              </w:rPr>
              <w:t>中国</w:t>
            </w:r>
          </w:p>
        </w:tc>
        <w:tc>
          <w:tcPr>
            <w:tcW w:w="1962" w:type="dxa"/>
            <w:gridSpan w:val="3"/>
            <w:vAlign w:val="center"/>
          </w:tcPr>
          <w:p w:rsidR="00941868" w14:paraId="4238E80E" w14:textId="77777777">
            <w:pPr>
              <w:wordWrap w:val="0"/>
              <w:rPr>
                <w:rFonts w:ascii="宋体" w:eastAsia="宋体" w:hAnsi="宋体" w:cs="宋体"/>
                <w:sz w:val="24"/>
              </w:rPr>
            </w:pPr>
            <w:r>
              <w:rPr>
                <w:rFonts w:ascii="宋体" w:eastAsia="宋体" w:hAnsi="宋体" w:cs="宋体"/>
                <w:sz w:val="24"/>
              </w:rPr>
              <w:t>张家口市-桥西区</w:t>
            </w:r>
          </w:p>
        </w:tc>
        <w:tc>
          <w:tcPr>
            <w:tcW w:w="926" w:type="dxa"/>
            <w:gridSpan w:val="3"/>
            <w:vAlign w:val="center"/>
          </w:tcPr>
          <w:p w:rsidR="00941868" w14:paraId="1C2B274C" w14:textId="77777777">
            <w:pPr>
              <w:wordWrap w:val="0"/>
              <w:rPr>
                <w:rFonts w:ascii="宋体" w:eastAsia="宋体" w:hAnsi="宋体" w:cs="宋体"/>
                <w:sz w:val="24"/>
              </w:rPr>
            </w:pPr>
          </w:p>
        </w:tc>
        <w:tc>
          <w:tcPr>
            <w:tcW w:w="1342" w:type="dxa"/>
            <w:vAlign w:val="center"/>
          </w:tcPr>
          <w:p w:rsidR="00941868" w14:paraId="3E8F49A7" w14:textId="77777777">
            <w:pPr>
              <w:wordWrap w:val="0"/>
              <w:jc w:val="center"/>
              <w:rPr>
                <w:rFonts w:ascii="宋体" w:eastAsia="宋体" w:hAnsi="宋体" w:cs="宋体"/>
                <w:sz w:val="24"/>
              </w:rPr>
            </w:pPr>
            <w:r>
              <w:rPr>
                <w:rFonts w:ascii="宋体" w:eastAsia="宋体" w:hAnsi="宋体" w:cs="宋体"/>
                <w:sz w:val="24"/>
              </w:rPr>
              <w:t>医疗机构（非企业）</w:t>
            </w:r>
          </w:p>
        </w:tc>
        <w:tc>
          <w:tcPr>
            <w:tcW w:w="1276" w:type="dxa"/>
            <w:gridSpan w:val="2"/>
            <w:vAlign w:val="center"/>
          </w:tcPr>
          <w:p w:rsidR="00941868" w14:paraId="1A096A9B" w14:textId="77777777">
            <w:pPr>
              <w:wordWrap w:val="0"/>
              <w:jc w:val="center"/>
              <w:rPr>
                <w:rFonts w:ascii="宋体" w:eastAsia="宋体" w:hAnsi="宋体" w:cs="宋体"/>
                <w:sz w:val="24"/>
              </w:rPr>
            </w:pPr>
            <w:r>
              <w:rPr>
                <w:rFonts w:ascii="宋体" w:eastAsia="宋体" w:hAnsi="宋体" w:cs="宋体"/>
                <w:sz w:val="24"/>
              </w:rPr>
              <w:t>赵婧帆</w:t>
            </w:r>
          </w:p>
        </w:tc>
        <w:tc>
          <w:tcPr>
            <w:tcW w:w="1841" w:type="dxa"/>
            <w:vAlign w:val="center"/>
          </w:tcPr>
          <w:p w:rsidR="00941868" w14:paraId="764B751A" w14:textId="77777777">
            <w:pPr>
              <w:wordWrap w:val="0"/>
              <w:rPr>
                <w:rFonts w:ascii="宋体" w:eastAsia="宋体" w:hAnsi="宋体" w:cs="宋体"/>
                <w:sz w:val="24"/>
              </w:rPr>
            </w:pPr>
            <w:r>
              <w:rPr>
                <w:rFonts w:ascii="宋体" w:eastAsia="宋体" w:hAnsi="宋体" w:cs="宋体"/>
                <w:sz w:val="24"/>
              </w:rPr>
              <w:t>15530390601</w:t>
            </w:r>
          </w:p>
        </w:tc>
      </w:tr>
      <w:tr w14:paraId="0DD390CC" w14:textId="77777777">
        <w:tblPrEx>
          <w:tblW w:w="10531" w:type="dxa"/>
          <w:jc w:val="center"/>
          <w:tblLayout w:type="fixed"/>
          <w:tblLook w:val="04A0"/>
        </w:tblPrEx>
        <w:trPr>
          <w:cantSplit/>
          <w:trHeight w:val="450"/>
          <w:jc w:val="center"/>
        </w:trPr>
        <w:tc>
          <w:tcPr>
            <w:tcW w:w="10531" w:type="dxa"/>
            <w:gridSpan w:val="15"/>
          </w:tcPr>
          <w:p w:rsidR="00941868" w14:paraId="52151500" w14:textId="77777777">
            <w:pPr>
              <w:wordWrap w:val="0"/>
              <w:jc w:val="center"/>
              <w:rPr>
                <w:b/>
                <w:sz w:val="36"/>
                <w:szCs w:val="36"/>
              </w:rPr>
            </w:pPr>
            <w:r>
              <w:rPr>
                <w:rFonts w:hint="eastAsia"/>
                <w:b/>
                <w:szCs w:val="28"/>
              </w:rPr>
              <w:t>项目立项背景及意义</w:t>
            </w:r>
          </w:p>
        </w:tc>
      </w:tr>
      <w:tr w14:paraId="6290ECA5" w14:textId="77777777">
        <w:tblPrEx>
          <w:tblW w:w="10531" w:type="dxa"/>
          <w:jc w:val="center"/>
          <w:tblLayout w:type="fixed"/>
          <w:tblLook w:val="04A0"/>
        </w:tblPrEx>
        <w:trPr>
          <w:jc w:val="center"/>
        </w:trPr>
        <w:tc>
          <w:tcPr>
            <w:tcW w:w="10531" w:type="dxa"/>
            <w:gridSpan w:val="15"/>
          </w:tcPr>
          <w:p w14:paraId="086695E3" w14:textId="77777777">
            <w:pPr>
              <w:widowControl/>
              <w:spacing w:before="0" w:after="0" w:line="360" w:lineRule="atLeast"/>
              <w:ind w:firstLine="480"/>
              <w:rPr>
                <w:rFonts w:ascii="宋体" w:hAnsi="宋体" w:cs="宋体"/>
                <w:kern w:val="0"/>
                <w:sz w:val="24"/>
              </w:rPr>
            </w:pPr>
            <w:bookmarkStart w:id="61" w:name="lxbj"/>
            <w:r>
              <w:rPr>
                <w:rFonts w:ascii="宋体" w:hAnsi="宋体" w:cs="宋体"/>
                <w:kern w:val="0"/>
                <w:sz w:val="24"/>
              </w:rPr>
              <w:t>研究已证实，免疫功能紊乱是失血性休克进展为脓毒症休克甚至发生死亡的关键因素。树突状细胞在免疫调控中居于核心地位，其功能紊乱与失血性休克后的免疫抑制或免疫麻痹密切相关。</w:t>
            </w:r>
            <w:r>
              <w:rPr>
                <w:rFonts w:ascii="宋体" w:hAnsi="宋体" w:cs="宋体"/>
                <w:kern w:val="0"/>
                <w:sz w:val="24"/>
              </w:rPr>
              <w:t>肿瘤坏死因子α诱导蛋白8样分子2（TIPE2）作为维持免疫稳态的重要调控蛋白，其高表达与失血性休克后DC免疫功能紊乱密切相关，进而加剧失血性休克后的免疫抑制。</w:t>
            </w:r>
            <w:r>
              <w:rPr>
                <w:rFonts w:ascii="宋体" w:hAnsi="宋体" w:cs="宋体"/>
                <w:kern w:val="0"/>
                <w:sz w:val="24"/>
              </w:rPr>
              <w:t>我们最新研究发现，TIPE2的低表达能够通过抑制内质网选择性自噬，显著改善失血性休克后DC的免疫功能紊乱，</w:t>
            </w:r>
            <w:r>
              <w:rPr>
                <w:rFonts w:ascii="宋体" w:hAnsi="宋体" w:cs="宋体"/>
                <w:kern w:val="0"/>
                <w:sz w:val="24"/>
              </w:rPr>
              <w:t>但其关键作用与调控机制尚不清楚。</w:t>
            </w:r>
            <w:r>
              <w:rPr>
                <w:rFonts w:ascii="宋体" w:hAnsi="宋体" w:cs="宋体"/>
                <w:kern w:val="0"/>
                <w:sz w:val="24"/>
              </w:rPr>
              <w:t>本项目以内质网选择性自噬为研究切入点，应用TIPE2基因敲除或基因敲入小鼠制备失血性休克模型，深入解析TIPE2调控内质网自噬在改善失血性休克后DC免疫功能中的重要作用。三重基序蛋白13（Trim13）作为非经典内质网自噬受体</w:t>
            </w:r>
            <w:r>
              <w:rPr>
                <w:rFonts w:ascii="宋体" w:hAnsi="宋体" w:cs="宋体"/>
                <w:kern w:val="0"/>
                <w:sz w:val="24"/>
              </w:rPr>
              <w:t>深度参与内质网功能的调控，但其与TIPE2的相互作用及其在内质网自噬中的作用尚不明确</w:t>
            </w:r>
            <w:r>
              <w:rPr>
                <w:rFonts w:ascii="宋体" w:hAnsi="宋体" w:cs="宋体"/>
                <w:kern w:val="0"/>
                <w:sz w:val="24"/>
              </w:rPr>
              <w:t>。本研究</w:t>
            </w:r>
            <w:r>
              <w:rPr>
                <w:rFonts w:ascii="宋体" w:hAnsi="宋体" w:cs="宋体"/>
                <w:kern w:val="0"/>
                <w:sz w:val="24"/>
              </w:rPr>
              <w:t>应用树突状细胞特异性Trim13基因条件敲除小鼠，进一步揭示TIPE2通过调控Trim13介导的内质网自噬改善失血性休克后DC免疫功能紊乱的分子机制，对于揭示失血性休克后DC免疫功能紊乱的机制及调控路径具有重要意义。</w:t>
            </w:r>
          </w:p>
          <w:p w:rsidR="00941868">
            <w:pPr>
              <w:wordWrap w:val="0"/>
              <w:ind w:firstLine="480" w:firstLineChars="200"/>
              <w:jc w:val="left"/>
              <w:rPr>
                <w:sz w:val="24"/>
              </w:rPr>
            </w:pPr>
            <w:bookmarkEnd w:id="61"/>
          </w:p>
        </w:tc>
      </w:tr>
      <w:tr w14:paraId="04DE9858" w14:textId="77777777">
        <w:tblPrEx>
          <w:tblW w:w="10531" w:type="dxa"/>
          <w:jc w:val="center"/>
          <w:tblLayout w:type="fixed"/>
          <w:tblLook w:val="04A0"/>
        </w:tblPrEx>
        <w:trPr>
          <w:cantSplit/>
          <w:trHeight w:val="450"/>
          <w:jc w:val="center"/>
        </w:trPr>
        <w:tc>
          <w:tcPr>
            <w:tcW w:w="10531" w:type="dxa"/>
            <w:gridSpan w:val="15"/>
          </w:tcPr>
          <w:p w:rsidR="00941868" w14:paraId="6CD36535" w14:textId="77777777">
            <w:pPr>
              <w:wordWrap w:val="0"/>
              <w:jc w:val="center"/>
              <w:rPr>
                <w:b/>
                <w:szCs w:val="28"/>
              </w:rPr>
            </w:pPr>
            <w:r>
              <w:rPr>
                <w:rFonts w:hint="eastAsia"/>
                <w:b/>
                <w:szCs w:val="28"/>
              </w:rPr>
              <w:t>项目简介</w:t>
            </w:r>
          </w:p>
        </w:tc>
      </w:tr>
      <w:tr w14:paraId="5DBBA47F" w14:textId="77777777">
        <w:tblPrEx>
          <w:tblW w:w="10531" w:type="dxa"/>
          <w:jc w:val="center"/>
          <w:tblLayout w:type="fixed"/>
          <w:tblLook w:val="04A0"/>
        </w:tblPrEx>
        <w:trPr>
          <w:jc w:val="center"/>
        </w:trPr>
        <w:tc>
          <w:tcPr>
            <w:tcW w:w="10531" w:type="dxa"/>
            <w:gridSpan w:val="15"/>
          </w:tcPr>
          <w:p w14:paraId="6A8725A2" w14:textId="77777777">
            <w:pPr>
              <w:widowControl/>
              <w:spacing w:before="0" w:after="0"/>
              <w:ind w:firstLine="480"/>
              <w:rPr>
                <w:rFonts w:ascii="宋体" w:hAnsi="宋体" w:cs="宋体"/>
                <w:kern w:val="0"/>
                <w:sz w:val="24"/>
              </w:rPr>
            </w:pPr>
            <w:bookmarkStart w:id="62" w:name="xmjj"/>
            <w:r>
              <w:rPr>
                <w:rFonts w:ascii="宋体" w:hAnsi="宋体" w:cs="宋体"/>
                <w:kern w:val="0"/>
                <w:sz w:val="24"/>
              </w:rPr>
              <w:t>失血性休克作为严重的临床并发症，病情进展迅速、预后险恶、临床救治难，其死亡率居高不下。</w:t>
            </w:r>
            <w:r>
              <w:rPr>
                <w:rFonts w:ascii="宋体" w:hAnsi="宋体" w:cs="宋体"/>
                <w:kern w:val="0"/>
                <w:sz w:val="24"/>
              </w:rPr>
              <w:t>肿瘤坏死因子α诱导蛋白8样分子2（TIPE2）高表达导致树突状细胞（DCs）免疫功能紊乱是失血性休克后免疫抑制及不良预后的关键因素。我们前期研究证实，TIPE2负向调控树突状细胞免疫活性是失血性休克后免疫抑制并导致其进展为脓毒症休克的重要机制。内质网选择性自噬作为内源性保护机制在维持DCs功能稳定中发挥着重要作用。</w:t>
            </w:r>
            <w:r>
              <w:rPr>
                <w:rFonts w:ascii="宋体" w:hAnsi="宋体" w:cs="宋体"/>
                <w:kern w:val="0"/>
                <w:sz w:val="24"/>
              </w:rPr>
              <w:t>三重基序蛋白</w:t>
            </w:r>
            <w:r>
              <w:rPr>
                <w:rFonts w:ascii="宋体" w:hAnsi="宋体" w:cs="宋体"/>
                <w:kern w:val="0"/>
                <w:sz w:val="24"/>
              </w:rPr>
              <w:t>13</w:t>
            </w:r>
            <w:r>
              <w:rPr>
                <w:rFonts w:ascii="宋体" w:hAnsi="宋体" w:cs="宋体"/>
                <w:kern w:val="0"/>
                <w:sz w:val="24"/>
              </w:rPr>
              <w:t>（</w:t>
            </w:r>
            <w:r>
              <w:rPr>
                <w:rFonts w:ascii="宋体" w:hAnsi="宋体" w:cs="宋体"/>
                <w:kern w:val="0"/>
                <w:sz w:val="24"/>
              </w:rPr>
              <w:t>Trim13</w:t>
            </w:r>
            <w:r>
              <w:rPr>
                <w:rFonts w:ascii="宋体" w:hAnsi="宋体" w:cs="宋体"/>
                <w:kern w:val="0"/>
                <w:sz w:val="24"/>
              </w:rPr>
              <w:t>）作为深度参与内质网功能的非经典内质网自噬受体，在DC免疫功能调控中发挥重要作用。我们预实验结果显示，TIPE2低表达抑制内质网选择性自噬可改善失血性休克诱导的DC免疫功能紊乱，但其具体调控机制尚不明确。</w:t>
            </w:r>
            <w:r>
              <w:rPr>
                <w:rFonts w:ascii="宋体" w:hAnsi="宋体" w:cs="宋体"/>
                <w:kern w:val="0"/>
                <w:sz w:val="24"/>
              </w:rPr>
              <w:t>本项目以内质网选择性自噬为切入点，应用TIPE2基因敲除或基因敲入小鼠构建失血性休克模型，深度解析TIPE2调控内质网自噬在改善失血性休克后DC免疫功能中的重要作用。同时，本项目拟应用DC特异性Trim13条敲基因小鼠，深入探讨TIPE2调控Trim13介导的内质网自噬在失血性休克后DCs免疫抑制中的作用及关键分子机制，为重症休克防治提供有效的调控靶点和策略。</w:t>
            </w:r>
          </w:p>
          <w:p>
            <w:pPr>
              <w:widowControl/>
              <w:spacing w:before="240" w:after="150"/>
              <w:jc w:val="left"/>
              <w:rPr>
                <w:rFonts w:ascii="Times New Roman" w:eastAsia="Times New Roman" w:hAnsi="Times New Roman" w:cs="Times New Roman"/>
                <w:color w:val="606468"/>
                <w:kern w:val="0"/>
                <w:sz w:val="24"/>
              </w:rPr>
            </w:pPr>
          </w:p>
          <w:p>
            <w:pPr>
              <w:widowControl/>
              <w:spacing w:before="240" w:after="150"/>
              <w:jc w:val="left"/>
              <w:rPr>
                <w:rFonts w:ascii="Times New Roman" w:eastAsia="Times New Roman" w:hAnsi="Times New Roman" w:cs="Times New Roman"/>
                <w:color w:val="606468"/>
                <w:kern w:val="0"/>
                <w:sz w:val="24"/>
              </w:rPr>
            </w:pPr>
          </w:p>
          <w:p w:rsidR="00941868">
            <w:pPr>
              <w:wordWrap w:val="0"/>
              <w:ind w:firstLine="480" w:firstLineChars="200"/>
              <w:jc w:val="left"/>
              <w:rPr>
                <w:sz w:val="24"/>
              </w:rPr>
            </w:pPr>
            <w:bookmarkEnd w:id="62"/>
          </w:p>
        </w:tc>
      </w:tr>
    </w:tbl>
    <w:p w:rsidR="00941868" w14:paraId="02A28484" w14:textId="77777777">
      <w:pPr>
        <w:wordWrap w:val="0"/>
        <w:spacing w:line="20" w:lineRule="exact"/>
        <w:rPr>
          <w:b/>
          <w:sz w:val="32"/>
        </w:rPr>
      </w:pPr>
    </w:p>
    <w:p w:rsidR="00941868" w14:paraId="0F45B9E7" w14:textId="77777777">
      <w:pPr>
        <w:wordWrap w:val="0"/>
        <w:spacing w:line="20" w:lineRule="exact"/>
      </w:pPr>
      <w:r>
        <w:br w:type="page"/>
      </w:r>
      <w:bookmarkStart w:id="63" w:name="zw"/>
      <w:bookmarkEnd w:id="63"/>
    </w:p>
    <w:p w14:paraId="62B50A5F">
      <w:pPr>
        <w:keepNext w:val="0"/>
        <w:keepLines w:val="0"/>
        <w:pageBreakBefore w:val="0"/>
        <w:kinsoku/>
        <w:wordWrap w:val="0"/>
        <w:overflowPunct/>
        <w:topLinePunct w:val="0"/>
        <w:autoSpaceDE/>
        <w:autoSpaceDN/>
        <w:bidi w:val="0"/>
        <w:adjustRightInd/>
        <w:spacing w:line="360" w:lineRule="auto"/>
        <w:jc w:val="center"/>
        <w:textAlignment w:val="auto"/>
        <w:outlineLvl w:val="0"/>
        <w:rPr>
          <w:rFonts w:ascii="宋体" w:hAnsi="宋体"/>
          <w:b/>
          <w:sz w:val="32"/>
          <w:szCs w:val="32"/>
        </w:rPr>
      </w:pPr>
      <w:r>
        <w:rPr>
          <w:rFonts w:ascii="宋体" w:hAnsi="宋体" w:hint="eastAsia"/>
          <w:b/>
          <w:sz w:val="32"/>
          <w:szCs w:val="32"/>
        </w:rPr>
        <w:t>申请书正文部分</w:t>
      </w:r>
    </w:p>
    <w:p w14:paraId="2A0CC82F">
      <w:pPr>
        <w:keepNext w:val="0"/>
        <w:keepLines w:val="0"/>
        <w:pageBreakBefore w:val="0"/>
        <w:kinsoku/>
        <w:wordWrap w:val="0"/>
        <w:overflowPunct/>
        <w:topLinePunct w:val="0"/>
        <w:autoSpaceDE/>
        <w:autoSpaceDN/>
        <w:bidi w:val="0"/>
        <w:adjustRightInd/>
        <w:spacing w:line="360" w:lineRule="auto"/>
        <w:jc w:val="center"/>
        <w:textAlignment w:val="auto"/>
        <w:outlineLvl w:val="0"/>
        <w:rPr>
          <w:rFonts w:ascii="宋体" w:hAnsi="宋体"/>
          <w:b/>
          <w:sz w:val="36"/>
          <w:szCs w:val="36"/>
        </w:rPr>
      </w:pPr>
    </w:p>
    <w:p w14:paraId="45AF3474">
      <w:pPr>
        <w:keepNext w:val="0"/>
        <w:keepLines w:val="0"/>
        <w:pageBreakBefore w:val="0"/>
        <w:kinsoku/>
        <w:wordWrap w:val="0"/>
        <w:overflowPunct/>
        <w:topLinePunct w:val="0"/>
        <w:autoSpaceDE/>
        <w:autoSpaceDN/>
        <w:bidi w:val="0"/>
        <w:adjustRightInd/>
        <w:snapToGrid/>
        <w:spacing w:line="360" w:lineRule="auto"/>
        <w:ind w:firstLine="560" w:firstLineChars="200"/>
        <w:textAlignment w:val="auto"/>
        <w:outlineLvl w:val="0"/>
        <w:rPr>
          <w:rFonts w:ascii="楷体" w:eastAsia="楷体" w:hAnsi="楷体" w:cs="楷体"/>
          <w:b/>
        </w:rPr>
      </w:pPr>
      <w:r>
        <w:rPr>
          <w:rFonts w:ascii="楷体" w:eastAsia="楷体" w:hAnsi="楷体" w:cs="楷体" w:hint="eastAsia"/>
          <w:b/>
        </w:rPr>
        <w:t>一、立论依据</w:t>
      </w:r>
    </w:p>
    <w:p w14:paraId="623992C5">
      <w:pPr>
        <w:keepNext w:val="0"/>
        <w:keepLines w:val="0"/>
        <w:pageBreakBefore w:val="0"/>
        <w:kinsoku/>
        <w:wordWrap w:val="0"/>
        <w:overflowPunct/>
        <w:topLinePunct w:val="0"/>
        <w:autoSpaceDE/>
        <w:autoSpaceDN/>
        <w:bidi w:val="0"/>
        <w:adjustRightInd/>
        <w:snapToGrid/>
        <w:spacing w:line="360" w:lineRule="auto"/>
        <w:ind w:firstLine="560" w:firstLineChars="200"/>
        <w:textAlignment w:val="auto"/>
        <w:rPr>
          <w:rFonts w:ascii="楷体" w:eastAsia="楷体" w:hAnsi="楷体" w:cs="楷体" w:hint="eastAsia"/>
        </w:rPr>
      </w:pPr>
      <w:r>
        <w:rPr>
          <w:rFonts w:ascii="楷体" w:eastAsia="楷体" w:hAnsi="楷体" w:cs="楷体" w:hint="eastAsia"/>
        </w:rPr>
        <w:t>1.国内外研究现状及发展动态分析</w:t>
      </w:r>
    </w:p>
    <w:p w14:paraId="0A836A71">
      <w:pPr>
        <w:keepNext w:val="0"/>
        <w:keepLines w:val="0"/>
        <w:pageBreakBefore w:val="0"/>
        <w:widowControl/>
        <w:kinsoku/>
        <w:overflowPunct/>
        <w:topLinePunct w:val="0"/>
        <w:autoSpaceDE/>
        <w:autoSpaceDN/>
        <w:bidi w:val="0"/>
        <w:adjustRightInd/>
        <w:snapToGrid/>
        <w:spacing w:line="360" w:lineRule="auto"/>
        <w:ind w:firstLine="480" w:firstLineChars="200"/>
        <w:textAlignment w:val="auto"/>
        <w:rPr>
          <w:rFonts w:ascii="宋体" w:hAnsi="宋体" w:cs="宋体"/>
          <w:sz w:val="24"/>
          <w:szCs w:val="24"/>
        </w:rPr>
      </w:pPr>
      <w:r>
        <w:rPr>
          <w:rFonts w:ascii="宋体" w:hAnsi="宋体" w:cs="宋体" w:hint="eastAsia"/>
          <w:sz w:val="24"/>
          <w:szCs w:val="24"/>
        </w:rPr>
        <w:t>失血性休克</w:t>
      </w:r>
      <w:r>
        <w:rPr>
          <w:rFonts w:ascii="宋体" w:hAnsi="宋体" w:cs="宋体" w:hint="eastAsia"/>
          <w:sz w:val="24"/>
          <w:szCs w:val="24"/>
          <w:lang w:val="en-US" w:eastAsia="zh-CN"/>
        </w:rPr>
        <w:t>作为</w:t>
      </w:r>
      <w:r>
        <w:rPr>
          <w:rFonts w:ascii="宋体" w:hAnsi="宋体" w:cs="宋体" w:hint="eastAsia"/>
          <w:sz w:val="24"/>
          <w:szCs w:val="24"/>
        </w:rPr>
        <w:t>严重的临床并发症是</w:t>
      </w:r>
      <w:r>
        <w:rPr>
          <w:rFonts w:ascii="宋体" w:hAnsi="宋体" w:cs="宋体" w:hint="eastAsia"/>
          <w:sz w:val="24"/>
          <w:szCs w:val="24"/>
          <w:lang w:val="en-US" w:eastAsia="zh-CN"/>
        </w:rPr>
        <w:t>战伤、交通事故和急诊外科的首要致死原因</w:t>
      </w:r>
      <w:r>
        <w:rPr>
          <w:rFonts w:ascii="宋体" w:hAnsi="宋体" w:cs="宋体" w:hint="eastAsia"/>
          <w:sz w:val="24"/>
          <w:szCs w:val="24"/>
        </w:rPr>
        <w:t>，</w:t>
      </w:r>
      <w:r>
        <w:rPr>
          <w:rFonts w:ascii="宋体" w:hAnsi="宋体" w:cs="宋体" w:hint="eastAsia"/>
          <w:sz w:val="24"/>
          <w:szCs w:val="24"/>
          <w:lang w:val="en-US" w:eastAsia="zh-CN"/>
        </w:rPr>
        <w:t>其</w:t>
      </w:r>
      <w:r>
        <w:rPr>
          <w:rFonts w:ascii="宋体" w:hAnsi="宋体" w:cs="宋体" w:hint="eastAsia"/>
          <w:sz w:val="24"/>
          <w:szCs w:val="24"/>
        </w:rPr>
        <w:t>病情进展迅速、预后险恶，临床救治工作有极大困难，每年全球因失血性休克死亡的人数可达百万，</w:t>
      </w:r>
      <w:r>
        <w:rPr>
          <w:rFonts w:ascii="宋体" w:hAnsi="宋体" w:cs="宋体" w:hint="eastAsia"/>
          <w:sz w:val="24"/>
          <w:szCs w:val="24"/>
          <w:lang w:val="en-US" w:eastAsia="zh-CN"/>
        </w:rPr>
        <w:t>已成为全球</w:t>
      </w:r>
      <w:r>
        <w:rPr>
          <w:rFonts w:ascii="宋体" w:hAnsi="宋体" w:cs="宋体" w:hint="eastAsia"/>
          <w:sz w:val="24"/>
          <w:szCs w:val="24"/>
        </w:rPr>
        <w:t>危重病医学</w:t>
      </w:r>
      <w:r>
        <w:rPr>
          <w:rFonts w:ascii="宋体" w:hAnsi="宋体" w:cs="宋体" w:hint="eastAsia"/>
          <w:sz w:val="24"/>
          <w:szCs w:val="24"/>
          <w:lang w:val="en-US" w:eastAsia="zh-CN"/>
        </w:rPr>
        <w:t>领域</w:t>
      </w:r>
      <w:r>
        <w:rPr>
          <w:rFonts w:ascii="宋体" w:hAnsi="宋体" w:cs="宋体" w:hint="eastAsia"/>
          <w:sz w:val="24"/>
          <w:szCs w:val="24"/>
        </w:rPr>
        <w:t>面临的突出难题</w:t>
      </w:r>
      <w:r>
        <w:rPr>
          <w:rFonts w:ascii="宋体" w:hAnsi="宋体" w:cs="宋体" w:hint="eastAsia"/>
          <w:sz w:val="24"/>
          <w:szCs w:val="24"/>
          <w:vertAlign w:val="superscript"/>
        </w:rPr>
        <w:fldChar w:fldCharType="begin"/>
      </w:r>
      <w:r>
        <w:rPr>
          <w:rFonts w:ascii="宋体" w:hAnsi="宋体" w:cs="宋体" w:hint="eastAsia"/>
          <w:sz w:val="24"/>
          <w:szCs w:val="24"/>
          <w:vertAlign w:val="superscript"/>
        </w:rPr>
        <w:instrText xml:space="preserve"> ADDIN EN.CITE &lt;EndNote&gt;&lt;Cite&gt;&lt;Author&gt;Jia&lt;/Author&gt;&lt;Year&gt;2022&lt;/Year&gt;&lt;RecNum&gt;5&lt;/RecNum&gt;&lt;DisplayText&gt;&lt;style face="superscript"&gt;[1]&lt;/style&gt;&lt;/DisplayText&gt;&lt;record&gt;&lt;rec-number&gt;5&lt;/rec-number&gt;&lt;foreign-keys&gt;&lt;key app="EN" db-id="xewae5f2a922a9ez0wq5rpp3afp5txdd2s92" timestamp="1670228915"&gt;5&lt;/key&gt;&lt;/foreign-keys&gt;&lt;ref-type name="Journal Article"&gt;17&lt;/ref-type&gt;&lt;contributors&gt;&lt;authors&gt;&lt;author&gt;Jia, Z.&lt;/author&gt;&lt;author&gt;Chen, X.&lt;/author&gt;&lt;author&gt;Sun, P.&lt;/author&gt;&lt;author&gt;Liu, M.&lt;/author&gt;&lt;author&gt;Li, X.&lt;/author&gt;&lt;/authors&gt;&lt;/contributors&gt;&lt;auth-address&gt;Tangshan Gongren Hospital Anesthesiology Department, China.&amp;#xD;Tangshan Gongren Hospital Cardiac Surgery Department, China.&lt;/auth-address&gt;&lt;titles&gt;&lt;title&gt;The Protective Mechanism of Dexmedetomidine on Renal in Hemorrhagic Shock&lt;/title&gt;&lt;secondary-title&gt;Comput Math Methods Med&lt;/secondary-title&gt;&lt;/titles&gt;&lt;periodical&gt;&lt;full-title&gt;Comput Math Methods Med&lt;/full-title&gt;&lt;/periodical&gt;&lt;pages&gt;6394544&lt;/pages&gt;&lt;volume&gt;2022&lt;/volume&gt;&lt;edition&gt;2022/02/22&lt;/edition&gt;&lt;keywords&gt;&lt;keyword&gt;Adolescent&lt;/keyword&gt;&lt;keyword&gt;Adrenergic alpha-2 Receptor Agonists/pharmacology&lt;/keyword&gt;&lt;keyword&gt;Adult&lt;/keyword&gt;&lt;keyword&gt;Computational Biology&lt;/keyword&gt;&lt;keyword&gt;Cytokines/blood&lt;/keyword&gt;&lt;keyword&gt;Dexmedetomidine/*pharmacology&lt;/keyword&gt;&lt;keyword&gt;Female&lt;/keyword&gt;&lt;keyword&gt;Humans&lt;/keyword&gt;&lt;keyword&gt;Inflammation Mediators/blood&lt;/keyword&gt;&lt;keyword&gt;Kidney/*drug effects/physiopathology&lt;/keyword&gt;&lt;keyword&gt;Kidney Function Tests&lt;/keyword&gt;&lt;keyword&gt;Male&lt;/keyword&gt;&lt;keyword&gt;Oxidative Stress/drug effects&lt;/keyword&gt;&lt;keyword&gt;Protective Agents/pharmacology&lt;/keyword&gt;&lt;keyword&gt;Shock, Hemorrhagic/*drug therapy/physiopathology/surgery&lt;/keyword&gt;&lt;keyword&gt;Young Adult&lt;/keyword&gt;&lt;/keywords&gt;&lt;dates&gt;&lt;year&gt;2022&lt;/year&gt;&lt;/dates&gt;&lt;isbn&gt;1748-670X (Print)&amp;#xD;1748-670x&lt;/isbn&gt;&lt;accession-num&gt;35186114&lt;/accession-num&gt;&lt;urls&gt;&lt;/urls&gt;&lt;custom2&gt;PMC8856797&lt;/custom2&gt;&lt;electronic-resource-num&gt;10.1155/2022/6394544&lt;/electronic-resource-num&gt;&lt;remote-database-provider&gt;NLM&lt;/remote-database-provider&gt;&lt;language&gt;eng&lt;/language&gt;&lt;/record&gt;&lt;/Cite&gt;&lt;/EndNote&g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w:t>
      </w:r>
      <w:r>
        <w:rPr>
          <w:rFonts w:ascii="宋体" w:hAnsi="宋体" w:cs="宋体" w:hint="eastAsia"/>
          <w:sz w:val="24"/>
          <w:szCs w:val="24"/>
          <w:vertAlign w:val="superscript"/>
        </w:rPr>
        <w:fldChar w:fldCharType="end"/>
      </w:r>
      <w:r>
        <w:rPr>
          <w:rFonts w:ascii="宋体" w:hAnsi="宋体" w:cs="宋体" w:hint="eastAsia"/>
          <w:sz w:val="24"/>
          <w:szCs w:val="24"/>
        </w:rPr>
        <w:t>。研究发现，免疫功能紊乱是导致失血性休克进展为脓毒症休克、多器官功能障碍（</w:t>
      </w:r>
      <w:r>
        <w:rPr>
          <w:sz w:val="24"/>
          <w:szCs w:val="24"/>
        </w:rPr>
        <w:t>multiple organ dysfunction syndrome, MODS</w:t>
      </w:r>
      <w:r>
        <w:rPr>
          <w:rFonts w:ascii="宋体" w:hAnsi="宋体" w:cs="宋体" w:hint="eastAsia"/>
          <w:sz w:val="24"/>
          <w:szCs w:val="24"/>
        </w:rPr>
        <w:t>）甚至发生死亡的重要原因。失血性休克时，组织灌流不足，细胞氧和障碍，可引起急性应激状态，全身炎症反应综合</w:t>
      </w:r>
      <w:r>
        <w:rPr>
          <w:rFonts w:ascii="宋体" w:hAnsi="宋体" w:cs="宋体" w:hint="eastAsia"/>
          <w:sz w:val="24"/>
          <w:szCs w:val="24"/>
          <w:lang w:val="en-US" w:eastAsia="zh-CN"/>
        </w:rPr>
        <w:t>征</w:t>
      </w:r>
      <w:r>
        <w:rPr>
          <w:rFonts w:ascii="宋体" w:hAnsi="宋体" w:cs="宋体" w:hint="eastAsia"/>
          <w:sz w:val="24"/>
          <w:szCs w:val="24"/>
        </w:rPr>
        <w:t>，进而引起免疫功能抑制，使机体抗感染能力降低</w:t>
      </w:r>
      <w:r>
        <w:rPr>
          <w:rFonts w:ascii="宋体" w:hAnsi="宋体" w:cs="宋体" w:hint="eastAsia"/>
          <w:sz w:val="24"/>
          <w:szCs w:val="24"/>
          <w:vertAlign w:val="superscript"/>
          <w:lang w:val="en-US" w:eastAsia="zh-CN"/>
        </w:rPr>
        <w:t>[2]</w:t>
      </w:r>
      <w:r>
        <w:rPr>
          <w:rFonts w:ascii="宋体" w:hAnsi="宋体" w:cs="宋体" w:hint="eastAsia"/>
          <w:sz w:val="24"/>
          <w:szCs w:val="24"/>
        </w:rPr>
        <w:t>。</w:t>
      </w:r>
      <w:r>
        <w:rPr>
          <w:rFonts w:ascii="宋体" w:hAnsi="宋体" w:cs="宋体" w:hint="eastAsia"/>
          <w:strike w:val="0"/>
          <w:sz w:val="24"/>
          <w:szCs w:val="24"/>
        </w:rPr>
        <w:t>失血性休克后肠道屏障功能损</w:t>
      </w:r>
      <w:r>
        <w:rPr>
          <w:rFonts w:ascii="宋体" w:hAnsi="宋体" w:cs="宋体" w:hint="eastAsia"/>
          <w:strike w:val="0"/>
          <w:sz w:val="24"/>
          <w:szCs w:val="24"/>
          <w:lang w:val="en-US" w:eastAsia="zh-CN"/>
        </w:rPr>
        <w:t>伤，淋巴液中的炎症介质和病原体通过淋巴回流进入血液循环，引发全身性炎症反应和多器官功能障碍。</w:t>
      </w:r>
      <w:r>
        <w:rPr>
          <w:rFonts w:ascii="宋体" w:hAnsi="宋体" w:cs="宋体" w:hint="eastAsia"/>
          <w:strike w:val="0"/>
          <w:sz w:val="24"/>
          <w:szCs w:val="24"/>
        </w:rPr>
        <w:t>肠淋巴液回流是导致机体</w:t>
      </w:r>
      <w:r>
        <w:rPr>
          <w:rFonts w:ascii="宋体" w:hAnsi="宋体" w:cs="宋体" w:hint="eastAsia"/>
          <w:strike w:val="0"/>
          <w:sz w:val="24"/>
          <w:szCs w:val="24"/>
          <w:lang w:val="en-US" w:eastAsia="zh-CN"/>
        </w:rPr>
        <w:t>全身炎症反应和</w:t>
      </w:r>
      <w:r>
        <w:rPr>
          <w:rFonts w:ascii="宋体" w:hAnsi="宋体" w:cs="宋体" w:hint="eastAsia"/>
          <w:strike w:val="0"/>
          <w:sz w:val="24"/>
          <w:szCs w:val="24"/>
        </w:rPr>
        <w:t>免疫功能障碍的关键因素</w:t>
      </w:r>
      <w:r>
        <w:rPr>
          <w:rFonts w:ascii="宋体" w:hAnsi="宋体" w:cs="宋体" w:hint="eastAsia"/>
          <w:strike w:val="0"/>
          <w:sz w:val="24"/>
          <w:szCs w:val="24"/>
          <w:vertAlign w:val="superscript"/>
        </w:rPr>
        <w:fldChar w:fldCharType="begin">
          <w:fldData xml:space="preserve">PEVuZE5vdGU+PENpdGU+PEF1dGhvcj5aaGFuZzwvQXV0aG9yPjxZZWFyPjIwMTk8L1llYXI+PFJl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</w:fldData>
        </w:fldChar>
      </w:r>
      <w:r>
        <w:rPr>
          <w:rFonts w:ascii="宋体" w:hAnsi="宋体" w:cs="宋体" w:hint="eastAsia"/>
          <w:strike w:val="0"/>
          <w:sz w:val="24"/>
          <w:szCs w:val="24"/>
          <w:vertAlign w:val="superscript"/>
        </w:rPr>
        <w:instrText xml:space="preserve"> ADDIN EN.CITE </w:instrText>
      </w:r>
      <w:r>
        <w:rPr>
          <w:rFonts w:ascii="宋体" w:hAnsi="宋体" w:cs="宋体" w:hint="eastAsia"/>
          <w:strike w:val="0"/>
          <w:sz w:val="24"/>
          <w:szCs w:val="24"/>
          <w:vertAlign w:val="superscript"/>
        </w:rPr>
        <w:fldChar w:fldCharType="begin">
          <w:fldData xml:space="preserve">PEVuZE5vdGU+PENpdGU+PEF1dGhvcj5aaGFuZzwvQXV0aG9yPjxZZWFyPjIwMTk8L1llYXI+PFJl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</w:fldData>
        </w:fldChar>
      </w:r>
      <w:r>
        <w:rPr>
          <w:rFonts w:ascii="宋体" w:hAnsi="宋体" w:cs="宋体" w:hint="eastAsia"/>
          <w:strike w:val="0"/>
          <w:sz w:val="24"/>
          <w:szCs w:val="24"/>
          <w:vertAlign w:val="superscript"/>
        </w:rPr>
        <w:instrText xml:space="preserve"> ADDIN EN.CITE.DATA </w:instrText>
      </w:r>
      <w:r>
        <w:rPr>
          <w:rFonts w:ascii="宋体" w:hAnsi="宋体" w:cs="宋体" w:hint="eastAsia"/>
          <w:strike w:val="0"/>
          <w:sz w:val="24"/>
          <w:szCs w:val="24"/>
          <w:vertAlign w:val="superscript"/>
        </w:rPr>
        <w:fldChar w:fldCharType="separate"/>
      </w:r>
      <w:r>
        <w:rPr>
          <w:rFonts w:ascii="宋体" w:hAnsi="宋体" w:cs="宋体" w:hint="eastAsia"/>
          <w:strike w:val="0"/>
          <w:sz w:val="24"/>
          <w:szCs w:val="24"/>
          <w:vertAlign w:val="superscript"/>
        </w:rPr>
        <w:fldChar w:fldCharType="end"/>
      </w:r>
      <w:r>
        <w:rPr>
          <w:rFonts w:ascii="宋体" w:hAnsi="宋体" w:cs="宋体" w:hint="eastAsia"/>
          <w:strike w:val="0"/>
          <w:sz w:val="24"/>
          <w:szCs w:val="24"/>
          <w:vertAlign w:val="superscript"/>
        </w:rPr>
        <w:fldChar w:fldCharType="separate"/>
      </w:r>
      <w:r>
        <w:rPr>
          <w:rFonts w:ascii="宋体" w:hAnsi="宋体" w:cs="宋体" w:hint="eastAsia"/>
          <w:strike w:val="0"/>
          <w:sz w:val="24"/>
          <w:szCs w:val="24"/>
          <w:vertAlign w:val="superscript"/>
        </w:rPr>
        <w:t>[</w:t>
      </w:r>
      <w:r>
        <w:rPr>
          <w:rFonts w:ascii="宋体" w:hAnsi="宋体" w:cs="宋体" w:hint="eastAsia"/>
          <w:strike w:val="0"/>
          <w:sz w:val="24"/>
          <w:szCs w:val="24"/>
          <w:vertAlign w:val="superscript"/>
          <w:lang w:val="en-US" w:eastAsia="zh-CN"/>
        </w:rPr>
        <w:t>3</w:t>
      </w:r>
      <w:r>
        <w:rPr>
          <w:rFonts w:ascii="宋体" w:hAnsi="宋体" w:cs="宋体" w:hint="eastAsia"/>
          <w:strike w:val="0"/>
          <w:sz w:val="24"/>
          <w:szCs w:val="24"/>
          <w:vertAlign w:val="superscript"/>
        </w:rPr>
        <w:t>]</w:t>
      </w:r>
      <w:r>
        <w:rPr>
          <w:rFonts w:ascii="宋体" w:hAnsi="宋体" w:cs="宋体" w:hint="eastAsia"/>
          <w:strike w:val="0"/>
          <w:sz w:val="24"/>
          <w:szCs w:val="24"/>
          <w:vertAlign w:val="superscript"/>
        </w:rPr>
        <w:fldChar w:fldCharType="end"/>
      </w:r>
      <w:r>
        <w:rPr>
          <w:rFonts w:ascii="宋体" w:hAnsi="宋体" w:cs="宋体" w:hint="eastAsia"/>
          <w:strike w:val="0"/>
          <w:sz w:val="24"/>
          <w:szCs w:val="24"/>
        </w:rPr>
        <w:t>。</w:t>
      </w:r>
      <w:r>
        <w:rPr>
          <w:rFonts w:ascii="宋体" w:hAnsi="宋体" w:cs="宋体" w:hint="eastAsia"/>
          <w:sz w:val="24"/>
          <w:szCs w:val="24"/>
        </w:rPr>
        <w:t>因此，免疫功能紊乱或免疫功能降低已成为决定失血性休克后全身炎症反应综合症发生、发展的关键因素。</w:t>
      </w:r>
    </w:p>
    <w:p w14:paraId="49C4532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b/>
          <w:bCs/>
          <w:sz w:val="24"/>
          <w:szCs w:val="24"/>
        </w:rPr>
      </w:pPr>
      <w:r>
        <w:rPr>
          <w:sz w:val="24"/>
          <w:szCs w:val="24"/>
        </w:rPr>
        <w:t>树突状细胞（Dendritic cell, DC）属于专职抗原提呈细胞，提呈功能最强大，因此在免疫应答的首要环节-抗原提呈中扮演着重要的角色。研究资料显示，失血性休克后，DC免疫功能障碍表现为共刺激分子、抗原提呈分子的表达降低和细胞因子IFN-</w:t>
      </w:r>
      <w:r>
        <w:rPr>
          <w:rFonts w:ascii="Symbol" w:hAnsi="Symbol"/>
          <w:sz w:val="24"/>
          <w:szCs w:val="24"/>
        </w:rPr>
        <w:sym w:font="Symbol" w:char="F067"/>
      </w:r>
      <w:r>
        <w:rPr>
          <w:sz w:val="24"/>
          <w:szCs w:val="24"/>
        </w:rPr>
        <w:t>、IL-12分泌减少，从而抑制T细胞介导的免疫应答</w:t>
      </w:r>
      <w:r>
        <w:rPr>
          <w:sz w:val="24"/>
          <w:szCs w:val="24"/>
          <w:vertAlign w:val="superscript"/>
        </w:rPr>
        <w:fldChar w:fldCharType="begin">
          <w:fldData xml:space="preserve">PEVuZE5vdGU+PENpdGU+PEF1dGhvcj5LYXdhc2FraTwvQXV0aG9yPjxZZWFyPjIwMDg8L1llYXI+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</w:fldData>
        </w:fldChar>
      </w:r>
      <w:r>
        <w:rPr>
          <w:sz w:val="24"/>
          <w:szCs w:val="24"/>
          <w:vertAlign w:val="superscript"/>
        </w:rPr>
        <w:instrText xml:space="preserve"> ADDIN EN.CITE </w:instrText>
      </w:r>
      <w:r>
        <w:rPr>
          <w:sz w:val="24"/>
          <w:szCs w:val="24"/>
          <w:vertAlign w:val="superscript"/>
        </w:rPr>
        <w:fldChar w:fldCharType="begin">
          <w:fldData xml:space="preserve">PEVuZE5vdGU+PENpdGU+PEF1dGhvcj5LYXdhc2FraTwvQXV0aG9yPjxZZWFyPjIwMDg8L1llYXI+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</w:fldData>
        </w:fldChar>
      </w:r>
      <w:r>
        <w:rPr>
          <w:sz w:val="24"/>
          <w:szCs w:val="24"/>
          <w:vertAlign w:val="superscript"/>
        </w:rPr>
        <w:instrText xml:space="preserve"> ADDIN EN.CITE.DATA </w:instrText>
      </w:r>
      <w:r>
        <w:rPr>
          <w:sz w:val="24"/>
          <w:szCs w:val="24"/>
          <w:vertAlign w:val="superscript"/>
        </w:rPr>
        <w:fldChar w:fldCharType="separate"/>
      </w:r>
      <w:r>
        <w:rPr>
          <w:sz w:val="24"/>
          <w:szCs w:val="24"/>
          <w:vertAlign w:val="superscript"/>
        </w:rPr>
        <w:fldChar w:fldCharType="end"/>
      </w:r>
      <w:r>
        <w:rPr>
          <w:sz w:val="24"/>
          <w:szCs w:val="24"/>
          <w:vertAlign w:val="superscript"/>
        </w:rPr>
        <w:fldChar w:fldCharType="separate"/>
      </w:r>
      <w:r>
        <w:rPr>
          <w:sz w:val="24"/>
          <w:szCs w:val="24"/>
          <w:vertAlign w:val="superscript"/>
        </w:rPr>
        <w:t>[</w:t>
      </w:r>
      <w:r>
        <w:rPr>
          <w:rFonts w:hint="eastAsia"/>
          <w:sz w:val="24"/>
          <w:szCs w:val="24"/>
          <w:vertAlign w:val="superscript"/>
          <w:lang w:val="en-US" w:eastAsia="zh-CN"/>
        </w:rPr>
        <w:t>4</w:t>
      </w:r>
      <w:r>
        <w:rPr>
          <w:sz w:val="24"/>
          <w:szCs w:val="24"/>
          <w:vertAlign w:val="superscript"/>
        </w:rPr>
        <w:t>]</w:t>
      </w:r>
      <w:r>
        <w:rPr>
          <w:sz w:val="24"/>
          <w:szCs w:val="24"/>
          <w:vertAlign w:val="superscript"/>
        </w:rPr>
        <w:fldChar w:fldCharType="end"/>
      </w:r>
      <w:r>
        <w:rPr>
          <w:sz w:val="24"/>
          <w:szCs w:val="24"/>
        </w:rPr>
        <w:t>。</w:t>
      </w:r>
      <w:r>
        <w:rPr>
          <w:rFonts w:hint="eastAsia"/>
          <w:sz w:val="24"/>
          <w:szCs w:val="24"/>
        </w:rPr>
        <w:t>前期研究发现</w:t>
      </w:r>
      <w:r>
        <w:rPr>
          <w:sz w:val="24"/>
          <w:szCs w:val="24"/>
        </w:rPr>
        <w:t>，体内、</w:t>
      </w:r>
      <w:r>
        <w:rPr>
          <w:rFonts w:hint="eastAsia"/>
          <w:sz w:val="24"/>
          <w:szCs w:val="24"/>
        </w:rPr>
        <w:t>体</w:t>
      </w:r>
      <w:r>
        <w:rPr>
          <w:sz w:val="24"/>
          <w:szCs w:val="24"/>
        </w:rPr>
        <w:t>外实验均证实休克后肠淋巴液（</w:t>
      </w:r>
      <w:r>
        <w:rPr>
          <w:rFonts w:hint="eastAsia"/>
          <w:sz w:val="24"/>
          <w:szCs w:val="24"/>
        </w:rPr>
        <w:t>post h</w:t>
      </w:r>
      <w:r>
        <w:rPr>
          <w:sz w:val="24"/>
          <w:szCs w:val="24"/>
        </w:rPr>
        <w:t xml:space="preserve">emorrhagic shock </w:t>
      </w:r>
      <w:r>
        <w:rPr>
          <w:rFonts w:hint="eastAsia"/>
          <w:sz w:val="24"/>
          <w:szCs w:val="24"/>
        </w:rPr>
        <w:t xml:space="preserve">mesenteric </w:t>
      </w:r>
      <w:r>
        <w:rPr>
          <w:sz w:val="24"/>
          <w:szCs w:val="24"/>
        </w:rPr>
        <w:t>lymph，PHSML）与DC细胞TNF-ɑ的分泌水平密切相关，提示休克肠淋巴液回流参与休克后DC功能低下介导的免疫功能障碍。目前对于失血性休克导致的机体免疫功能紊乱虽有所认识，但关于具体、有效的调控途径、关键的作用靶点、主要影响因素尚不明确。</w:t>
      </w:r>
      <w:r>
        <w:rPr>
          <w:b/>
          <w:bCs/>
          <w:sz w:val="24"/>
          <w:szCs w:val="24"/>
        </w:rPr>
        <w:t>鉴于此，对失血性休克后树突状细胞免疫功能障碍的发病机制及调控途径的深入研究，有利于探寻机体免疫的有效调控靶点和策略以恢复和改善失血性休克导致的免疫功能紊乱，为失血性休克患者的预防和治疗提供新策略。</w:t>
      </w:r>
    </w:p>
    <w:p w14:paraId="3A15E18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宋体" w:hAnsi="宋体" w:cs="宋体"/>
          <w:b/>
          <w:bCs/>
          <w:sz w:val="24"/>
          <w:szCs w:val="24"/>
        </w:rPr>
      </w:pPr>
      <w:r>
        <w:rPr>
          <w:rFonts w:ascii="Times New Roman Regular" w:hAnsi="Times New Roman Regular" w:cs="Times New Roman Regular" w:hint="eastAsia"/>
          <w:b/>
          <w:bCs/>
          <w:sz w:val="24"/>
          <w:szCs w:val="24"/>
        </w:rPr>
        <w:t>1.1</w:t>
      </w:r>
      <w:r>
        <w:rPr>
          <w:rFonts w:ascii="宋体" w:hAnsi="宋体" w:cs="宋体" w:hint="eastAsia"/>
          <w:b/>
          <w:bCs/>
          <w:sz w:val="24"/>
          <w:szCs w:val="24"/>
        </w:rPr>
        <w:t>失血性休克对树突状细胞免疫功能的影响</w:t>
      </w:r>
    </w:p>
    <w:p w14:paraId="747A959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color w:val="231F20"/>
          <w:sz w:val="24"/>
          <w:szCs w:val="24"/>
        </w:rPr>
      </w:pPr>
      <w:r>
        <w:rPr>
          <w:sz w:val="24"/>
          <w:szCs w:val="24"/>
        </w:rPr>
        <w:t>失血性休克后，在各种致病因素的作用下，炎症细胞被激活并产生、释放大量细胞因子和炎症介质，继而发生炎症级联效应，抑制免疫细胞功能；同时，由于肠屏障功能损伤、肠源性内毒素血症和肠道细菌移位，使休克恶化导致多器官损伤以及脓毒症的发生。研究证实，免疫功能紊乱在休克后器官损伤、脓毒症发生发展过程中具有重要作用</w:t>
      </w:r>
      <w:r>
        <w:rPr>
          <w:sz w:val="24"/>
          <w:szCs w:val="24"/>
          <w:vertAlign w:val="superscript"/>
        </w:rPr>
        <w:fldChar w:fldCharType="begin"/>
      </w:r>
      <w:r>
        <w:rPr>
          <w:sz w:val="24"/>
          <w:szCs w:val="24"/>
          <w:vertAlign w:val="superscript"/>
        </w:rPr>
        <w:instrText xml:space="preserve"> ADDIN EN.CITE &lt;EndNote&gt;&lt;Cite&gt;&lt;Author&gt;Kuo&lt;/Author&gt;&lt;Year&gt;2022&lt;/Year&gt;&lt;RecNum&gt;36&lt;/RecNum&gt;&lt;DisplayText&gt;&lt;style face="superscript"&gt;[10]&lt;/style&gt;&lt;/DisplayText&gt;&lt;record&gt;&lt;rec-number&gt;36&lt;/rec-number&gt;&lt;foreign-keys&gt;&lt;key app="EN" db-id="xewae5f2a922a9ez0wq5rpp3afp5txdd2s92" timestamp="1670244891"&gt;36&lt;/key&gt;&lt;/foreign-keys&gt;&lt;ref-type name="Journal Article"&gt;17&lt;/ref-type&gt;&lt;contributors&gt;&lt;authors&gt;&lt;author&gt;Kuo, K.&lt;/author&gt;&lt;author&gt;Palmer, L.&lt;/author&gt;&lt;/authors&gt;&lt;/contributors&gt;&lt;auth-address&gt;Wilford and Kate Bailey Small Animal Teaching Hospital, Auburn University, Auburn, Alabama, USA.&amp;#xD;Clinical Sciences, Auburn University, Auburn, Alabama, USA.&lt;/auth-address&gt;&lt;titles&gt;&lt;title&gt;Pathophysiology of hemorrhagic shock&lt;/title&gt;&lt;secondary-title&gt;J Vet Emerg Crit Care (San Antonio)&lt;/secondary-title&gt;&lt;/titles&gt;&lt;periodical&gt;&lt;full-title&gt;J Vet Emerg Crit Care (San Antonio)&lt;/full-title&gt;&lt;/periodical&gt;&lt;pages&gt;22-31&lt;/pages&gt;&lt;volume&gt;32&lt;/volume&gt;&lt;number&gt;S1&lt;/number&gt;&lt;edition&gt;2022/01/20&lt;/edition&gt;&lt;keywords&gt;&lt;keyword&gt;Animals&lt;/keyword&gt;&lt;keyword&gt;*Blood Coagulation Disorders/veterinary&lt;/keyword&gt;&lt;keyword&gt;Hemorrhage/veterinary&lt;/keyword&gt;&lt;keyword&gt;Hemostasis&lt;/keyword&gt;&lt;keyword&gt;Humans&lt;/keyword&gt;&lt;keyword&gt;Resuscitation/veterinary&lt;/keyword&gt;&lt;keyword&gt;*Shock, Hemorrhagic/therapy/veterinary&lt;/keyword&gt;&lt;keyword&gt;acute traumatic coagulopathy&lt;/keyword&gt;&lt;keyword&gt;oxygen consumption&lt;/keyword&gt;&lt;keyword&gt;oxygen delivery&lt;/keyword&gt;&lt;keyword&gt;trauma-induced coagulopathy&lt;/keyword&gt;&lt;/keywords&gt;&lt;dates&gt;&lt;year&gt;2022&lt;/year&gt;&lt;pub-dates&gt;&lt;date&gt;Jan&lt;/date&gt;&lt;/pub-dates&gt;&lt;/dates&gt;&lt;isbn&gt;1476-4431&lt;/isbn&gt;&lt;accession-num&gt;35044060&lt;/accession-num&gt;&lt;urls&gt;&lt;/urls&gt;&lt;electronic-resource-num&gt;10.1111/vec.13126&lt;/electronic-resource-num&gt;&lt;remote-database-provider&gt;NLM&lt;/remote-database-provider&gt;&lt;language&gt;eng&lt;/language&gt;&lt;/record&gt;&lt;/Cite&gt;&lt;/EndNote&gt;</w:instrText>
      </w:r>
      <w:r>
        <w:rPr>
          <w:sz w:val="24"/>
          <w:szCs w:val="24"/>
          <w:vertAlign w:val="superscript"/>
        </w:rPr>
        <w:fldChar w:fldCharType="separate"/>
      </w:r>
      <w:r>
        <w:rPr>
          <w:sz w:val="24"/>
          <w:szCs w:val="24"/>
          <w:vertAlign w:val="superscript"/>
        </w:rPr>
        <w:t>[</w:t>
      </w:r>
      <w:r>
        <w:rPr>
          <w:rFonts w:hint="eastAsia"/>
          <w:sz w:val="24"/>
          <w:szCs w:val="24"/>
          <w:vertAlign w:val="superscript"/>
          <w:lang w:val="en-US" w:eastAsia="zh-CN"/>
        </w:rPr>
        <w:t>5-6</w:t>
      </w:r>
      <w:r>
        <w:rPr>
          <w:sz w:val="24"/>
          <w:szCs w:val="24"/>
          <w:vertAlign w:val="superscript"/>
        </w:rPr>
        <w:t>]</w:t>
      </w:r>
      <w:r>
        <w:rPr>
          <w:sz w:val="24"/>
          <w:szCs w:val="24"/>
          <w:vertAlign w:val="superscript"/>
        </w:rPr>
        <w:fldChar w:fldCharType="end"/>
      </w:r>
      <w:r>
        <w:rPr>
          <w:sz w:val="24"/>
          <w:szCs w:val="24"/>
        </w:rPr>
        <w:t>。</w:t>
      </w:r>
      <w:r>
        <w:rPr>
          <w:strike w:val="0"/>
          <w:dstrike w:val="0"/>
          <w:sz w:val="24"/>
          <w:szCs w:val="24"/>
        </w:rPr>
        <w:t>休克肠淋巴液与多种炎症介质之间存在紧密联系，促进机体炎症反应，并且通过影响机体的免疫功能促进脓毒症发生。</w:t>
      </w:r>
      <w:r>
        <w:rPr>
          <w:sz w:val="24"/>
          <w:szCs w:val="24"/>
        </w:rPr>
        <w:t>前期研究表明，失血性休克可导致脾损伤，脾淋巴细胞数量减少，从而增加了失血性休克后免疫抑制及随后发生脓毒血症的易感性</w:t>
      </w:r>
      <w:r>
        <w:rPr>
          <w:color w:val="000000"/>
          <w:sz w:val="24"/>
          <w:szCs w:val="24"/>
        </w:rPr>
        <w:fldChar w:fldCharType="begin"/>
      </w:r>
      <w:r>
        <w:rPr>
          <w:color w:val="000000"/>
          <w:sz w:val="24"/>
          <w:szCs w:val="24"/>
        </w:rPr>
        <w:instrText xml:space="preserve"> ADDIN EN.CITE </w:instrText>
      </w:r>
      <w:r>
        <w:rPr>
          <w:color w:val="000000"/>
          <w:sz w:val="24"/>
          <w:szCs w:val="24"/>
        </w:rPr>
        <w:fldChar w:fldCharType="begin"/>
      </w:r>
      <w:r>
        <w:rPr>
          <w:color w:val="000000"/>
          <w:sz w:val="24"/>
          <w:szCs w:val="24"/>
        </w:rPr>
        <w:instrText xml:space="preserve"> ADDIN EN.CITE.DATA </w:instrText>
      </w:r>
      <w:r>
        <w:rPr>
          <w:color w:val="000000"/>
          <w:sz w:val="24"/>
          <w:szCs w:val="24"/>
        </w:rPr>
        <w:fldChar w:fldCharType="separate"/>
      </w:r>
      <w:r>
        <w:rPr>
          <w:color w:val="000000"/>
          <w:sz w:val="24"/>
          <w:szCs w:val="24"/>
        </w:rPr>
        <w:fldChar w:fldCharType="end"/>
      </w:r>
      <w:r>
        <w:rPr>
          <w:color w:val="000000"/>
          <w:sz w:val="24"/>
          <w:szCs w:val="24"/>
        </w:rPr>
        <w:fldChar w:fldCharType="separate"/>
      </w:r>
      <w:r>
        <w:rPr>
          <w:color w:val="000000"/>
          <w:sz w:val="24"/>
          <w:szCs w:val="24"/>
          <w:vertAlign w:val="superscript"/>
        </w:rPr>
        <w:t>[</w:t>
      </w:r>
      <w:r>
        <w:rPr>
          <w:rFonts w:hint="eastAsia"/>
          <w:color w:val="000000"/>
          <w:sz w:val="24"/>
          <w:szCs w:val="24"/>
          <w:vertAlign w:val="superscript"/>
          <w:lang w:val="en-US" w:eastAsia="zh-CN"/>
        </w:rPr>
        <w:t>7</w:t>
      </w:r>
      <w:r>
        <w:rPr>
          <w:color w:val="000000"/>
          <w:sz w:val="24"/>
          <w:szCs w:val="24"/>
          <w:vertAlign w:val="superscript"/>
        </w:rPr>
        <w:t>]</w:t>
      </w:r>
      <w:r>
        <w:rPr>
          <w:color w:val="000000"/>
          <w:sz w:val="24"/>
          <w:szCs w:val="24"/>
        </w:rPr>
        <w:fldChar w:fldCharType="end"/>
      </w:r>
      <w:r>
        <w:rPr>
          <w:sz w:val="24"/>
          <w:szCs w:val="24"/>
        </w:rPr>
        <w:t>。失血性休克小鼠行肠淋巴液引流减少肠淋巴液回流后，减轻了休克小鼠脾脏的损伤程度，恢复抗炎/促炎的平衡，有利于机体免疫功能平衡</w:t>
      </w:r>
      <w:r>
        <w:rPr>
          <w:sz w:val="24"/>
          <w:szCs w:val="24"/>
          <w:vertAlign w:val="superscript"/>
        </w:rPr>
        <w:fldChar w:fldCharType="begin">
          <w:fldData xml:space="preserve">PEVuZE5vdGU+PENpdGU+PEF1dGhvcj5MaTwvQXV0aG9yPjxZZWFyPjIwMjE8L1llYXI+PFJlY051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</w:fldData>
        </w:fldChar>
      </w:r>
      <w:r>
        <w:rPr>
          <w:sz w:val="24"/>
          <w:szCs w:val="24"/>
          <w:vertAlign w:val="superscript"/>
        </w:rPr>
        <w:instrText xml:space="preserve"> ADDIN EN.CITE </w:instrText>
      </w:r>
      <w:r>
        <w:rPr>
          <w:sz w:val="24"/>
          <w:szCs w:val="24"/>
          <w:vertAlign w:val="superscript"/>
        </w:rPr>
        <w:fldChar w:fldCharType="begin">
          <w:fldData xml:space="preserve">PEVuZE5vdGU+PENpdGU+PEF1dGhvcj5MaTwvQXV0aG9yPjxZZWFyPjIwMjE8L1llYXI+PFJlY051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</w:fldData>
        </w:fldChar>
      </w:r>
      <w:r>
        <w:rPr>
          <w:sz w:val="24"/>
          <w:szCs w:val="24"/>
          <w:vertAlign w:val="superscript"/>
        </w:rPr>
        <w:instrText xml:space="preserve"> ADDIN EN.CITE.DATA </w:instrText>
      </w:r>
      <w:r>
        <w:rPr>
          <w:sz w:val="24"/>
          <w:szCs w:val="24"/>
          <w:vertAlign w:val="superscript"/>
        </w:rPr>
        <w:fldChar w:fldCharType="separate"/>
      </w:r>
      <w:r>
        <w:rPr>
          <w:sz w:val="24"/>
          <w:szCs w:val="24"/>
          <w:vertAlign w:val="superscript"/>
        </w:rPr>
        <w:fldChar w:fldCharType="end"/>
      </w:r>
      <w:r>
        <w:rPr>
          <w:sz w:val="24"/>
          <w:szCs w:val="24"/>
          <w:vertAlign w:val="superscript"/>
        </w:rPr>
        <w:fldChar w:fldCharType="separate"/>
      </w:r>
      <w:r>
        <w:rPr>
          <w:sz w:val="24"/>
          <w:szCs w:val="24"/>
          <w:vertAlign w:val="superscript"/>
        </w:rPr>
        <w:t>[</w:t>
      </w:r>
      <w:r>
        <w:rPr>
          <w:rFonts w:hint="eastAsia"/>
          <w:sz w:val="24"/>
          <w:szCs w:val="24"/>
          <w:vertAlign w:val="superscript"/>
          <w:lang w:val="en-US" w:eastAsia="zh-CN"/>
        </w:rPr>
        <w:t>8</w:t>
      </w:r>
      <w:r>
        <w:rPr>
          <w:sz w:val="24"/>
          <w:szCs w:val="24"/>
          <w:vertAlign w:val="superscript"/>
        </w:rPr>
        <w:t>]</w:t>
      </w:r>
      <w:r>
        <w:rPr>
          <w:sz w:val="24"/>
          <w:szCs w:val="24"/>
          <w:vertAlign w:val="superscript"/>
        </w:rPr>
        <w:fldChar w:fldCharType="end"/>
      </w:r>
      <w:r>
        <w:rPr>
          <w:sz w:val="24"/>
          <w:szCs w:val="24"/>
        </w:rPr>
        <w:t>。</w:t>
      </w:r>
      <w:r>
        <w:rPr>
          <w:color w:val="231F20"/>
          <w:sz w:val="24"/>
          <w:szCs w:val="24"/>
        </w:rPr>
        <w:t>失血性休克后，PHSML引流可以显著改善免疫细胞的功能，提示PHSML在失血性休克诱导的免疫功能障碍的发病机制中起着重要作用</w:t>
      </w:r>
      <w:r>
        <w:rPr>
          <w:color w:val="231F20"/>
          <w:sz w:val="24"/>
          <w:szCs w:val="24"/>
        </w:rPr>
        <w:fldChar w:fldCharType="begin"/>
      </w:r>
      <w:r>
        <w:rPr>
          <w:color w:val="231F20"/>
          <w:sz w:val="24"/>
          <w:szCs w:val="24"/>
        </w:rPr>
        <w:instrText xml:space="preserve"> ADDIN EN.CITE </w:instrText>
      </w:r>
      <w:r>
        <w:rPr>
          <w:color w:val="231F20"/>
          <w:sz w:val="24"/>
          <w:szCs w:val="24"/>
        </w:rPr>
        <w:fldChar w:fldCharType="begin"/>
      </w:r>
      <w:r>
        <w:rPr>
          <w:color w:val="231F20"/>
          <w:sz w:val="24"/>
          <w:szCs w:val="24"/>
        </w:rPr>
        <w:instrText xml:space="preserve"> ADDIN EN.CITE.DATA </w:instrText>
      </w:r>
      <w:r>
        <w:rPr>
          <w:color w:val="231F20"/>
          <w:sz w:val="24"/>
          <w:szCs w:val="24"/>
        </w:rPr>
        <w:fldChar w:fldCharType="separate"/>
      </w:r>
      <w:r>
        <w:rPr>
          <w:color w:val="231F20"/>
          <w:sz w:val="24"/>
          <w:szCs w:val="24"/>
        </w:rPr>
        <w:fldChar w:fldCharType="end"/>
      </w:r>
      <w:r>
        <w:rPr>
          <w:color w:val="231F20"/>
          <w:sz w:val="24"/>
          <w:szCs w:val="24"/>
        </w:rPr>
        <w:fldChar w:fldCharType="separate"/>
      </w:r>
      <w:r>
        <w:rPr>
          <w:color w:val="231F20"/>
          <w:sz w:val="24"/>
          <w:szCs w:val="24"/>
          <w:vertAlign w:val="superscript"/>
        </w:rPr>
        <w:t>[</w:t>
      </w:r>
      <w:r>
        <w:rPr>
          <w:color w:val="231F20"/>
          <w:sz w:val="24"/>
          <w:szCs w:val="24"/>
        </w:rPr>
        <w:fldChar w:fldCharType="end"/>
      </w:r>
      <w:r>
        <w:rPr>
          <w:rFonts w:hint="eastAsia"/>
          <w:color w:val="231F20"/>
          <w:sz w:val="24"/>
          <w:szCs w:val="24"/>
          <w:vertAlign w:val="superscript"/>
        </w:rPr>
        <w:t>7</w:t>
      </w:r>
      <w:r>
        <w:rPr>
          <w:color w:val="231F20"/>
          <w:sz w:val="24"/>
          <w:szCs w:val="24"/>
          <w:vertAlign w:val="superscript"/>
        </w:rPr>
        <w:t>]</w:t>
      </w:r>
      <w:r>
        <w:rPr>
          <w:color w:val="231F20"/>
          <w:sz w:val="24"/>
          <w:szCs w:val="24"/>
        </w:rPr>
        <w:t>。</w:t>
      </w:r>
    </w:p>
    <w:p w14:paraId="617C9BBB">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b/>
          <w:bCs/>
          <w:color w:val="231F20"/>
          <w:sz w:val="24"/>
          <w:szCs w:val="24"/>
        </w:rPr>
      </w:pPr>
      <w:r>
        <w:rPr>
          <w:rFonts w:ascii="宋体" w:hAnsi="宋体" w:hint="eastAsia"/>
          <w:sz w:val="24"/>
          <w:szCs w:val="24"/>
        </w:rPr>
        <w:t>树突状细胞是机体功能最强的抗原呈递细胞</w:t>
      </w:r>
      <w:r>
        <w:rPr>
          <w:rFonts w:ascii="宋体" w:hAnsi="宋体"/>
          <w:sz w:val="24"/>
          <w:szCs w:val="24"/>
        </w:rPr>
        <w:t>，</w:t>
      </w:r>
      <w:r>
        <w:rPr>
          <w:rFonts w:ascii="宋体" w:hAnsi="宋体" w:hint="eastAsia"/>
          <w:sz w:val="24"/>
          <w:szCs w:val="24"/>
        </w:rPr>
        <w:t>是连接固有免疫和适应性免疫的“桥梁”</w:t>
      </w:r>
      <w:r>
        <w:rPr>
          <w:rFonts w:ascii="宋体" w:hAnsi="宋体"/>
          <w:sz w:val="24"/>
          <w:szCs w:val="24"/>
        </w:rPr>
        <w:t>，</w:t>
      </w:r>
      <w:r>
        <w:rPr>
          <w:rFonts w:ascii="宋体" w:hAnsi="宋体" w:hint="eastAsia"/>
          <w:sz w:val="24"/>
          <w:szCs w:val="24"/>
        </w:rPr>
        <w:t>亦是失血性休克后最常受累的免疫细胞之一</w:t>
      </w:r>
      <w:r>
        <w:rPr>
          <w:rFonts w:ascii="宋体" w:hAnsi="宋体"/>
          <w:sz w:val="24"/>
          <w:szCs w:val="24"/>
        </w:rPr>
        <w:t>，参与了失血性休克诱导的细胞免疫功能障碍的过程。</w:t>
      </w:r>
      <w:r>
        <w:rPr>
          <w:sz w:val="24"/>
          <w:szCs w:val="24"/>
        </w:rPr>
        <w:t>研究</w:t>
      </w:r>
      <w:r>
        <w:rPr>
          <w:rFonts w:hint="eastAsia"/>
          <w:sz w:val="24"/>
          <w:szCs w:val="24"/>
        </w:rPr>
        <w:t>显示</w:t>
      </w:r>
      <w:r>
        <w:rPr>
          <w:sz w:val="24"/>
          <w:szCs w:val="24"/>
        </w:rPr>
        <w:t>，失血性休克后，小鼠脾脏DC数量减少</w:t>
      </w:r>
      <w:r>
        <w:rPr>
          <w:rFonts w:hint="eastAsia"/>
          <w:sz w:val="24"/>
          <w:szCs w:val="24"/>
        </w:rPr>
        <w:t>，</w:t>
      </w:r>
      <w:r>
        <w:rPr>
          <w:sz w:val="24"/>
          <w:szCs w:val="24"/>
        </w:rPr>
        <w:t>DC细胞共刺激分子、MHC-II分子表达降低、相关细胞因子的产生下降、抗原呈递能力减弱，提示机体防御功能受损可能是由于细胞介导的免疫反应缺陷和固有免疫系统清除病原体能力受损所致</w:t>
      </w:r>
      <w:r>
        <w:rPr>
          <w:sz w:val="24"/>
          <w:szCs w:val="24"/>
        </w:rPr>
        <w:fldChar w:fldCharType="begin"/>
      </w:r>
      <w:r>
        <w:rPr>
          <w:sz w:val="24"/>
          <w:szCs w:val="24"/>
        </w:rPr>
        <w:instrText xml:space="preserve"> ADDIN EN.CITE </w:instrText>
      </w:r>
      <w:r>
        <w:rPr>
          <w:sz w:val="24"/>
          <w:szCs w:val="24"/>
        </w:rPr>
        <w:fldChar w:fldCharType="begin"/>
      </w:r>
      <w:r>
        <w:rPr>
          <w:sz w:val="24"/>
          <w:szCs w:val="24"/>
        </w:rPr>
        <w:instrText xml:space="preserve"> ADDIN EN.CITE.DATA </w:instrText>
      </w:r>
      <w:r>
        <w:rPr>
          <w:sz w:val="24"/>
          <w:szCs w:val="24"/>
        </w:rPr>
        <w:fldChar w:fldCharType="separate"/>
      </w:r>
      <w:r>
        <w:rPr>
          <w:sz w:val="24"/>
          <w:szCs w:val="24"/>
        </w:rPr>
        <w:fldChar w:fldCharType="end"/>
      </w:r>
      <w:r>
        <w:rPr>
          <w:sz w:val="24"/>
          <w:szCs w:val="24"/>
        </w:rPr>
        <w:fldChar w:fldCharType="separate"/>
      </w:r>
      <w:r>
        <w:rPr>
          <w:sz w:val="24"/>
          <w:szCs w:val="24"/>
          <w:vertAlign w:val="superscript"/>
        </w:rPr>
        <w:t>[</w:t>
      </w:r>
      <w:r>
        <w:rPr>
          <w:rFonts w:hint="eastAsia"/>
          <w:sz w:val="24"/>
          <w:szCs w:val="24"/>
          <w:vertAlign w:val="superscript"/>
          <w:lang w:val="en-US" w:eastAsia="zh-CN"/>
        </w:rPr>
        <w:t>9</w:t>
      </w:r>
      <w:r>
        <w:rPr>
          <w:sz w:val="24"/>
          <w:szCs w:val="24"/>
          <w:vertAlign w:val="superscript"/>
        </w:rPr>
        <w:t>]</w:t>
      </w:r>
      <w:r>
        <w:rPr>
          <w:sz w:val="24"/>
          <w:szCs w:val="24"/>
        </w:rPr>
        <w:fldChar w:fldCharType="end"/>
      </w:r>
      <w:r>
        <w:rPr>
          <w:sz w:val="24"/>
          <w:szCs w:val="24"/>
        </w:rPr>
        <w:t>。</w:t>
      </w:r>
      <w:r>
        <w:rPr>
          <w:rFonts w:hint="eastAsia"/>
          <w:sz w:val="24"/>
          <w:szCs w:val="24"/>
        </w:rPr>
        <w:t>我室研究结果显示，失血性休克后DC或休克肠淋巴液孵育过的DC细胞在LPS刺激后，DC表面的CD80、CD86、MHC-II分子表达明显降低，其分泌产生的细胞因子TNF-</w:t>
      </w:r>
      <w:r>
        <w:rPr>
          <w:sz w:val="24"/>
          <w:szCs w:val="24"/>
        </w:rPr>
        <w:t>α</w:t>
      </w:r>
      <w:r>
        <w:rPr>
          <w:rFonts w:hint="eastAsia"/>
          <w:sz w:val="24"/>
          <w:szCs w:val="24"/>
        </w:rPr>
        <w:t>、IL-10明显升高，而IL-12的分泌水平降低，提示失血性休克后肠淋巴液的回流参与树突状细胞免疫功能的降低和成熟障碍</w:t>
      </w:r>
      <w:r>
        <w:rPr>
          <w:color w:val="231F20"/>
          <w:sz w:val="24"/>
          <w:szCs w:val="24"/>
        </w:rPr>
        <w:fldChar w:fldCharType="begin"/>
      </w:r>
      <w:r>
        <w:rPr>
          <w:color w:val="231F20"/>
          <w:sz w:val="24"/>
          <w:szCs w:val="24"/>
        </w:rPr>
        <w:instrText xml:space="preserve"> ADDIN EN.CITE </w:instrText>
      </w:r>
      <w:r>
        <w:rPr>
          <w:color w:val="231F20"/>
          <w:sz w:val="24"/>
          <w:szCs w:val="24"/>
        </w:rPr>
        <w:fldChar w:fldCharType="begin"/>
      </w:r>
      <w:r>
        <w:rPr>
          <w:color w:val="231F20"/>
          <w:sz w:val="24"/>
          <w:szCs w:val="24"/>
        </w:rPr>
        <w:instrText xml:space="preserve"> ADDIN EN.CITE.DATA </w:instrText>
      </w:r>
      <w:r>
        <w:rPr>
          <w:color w:val="231F20"/>
          <w:sz w:val="24"/>
          <w:szCs w:val="24"/>
        </w:rPr>
        <w:fldChar w:fldCharType="separate"/>
      </w:r>
      <w:r>
        <w:rPr>
          <w:color w:val="231F20"/>
          <w:sz w:val="24"/>
          <w:szCs w:val="24"/>
        </w:rPr>
        <w:fldChar w:fldCharType="end"/>
      </w:r>
      <w:r>
        <w:rPr>
          <w:color w:val="231F20"/>
          <w:sz w:val="24"/>
          <w:szCs w:val="24"/>
        </w:rPr>
        <w:fldChar w:fldCharType="separate"/>
      </w:r>
      <w:r>
        <w:rPr>
          <w:color w:val="231F20"/>
          <w:sz w:val="24"/>
          <w:szCs w:val="24"/>
          <w:vertAlign w:val="superscript"/>
        </w:rPr>
        <w:t>[</w:t>
      </w:r>
      <w:r>
        <w:rPr>
          <w:rFonts w:hint="eastAsia"/>
          <w:color w:val="231F20"/>
          <w:sz w:val="24"/>
          <w:szCs w:val="24"/>
          <w:vertAlign w:val="superscript"/>
          <w:lang w:val="en-US" w:eastAsia="zh-CN"/>
        </w:rPr>
        <w:t>8</w:t>
      </w:r>
      <w:r>
        <w:rPr>
          <w:color w:val="231F20"/>
          <w:sz w:val="24"/>
          <w:szCs w:val="24"/>
          <w:vertAlign w:val="superscript"/>
        </w:rPr>
        <w:t>]</w:t>
      </w:r>
      <w:r>
        <w:rPr>
          <w:color w:val="231F20"/>
          <w:sz w:val="24"/>
          <w:szCs w:val="24"/>
        </w:rPr>
        <w:fldChar w:fldCharType="end"/>
      </w:r>
      <w:r>
        <w:rPr>
          <w:color w:val="231F20"/>
          <w:sz w:val="24"/>
          <w:szCs w:val="24"/>
        </w:rPr>
        <w:t>。前期研究</w:t>
      </w:r>
      <w:r>
        <w:rPr>
          <w:rFonts w:hint="eastAsia"/>
          <w:color w:val="231F20"/>
          <w:sz w:val="24"/>
          <w:szCs w:val="24"/>
        </w:rPr>
        <w:t>发现</w:t>
      </w:r>
      <w:r>
        <w:rPr>
          <w:color w:val="231F20"/>
          <w:sz w:val="24"/>
          <w:szCs w:val="24"/>
        </w:rPr>
        <w:t>，</w:t>
      </w:r>
      <w:r>
        <w:rPr>
          <w:rFonts w:hint="eastAsia"/>
          <w:color w:val="231F20"/>
          <w:sz w:val="24"/>
          <w:szCs w:val="24"/>
        </w:rPr>
        <w:t>失血性休克后树突状细胞数量降低、免疫功能障碍，PHSML刺激DC细胞亦</w:t>
      </w:r>
      <w:r>
        <w:rPr>
          <w:color w:val="231F20"/>
          <w:sz w:val="24"/>
          <w:szCs w:val="24"/>
        </w:rPr>
        <w:t>可诱导树突状细胞免疫功能障碍，但其</w:t>
      </w:r>
      <w:r>
        <w:rPr>
          <w:rFonts w:hint="eastAsia"/>
          <w:color w:val="231F20"/>
          <w:sz w:val="24"/>
          <w:szCs w:val="24"/>
        </w:rPr>
        <w:t>具体的</w:t>
      </w:r>
      <w:r>
        <w:rPr>
          <w:color w:val="231F20"/>
          <w:sz w:val="24"/>
          <w:szCs w:val="24"/>
        </w:rPr>
        <w:t>作用机制尚不明确，</w:t>
      </w:r>
      <w:r>
        <w:rPr>
          <w:b/>
          <w:bCs/>
          <w:color w:val="231F20"/>
          <w:sz w:val="24"/>
          <w:szCs w:val="24"/>
        </w:rPr>
        <w:t>深入研究</w:t>
      </w:r>
      <w:r>
        <w:rPr>
          <w:rFonts w:hint="eastAsia"/>
          <w:b/>
          <w:bCs/>
          <w:color w:val="231F20"/>
          <w:sz w:val="24"/>
          <w:szCs w:val="24"/>
        </w:rPr>
        <w:t>失血性</w:t>
      </w:r>
      <w:r>
        <w:rPr>
          <w:b/>
          <w:bCs/>
          <w:color w:val="231F20"/>
          <w:sz w:val="24"/>
          <w:szCs w:val="24"/>
        </w:rPr>
        <w:t>休克诱导DC免疫功能障碍进而抑制细胞免疫功能的分子靶点和作用机制，有助于深入理解</w:t>
      </w:r>
      <w:r>
        <w:rPr>
          <w:rFonts w:hint="eastAsia"/>
          <w:b/>
          <w:bCs/>
          <w:color w:val="231F20"/>
          <w:sz w:val="24"/>
          <w:szCs w:val="24"/>
          <w:lang w:val="en-US" w:eastAsia="zh-CN"/>
        </w:rPr>
        <w:t>失血性</w:t>
      </w:r>
      <w:r>
        <w:rPr>
          <w:b/>
          <w:bCs/>
          <w:color w:val="231F20"/>
          <w:sz w:val="24"/>
          <w:szCs w:val="24"/>
        </w:rPr>
        <w:t>休克的免疫病理机制，成为防治失血性休克后免疫抑制的关键。</w:t>
      </w:r>
    </w:p>
    <w:p w14:paraId="4784D28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rPr>
      </w:pPr>
      <w:r>
        <w:rPr>
          <w:rFonts w:hint="eastAsia"/>
          <w:b/>
          <w:bCs/>
          <w:sz w:val="24"/>
          <w:szCs w:val="24"/>
        </w:rPr>
        <w:t>1.</w:t>
      </w:r>
      <w:r>
        <w:rPr>
          <w:rFonts w:hint="eastAsia"/>
          <w:b/>
          <w:bCs/>
          <w:sz w:val="24"/>
          <w:szCs w:val="24"/>
          <w:lang w:val="en-US" w:eastAsia="zh-CN"/>
        </w:rPr>
        <w:t>2</w:t>
      </w:r>
      <w:r>
        <w:rPr>
          <w:rFonts w:hint="eastAsia"/>
          <w:b/>
          <w:bCs/>
          <w:sz w:val="24"/>
          <w:szCs w:val="24"/>
        </w:rPr>
        <w:t xml:space="preserve"> TIPE2在树突状细胞功能调控中的重要作用   </w:t>
      </w:r>
    </w:p>
    <w:p w14:paraId="1BCB085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肿瘤坏死因子α诱导蛋白8样分子2 (Tumor necrosis factor alpha induced protein-8 like 2, TIPE2)是肿瘤坏死因子α诱导蛋白8 (Tumor necrosis factor alpha induced protein8, TNFAIP8)家族的成员，主要表达于胸腺、脾脏、淋巴结以及小肠粘膜等免疫器官或组织中；免疫细胞中呈显著表达，在巨噬细胞、T细胞和胸腺细胞及单核细胞中高表达，TIPE2在免疫系统中的显著表达阻止了体内高反应性，在抗炎和维持免疫自稳方面具有重要的调控作用</w:t>
      </w:r>
      <w:r>
        <w:rPr>
          <w:rFonts w:hint="eastAsia"/>
          <w:sz w:val="24"/>
          <w:szCs w:val="24"/>
          <w:vertAlign w:val="superscript"/>
        </w:rPr>
        <w:fldChar w:fldCharType="begin">
          <w:fldData xml:space="preserve">PEVuZE5vdGU+PENpdGU+PEF1dGhvcj5aaGFuZzwvQXV0aG9yPjxZZWFyPjIwMTg8L1llYXI+PFJl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</w:fldData>
        </w:fldChar>
      </w:r>
      <w:r>
        <w:rPr>
          <w:rFonts w:hint="eastAsia"/>
          <w:sz w:val="24"/>
          <w:szCs w:val="24"/>
          <w:vertAlign w:val="superscript"/>
        </w:rPr>
        <w:instrText xml:space="preserve"> ADDIN EN.CITE </w:instrText>
      </w:r>
      <w:r>
        <w:rPr>
          <w:rFonts w:hint="eastAsia"/>
          <w:sz w:val="24"/>
          <w:szCs w:val="24"/>
          <w:vertAlign w:val="superscript"/>
        </w:rPr>
        <w:fldChar w:fldCharType="begin">
          <w:fldData xml:space="preserve">PEVuZE5vdGU+PENpdGU+PEF1dGhvcj5aaGFuZzwvQXV0aG9yPjxZZWFyPjIwMTg8L1llYXI+PFJl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</w:fldData>
        </w:fldChar>
      </w:r>
      <w:r>
        <w:rPr>
          <w:rFonts w:hint="eastAsia"/>
          <w:sz w:val="24"/>
          <w:szCs w:val="24"/>
          <w:vertAlign w:val="superscript"/>
        </w:rPr>
        <w:instrText xml:space="preserve"> ADDIN EN.CITE.DATA </w:instrText>
      </w:r>
      <w:r>
        <w:rPr>
          <w:rFonts w:hint="eastAsia"/>
          <w:sz w:val="24"/>
          <w:szCs w:val="24"/>
          <w:vertAlign w:val="superscript"/>
        </w:rPr>
        <w:fldChar w:fldCharType="separate"/>
      </w:r>
      <w:r>
        <w:rPr>
          <w:rFonts w:hint="eastAsia"/>
          <w:sz w:val="24"/>
          <w:szCs w:val="24"/>
          <w:vertAlign w:val="superscript"/>
        </w:rPr>
        <w:fldChar w:fldCharType="end"/>
      </w:r>
      <w:r>
        <w:rPr>
          <w:rFonts w:hint="eastAsia"/>
          <w:sz w:val="24"/>
          <w:szCs w:val="24"/>
          <w:vertAlign w:val="superscript"/>
        </w:rPr>
        <w:fldChar w:fldCharType="separate"/>
      </w:r>
      <w:r>
        <w:rPr>
          <w:rFonts w:hint="eastAsia"/>
          <w:sz w:val="24"/>
          <w:szCs w:val="24"/>
          <w:vertAlign w:val="superscript"/>
        </w:rPr>
        <w:t>[</w:t>
      </w:r>
      <w:r>
        <w:rPr>
          <w:rFonts w:hint="eastAsia"/>
          <w:sz w:val="24"/>
          <w:szCs w:val="24"/>
          <w:vertAlign w:val="superscript"/>
          <w:lang w:val="en-US" w:eastAsia="zh-CN"/>
        </w:rPr>
        <w:t>10</w:t>
      </w:r>
      <w:r>
        <w:rPr>
          <w:rFonts w:hint="eastAsia"/>
          <w:sz w:val="24"/>
          <w:szCs w:val="24"/>
          <w:vertAlign w:val="superscript"/>
        </w:rPr>
        <w:t>]</w:t>
      </w:r>
      <w:r>
        <w:rPr>
          <w:rFonts w:hint="eastAsia"/>
          <w:sz w:val="24"/>
          <w:szCs w:val="24"/>
          <w:vertAlign w:val="superscript"/>
        </w:rPr>
        <w:fldChar w:fldCharType="end"/>
      </w:r>
      <w:r>
        <w:rPr>
          <w:rFonts w:hint="eastAsia"/>
          <w:sz w:val="24"/>
          <w:szCs w:val="24"/>
        </w:rPr>
        <w:t>。TIPE2缺陷小鼠可出现自发性多器官炎症、脾肿大，而且容易加剧脓毒症休克的发生</w:t>
      </w:r>
      <w:r>
        <w:rPr>
          <w:rFonts w:hint="eastAsia"/>
          <w:sz w:val="24"/>
          <w:szCs w:val="24"/>
          <w:vertAlign w:val="superscript"/>
        </w:rPr>
        <w:fldChar w:fldCharType="begin">
          <w:fldData xml:space="preserve">PEVuZE5vdGU+PENpdGU+PEF1dGhvcj5UaWFuPC9BdXRob3I+PFllYXI+MjAyMDwvWWVhcj48UmVj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</w:fldData>
        </w:fldChar>
      </w:r>
      <w:r>
        <w:rPr>
          <w:rFonts w:hint="eastAsia"/>
          <w:sz w:val="24"/>
          <w:szCs w:val="24"/>
          <w:vertAlign w:val="superscript"/>
        </w:rPr>
        <w:instrText xml:space="preserve"> ADDIN EN.CITE </w:instrText>
      </w:r>
      <w:r>
        <w:rPr>
          <w:rFonts w:hint="eastAsia"/>
          <w:sz w:val="24"/>
          <w:szCs w:val="24"/>
          <w:vertAlign w:val="superscript"/>
        </w:rPr>
        <w:fldChar w:fldCharType="begin">
          <w:fldData xml:space="preserve">PEVuZE5vdGU+PENpdGU+PEF1dGhvcj5UaWFuPC9BdXRob3I+PFllYXI+MjAyMDwvWWVhcj48UmVj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</w:fldData>
        </w:fldChar>
      </w:r>
      <w:r>
        <w:rPr>
          <w:rFonts w:hint="eastAsia"/>
          <w:sz w:val="24"/>
          <w:szCs w:val="24"/>
          <w:vertAlign w:val="superscript"/>
        </w:rPr>
        <w:instrText xml:space="preserve"> ADDIN EN.CITE.DATA </w:instrText>
      </w:r>
      <w:r>
        <w:rPr>
          <w:rFonts w:hint="eastAsia"/>
          <w:sz w:val="24"/>
          <w:szCs w:val="24"/>
          <w:vertAlign w:val="superscript"/>
        </w:rPr>
        <w:fldChar w:fldCharType="separate"/>
      </w:r>
      <w:r>
        <w:rPr>
          <w:rFonts w:hint="eastAsia"/>
          <w:sz w:val="24"/>
          <w:szCs w:val="24"/>
          <w:vertAlign w:val="superscript"/>
        </w:rPr>
        <w:fldChar w:fldCharType="end"/>
      </w:r>
      <w:r>
        <w:rPr>
          <w:rFonts w:hint="eastAsia"/>
          <w:sz w:val="24"/>
          <w:szCs w:val="24"/>
          <w:vertAlign w:val="superscript"/>
        </w:rPr>
        <w:fldChar w:fldCharType="separate"/>
      </w:r>
      <w:r>
        <w:rPr>
          <w:rFonts w:hint="eastAsia"/>
          <w:sz w:val="24"/>
          <w:szCs w:val="24"/>
          <w:vertAlign w:val="superscript"/>
        </w:rPr>
        <w:t>[</w:t>
      </w:r>
      <w:r>
        <w:rPr>
          <w:rFonts w:hint="eastAsia"/>
          <w:sz w:val="24"/>
          <w:szCs w:val="24"/>
          <w:vertAlign w:val="superscript"/>
          <w:lang w:val="en-US" w:eastAsia="zh-CN"/>
        </w:rPr>
        <w:t>11</w:t>
      </w:r>
      <w:r>
        <w:rPr>
          <w:rFonts w:hint="eastAsia"/>
          <w:sz w:val="24"/>
          <w:szCs w:val="24"/>
          <w:vertAlign w:val="superscript"/>
        </w:rPr>
        <w:t>]</w:t>
      </w:r>
      <w:r>
        <w:rPr>
          <w:rFonts w:hint="eastAsia"/>
          <w:sz w:val="24"/>
          <w:szCs w:val="24"/>
          <w:vertAlign w:val="superscript"/>
        </w:rPr>
        <w:fldChar w:fldCharType="end"/>
      </w:r>
      <w:r>
        <w:rPr>
          <w:rFonts w:hint="eastAsia"/>
          <w:sz w:val="24"/>
          <w:szCs w:val="24"/>
        </w:rPr>
        <w:t>。TIPE2缺陷的DC会导致Rac信号通路的过度激活，同时对Poly(I:C)(TLR3激动剂)刺激高度反应</w:t>
      </w:r>
      <w:r>
        <w:rPr>
          <w:rFonts w:hint="eastAsia"/>
          <w:sz w:val="24"/>
          <w:szCs w:val="24"/>
          <w:vertAlign w:val="superscript"/>
        </w:rPr>
        <w:fldChar w:fldCharType="begin">
          <w:fldData xml:space="preserve">PEVuZE5vdGU+PENpdGU+PEF1dGhvcj5TdW48L0F1dGhvcj48WWVhcj4yMDEyPC9ZZWFyPjxSZWNO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</w:fldData>
        </w:fldChar>
      </w:r>
      <w:r>
        <w:rPr>
          <w:rFonts w:hint="eastAsia"/>
          <w:sz w:val="24"/>
          <w:szCs w:val="24"/>
          <w:vertAlign w:val="superscript"/>
        </w:rPr>
        <w:instrText xml:space="preserve"> ADDIN EN.CITE </w:instrText>
      </w:r>
      <w:r>
        <w:rPr>
          <w:rFonts w:hint="eastAsia"/>
          <w:sz w:val="24"/>
          <w:szCs w:val="24"/>
          <w:vertAlign w:val="superscript"/>
        </w:rPr>
        <w:fldChar w:fldCharType="begin">
          <w:fldData xml:space="preserve">PEVuZE5vdGU+PENpdGU+PEF1dGhvcj5TdW48L0F1dGhvcj48WWVhcj4yMDEyPC9ZZWFyPjxSZWNO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</w:fldData>
        </w:fldChar>
      </w:r>
      <w:r>
        <w:rPr>
          <w:rFonts w:hint="eastAsia"/>
          <w:sz w:val="24"/>
          <w:szCs w:val="24"/>
          <w:vertAlign w:val="superscript"/>
        </w:rPr>
        <w:instrText xml:space="preserve"> ADDIN EN.CITE.DATA </w:instrText>
      </w:r>
      <w:r>
        <w:rPr>
          <w:rFonts w:hint="eastAsia"/>
          <w:sz w:val="24"/>
          <w:szCs w:val="24"/>
          <w:vertAlign w:val="superscript"/>
        </w:rPr>
        <w:fldChar w:fldCharType="separate"/>
      </w:r>
      <w:r>
        <w:rPr>
          <w:rFonts w:hint="eastAsia"/>
          <w:sz w:val="24"/>
          <w:szCs w:val="24"/>
          <w:vertAlign w:val="superscript"/>
        </w:rPr>
        <w:fldChar w:fldCharType="end"/>
      </w:r>
      <w:r>
        <w:rPr>
          <w:rFonts w:hint="eastAsia"/>
          <w:sz w:val="24"/>
          <w:szCs w:val="24"/>
          <w:vertAlign w:val="superscript"/>
        </w:rPr>
        <w:fldChar w:fldCharType="separate"/>
      </w:r>
      <w:r>
        <w:rPr>
          <w:rFonts w:hint="eastAsia"/>
          <w:sz w:val="24"/>
          <w:szCs w:val="24"/>
          <w:vertAlign w:val="superscript"/>
        </w:rPr>
        <w:t>[1</w:t>
      </w:r>
      <w:r>
        <w:rPr>
          <w:rFonts w:hint="eastAsia"/>
          <w:sz w:val="24"/>
          <w:szCs w:val="24"/>
          <w:vertAlign w:val="superscript"/>
          <w:lang w:val="en-US" w:eastAsia="zh-CN"/>
        </w:rPr>
        <w:t>2</w:t>
      </w:r>
      <w:r>
        <w:rPr>
          <w:rFonts w:hint="eastAsia"/>
          <w:sz w:val="24"/>
          <w:szCs w:val="24"/>
          <w:vertAlign w:val="superscript"/>
        </w:rPr>
        <w:t>]</w:t>
      </w:r>
      <w:r>
        <w:rPr>
          <w:rFonts w:hint="eastAsia"/>
          <w:sz w:val="24"/>
          <w:szCs w:val="24"/>
          <w:vertAlign w:val="superscript"/>
        </w:rPr>
        <w:fldChar w:fldCharType="end"/>
      </w:r>
      <w:r>
        <w:rPr>
          <w:rFonts w:hint="eastAsia"/>
          <w:sz w:val="24"/>
          <w:szCs w:val="24"/>
        </w:rPr>
        <w:t>。研究发现，TIPE2参与了DC细胞的成熟，沉默小鼠烫伤后DC细胞的TIPE2表达，CD80、CD86、MHC-II等共刺激分子的表达及IL-12、TNF-ɑ水平明显升高；如TIPE2过表达，则DC细胞上述分子的表达降低。TIPE2可能通过显著降低DC的抗原提呈功能，导致T细胞增殖和分化的能力下降，从而抑制T细胞介导的适应性免疫应答</w:t>
      </w:r>
      <w:r>
        <w:rPr>
          <w:rFonts w:hint="eastAsia"/>
          <w:sz w:val="24"/>
          <w:szCs w:val="24"/>
          <w:vertAlign w:val="superscript"/>
        </w:rPr>
        <w:fldChar w:fldCharType="begin">
          <w:fldData xml:space="preserve">PEVuZE5vdGU+PENpdGU+PEF1dGhvcj5MdWFuPC9BdXRob3I+PFllYXI+MjAxNjwvWWVhcj48UmVj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</w:fldData>
        </w:fldChar>
      </w:r>
      <w:r>
        <w:rPr>
          <w:rFonts w:hint="eastAsia"/>
          <w:sz w:val="24"/>
          <w:szCs w:val="24"/>
          <w:vertAlign w:val="superscript"/>
        </w:rPr>
        <w:instrText xml:space="preserve"> ADDIN EN.CITE </w:instrText>
      </w:r>
      <w:r>
        <w:rPr>
          <w:rFonts w:hint="eastAsia"/>
          <w:sz w:val="24"/>
          <w:szCs w:val="24"/>
          <w:vertAlign w:val="superscript"/>
        </w:rPr>
        <w:fldChar w:fldCharType="begin">
          <w:fldData xml:space="preserve">PEVuZE5vdGU+PENpdGU+PEF1dGhvcj5MdWFuPC9BdXRob3I+PFllYXI+MjAxNjwvWWVhcj48UmVj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</w:fldData>
        </w:fldChar>
      </w:r>
      <w:r>
        <w:rPr>
          <w:rFonts w:hint="eastAsia"/>
          <w:sz w:val="24"/>
          <w:szCs w:val="24"/>
          <w:vertAlign w:val="superscript"/>
        </w:rPr>
        <w:instrText xml:space="preserve"> ADDIN EN.CITE.DATA </w:instrText>
      </w:r>
      <w:r>
        <w:rPr>
          <w:rFonts w:hint="eastAsia"/>
          <w:sz w:val="24"/>
          <w:szCs w:val="24"/>
          <w:vertAlign w:val="superscript"/>
        </w:rPr>
        <w:fldChar w:fldCharType="separate"/>
      </w:r>
      <w:r>
        <w:rPr>
          <w:rFonts w:hint="eastAsia"/>
          <w:sz w:val="24"/>
          <w:szCs w:val="24"/>
          <w:vertAlign w:val="superscript"/>
        </w:rPr>
        <w:fldChar w:fldCharType="end"/>
      </w:r>
      <w:r>
        <w:rPr>
          <w:rFonts w:hint="eastAsia"/>
          <w:sz w:val="24"/>
          <w:szCs w:val="24"/>
          <w:vertAlign w:val="superscript"/>
        </w:rPr>
        <w:fldChar w:fldCharType="separate"/>
      </w:r>
      <w:r>
        <w:rPr>
          <w:rFonts w:hint="eastAsia"/>
          <w:sz w:val="24"/>
          <w:szCs w:val="24"/>
          <w:vertAlign w:val="superscript"/>
        </w:rPr>
        <w:t>[1</w:t>
      </w:r>
      <w:r>
        <w:rPr>
          <w:rFonts w:hint="eastAsia"/>
          <w:sz w:val="24"/>
          <w:szCs w:val="24"/>
          <w:vertAlign w:val="superscript"/>
          <w:lang w:val="en-US" w:eastAsia="zh-CN"/>
        </w:rPr>
        <w:t>3</w:t>
      </w:r>
      <w:r>
        <w:rPr>
          <w:rFonts w:hint="eastAsia"/>
          <w:sz w:val="24"/>
          <w:szCs w:val="24"/>
          <w:vertAlign w:val="superscript"/>
        </w:rPr>
        <w:t>]</w:t>
      </w:r>
      <w:r>
        <w:rPr>
          <w:rFonts w:hint="eastAsia"/>
          <w:sz w:val="24"/>
          <w:szCs w:val="24"/>
          <w:vertAlign w:val="superscript"/>
        </w:rPr>
        <w:fldChar w:fldCharType="end"/>
      </w:r>
      <w:r>
        <w:rPr>
          <w:rFonts w:hint="eastAsia"/>
          <w:sz w:val="24"/>
          <w:szCs w:val="24"/>
        </w:rPr>
        <w:t>。</w:t>
      </w:r>
    </w:p>
    <w:p w14:paraId="17D238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b/>
          <w:bCs/>
          <w:color w:val="231F20"/>
          <w:sz w:val="24"/>
          <w:szCs w:val="24"/>
        </w:rPr>
      </w:pPr>
      <w:r>
        <w:rPr>
          <w:rFonts w:hint="eastAsia"/>
          <w:sz w:val="24"/>
          <w:szCs w:val="24"/>
          <w:lang w:val="en-US" w:eastAsia="zh-CN"/>
        </w:rPr>
        <w:t>目前</w:t>
      </w:r>
      <w:r>
        <w:rPr>
          <w:rFonts w:hint="eastAsia"/>
          <w:sz w:val="24"/>
          <w:szCs w:val="24"/>
        </w:rPr>
        <w:t>研究表明，TIPE2作为维持免疫稳态的重要调控蛋白，通过TAK1-JNK通路抑制细胞自噬。研究发现，与体外LPS处理的野生型DC相比，TIPE2</w:t>
      </w:r>
      <w:r>
        <w:rPr>
          <w:rFonts w:hint="eastAsia"/>
          <w:sz w:val="24"/>
          <w:szCs w:val="24"/>
          <w:vertAlign w:val="superscript"/>
        </w:rPr>
        <w:t>-/-</w:t>
      </w:r>
      <w:r>
        <w:rPr>
          <w:rFonts w:hint="eastAsia"/>
          <w:sz w:val="24"/>
          <w:szCs w:val="24"/>
        </w:rPr>
        <w:t>DC的自噬活性明显增强，若在DC中过表达TIPE2分子，则TIPE2</w:t>
      </w:r>
      <w:r>
        <w:rPr>
          <w:rFonts w:hint="eastAsia"/>
          <w:sz w:val="24"/>
          <w:szCs w:val="24"/>
          <w:vertAlign w:val="superscript"/>
        </w:rPr>
        <w:t>+/+</w:t>
      </w:r>
      <w:r>
        <w:rPr>
          <w:rFonts w:hint="eastAsia"/>
          <w:sz w:val="24"/>
          <w:szCs w:val="24"/>
        </w:rPr>
        <w:t>DC的自噬水平显著减弱，提示TIPE2可以负向调控DC的自噬。研究表明，丝裂原活化蛋白激酶MAPK/JNK通路参与调节多种形式的自噬，TIPE2抑制LPS刺激TAK1-JNK轴的激活，而TAK1是JNK通路的上游激酶。LPS诱导的TAK1和JNK在TIPE2</w:t>
      </w:r>
      <w:r>
        <w:rPr>
          <w:rFonts w:hint="eastAsia"/>
          <w:sz w:val="24"/>
          <w:szCs w:val="24"/>
          <w:vertAlign w:val="superscript"/>
        </w:rPr>
        <w:t>+/+</w:t>
      </w:r>
      <w:r>
        <w:rPr>
          <w:rFonts w:hint="eastAsia"/>
          <w:sz w:val="24"/>
          <w:szCs w:val="24"/>
        </w:rPr>
        <w:t>DC中的磷酸化受到强烈抑制，而在TIPE2</w:t>
      </w:r>
      <w:r>
        <w:rPr>
          <w:rFonts w:hint="eastAsia"/>
          <w:sz w:val="24"/>
          <w:szCs w:val="24"/>
          <w:vertAlign w:val="superscript"/>
        </w:rPr>
        <w:t>-/-</w:t>
      </w:r>
      <w:r>
        <w:rPr>
          <w:rFonts w:hint="eastAsia"/>
          <w:sz w:val="24"/>
          <w:szCs w:val="24"/>
        </w:rPr>
        <w:t>DC中TAK1和JNK的磷酸化水平明显升高，这支持了TIPE2对TAK1-JNK信号通路具有抑制作用的结论</w:t>
      </w:r>
      <w:r>
        <w:rPr>
          <w:rFonts w:hint="eastAsia"/>
          <w:sz w:val="24"/>
          <w:szCs w:val="24"/>
          <w:vertAlign w:val="superscript"/>
        </w:rPr>
        <w:t>[</w:t>
      </w:r>
      <w:r>
        <w:rPr>
          <w:rFonts w:hint="eastAsia"/>
          <w:sz w:val="24"/>
          <w:szCs w:val="24"/>
          <w:vertAlign w:val="superscript"/>
          <w:lang w:val="en-US" w:eastAsia="zh-CN"/>
        </w:rPr>
        <w:t>14</w:t>
      </w:r>
      <w:r>
        <w:rPr>
          <w:rFonts w:hint="eastAsia"/>
          <w:sz w:val="24"/>
          <w:szCs w:val="24"/>
          <w:vertAlign w:val="superscript"/>
        </w:rPr>
        <w:t>]</w:t>
      </w:r>
      <w:r>
        <w:rPr>
          <w:rFonts w:hint="eastAsia"/>
          <w:sz w:val="24"/>
          <w:szCs w:val="24"/>
        </w:rPr>
        <w:t>。表明TAK1-JNK通路途径可能是LPS诱导DC自噬的关键调节因子，而TIPE2可能通过下调TAK1-JNK通路，成为DC自噬的有效阻断剂。TIPE2可能通过调节TAK1-JNK</w:t>
      </w:r>
      <w:r>
        <w:rPr>
          <w:rFonts w:hint="eastAsia"/>
          <w:sz w:val="24"/>
          <w:szCs w:val="24"/>
          <w:lang w:val="en-US" w:eastAsia="zh-CN"/>
        </w:rPr>
        <w:t>信号</w:t>
      </w:r>
      <w:r>
        <w:rPr>
          <w:rFonts w:hint="eastAsia"/>
          <w:sz w:val="24"/>
          <w:szCs w:val="24"/>
        </w:rPr>
        <w:t>通路，从而抑制细胞自噬，但TIPE2对内质网自噬的调控作用尚不明确。以上研究资料提示，TIPE2可通过调控DC的免疫功能进而影响CD4</w:t>
      </w:r>
      <w:r>
        <w:rPr>
          <w:rFonts w:hint="eastAsia"/>
          <w:sz w:val="24"/>
          <w:szCs w:val="24"/>
          <w:vertAlign w:val="superscript"/>
        </w:rPr>
        <w:t>+</w:t>
      </w:r>
      <w:r>
        <w:rPr>
          <w:rFonts w:hint="eastAsia"/>
          <w:sz w:val="24"/>
          <w:szCs w:val="24"/>
        </w:rPr>
        <w:t>T细胞介导的细胞免疫应答，</w:t>
      </w:r>
      <w:r>
        <w:rPr>
          <w:rFonts w:hint="eastAsia"/>
          <w:sz w:val="24"/>
          <w:szCs w:val="24"/>
          <w:lang w:val="en-US" w:eastAsia="zh-CN"/>
        </w:rPr>
        <w:t>在脓毒症后DC免疫功能抑制中</w:t>
      </w:r>
      <w:r>
        <w:rPr>
          <w:rFonts w:hint="eastAsia"/>
          <w:sz w:val="24"/>
          <w:szCs w:val="24"/>
        </w:rPr>
        <w:t>发挥</w:t>
      </w:r>
      <w:r>
        <w:rPr>
          <w:rFonts w:hint="eastAsia"/>
          <w:sz w:val="24"/>
          <w:szCs w:val="24"/>
          <w:lang w:val="en-US" w:eastAsia="zh-CN"/>
        </w:rPr>
        <w:t>着重要</w:t>
      </w:r>
      <w:r>
        <w:rPr>
          <w:rFonts w:hint="eastAsia"/>
          <w:sz w:val="24"/>
          <w:szCs w:val="24"/>
        </w:rPr>
        <w:t>作用。</w:t>
      </w:r>
      <w:r>
        <w:rPr>
          <w:rFonts w:hint="eastAsia"/>
          <w:b/>
          <w:bCs/>
          <w:sz w:val="24"/>
          <w:szCs w:val="24"/>
        </w:rPr>
        <w:t>因此，TIPE2表达对DC免疫功能及其诱导的细胞免疫应答具有关键性的调控作用。鉴于此，探讨TIPE2在失血性休克诱导DC免疫功能障碍中的调控作用至关重要。</w:t>
      </w:r>
    </w:p>
    <w:p w14:paraId="7862BA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Regular" w:hAnsi="Times New Roman Regular" w:cs="Times New Roman Regular"/>
          <w:sz w:val="24"/>
          <w:szCs w:val="24"/>
        </w:rPr>
      </w:pPr>
      <w:r>
        <w:rPr>
          <w:rFonts w:ascii="Times New Roman Regular" w:hAnsi="Times New Roman Regular" w:cs="Times New Roman Regular" w:hint="eastAsia"/>
          <w:b/>
          <w:bCs/>
          <w:sz w:val="24"/>
          <w:szCs w:val="24"/>
        </w:rPr>
        <w:t>1.</w:t>
      </w:r>
      <w:r>
        <w:rPr>
          <w:rFonts w:ascii="Times New Roman Regular" w:hAnsi="Times New Roman Regular" w:cs="Times New Roman Regular" w:hint="eastAsia"/>
          <w:b/>
          <w:bCs/>
          <w:sz w:val="24"/>
          <w:szCs w:val="24"/>
          <w:lang w:val="en-US" w:eastAsia="zh-CN"/>
        </w:rPr>
        <w:t>3</w:t>
      </w:r>
      <w:r>
        <w:rPr>
          <w:rFonts w:ascii="Times New Roman Regular" w:hAnsi="Times New Roman Regular" w:cs="Times New Roman Regular" w:hint="eastAsia"/>
          <w:b/>
          <w:bCs/>
          <w:sz w:val="24"/>
          <w:szCs w:val="24"/>
        </w:rPr>
        <w:t xml:space="preserve"> 内质网自噬在树突状细胞功能调控中的重要作用   </w:t>
      </w:r>
    </w:p>
    <w:p w14:paraId="666F72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内质网自噬（endoplasmic reticulum autophagy, ER-phagy)</w:t>
      </w:r>
      <w:r>
        <w:rPr>
          <w:sz w:val="24"/>
          <w:szCs w:val="24"/>
        </w:rPr>
        <w:t>作为一种选择性自噬，是</w:t>
      </w:r>
      <w:r>
        <w:rPr>
          <w:rFonts w:hint="eastAsia"/>
          <w:sz w:val="24"/>
          <w:szCs w:val="24"/>
        </w:rPr>
        <w:t>维持和调控</w:t>
      </w:r>
      <w:r>
        <w:rPr>
          <w:sz w:val="24"/>
          <w:szCs w:val="24"/>
        </w:rPr>
        <w:t>内质网质量控制</w:t>
      </w:r>
      <w:r>
        <w:rPr>
          <w:rFonts w:hint="eastAsia"/>
          <w:sz w:val="24"/>
          <w:szCs w:val="24"/>
        </w:rPr>
        <w:t>的重要</w:t>
      </w:r>
      <w:r>
        <w:rPr>
          <w:sz w:val="24"/>
          <w:szCs w:val="24"/>
        </w:rPr>
        <w:t>机制</w:t>
      </w:r>
      <w:r>
        <w:rPr>
          <w:rFonts w:hint="eastAsia"/>
          <w:sz w:val="24"/>
          <w:szCs w:val="24"/>
        </w:rPr>
        <w:t>之一</w:t>
      </w:r>
      <w:r>
        <w:rPr>
          <w:sz w:val="24"/>
          <w:szCs w:val="24"/>
        </w:rPr>
        <w:t>，</w:t>
      </w:r>
      <w:r>
        <w:rPr>
          <w:rFonts w:hint="eastAsia"/>
          <w:sz w:val="24"/>
          <w:szCs w:val="24"/>
        </w:rPr>
        <w:t>其</w:t>
      </w:r>
      <w:r>
        <w:rPr>
          <w:sz w:val="24"/>
          <w:szCs w:val="24"/>
        </w:rPr>
        <w:t>可以通过溶酶体降解不同的内质网成分以维持正常和应激条件下内质网的动态平衡</w:t>
      </w:r>
      <w:r>
        <w:rPr>
          <w:rFonts w:hint="eastAsia"/>
          <w:sz w:val="24"/>
          <w:szCs w:val="24"/>
        </w:rPr>
        <w:t>而维持细胞稳态</w:t>
      </w:r>
      <w:r>
        <w:rPr>
          <w:sz w:val="24"/>
          <w:szCs w:val="24"/>
          <w:vertAlign w:val="superscript"/>
        </w:rPr>
        <w:fldChar w:fldCharType="begin"/>
      </w:r>
      <w:r>
        <w:rPr>
          <w:sz w:val="24"/>
          <w:szCs w:val="24"/>
          <w:vertAlign w:val="superscript"/>
        </w:rPr>
        <w:instrText xml:space="preserve"> ADDIN EN.CITE &lt;EndNote&gt;&lt;Cite&gt;&lt;Author&gt;Gubas&lt;/Author&gt;&lt;Year&gt;2022&lt;/Year&gt;&lt;RecNum&gt;173&lt;/RecNum&gt;&lt;DisplayText&gt;&lt;style face="superscript"&gt;[2]&lt;/style&gt;&lt;/DisplayText&gt;&lt;record&gt;&lt;rec-number&gt;173&lt;/rec-number&gt;&lt;foreign-keys&gt;&lt;key app="EN" db-id="epa20vtdhsrr97ede0855z2xa59p02wp9pfr" timestamp="1706059939"&gt;173&lt;/key&gt;&lt;/foreign-keys&gt;&lt;ref-type name="Journal Article"&gt;17&lt;/ref-type&gt;&lt;contributors&gt;&lt;authors&gt;&lt;author&gt;Gubas, Andrea&lt;/author&gt;&lt;author&gt;Dikic, Ivan&lt;/author&gt;&lt;/authors&gt;&lt;/contributors&gt;&lt;titles&gt;&lt;title&gt;ER remodeling via ER-phagy&lt;/title&gt;&lt;secondary-title&gt;Molecular Cell&lt;/secondary-title&gt;&lt;/titles&gt;&lt;periodical&gt;&lt;full-title&gt;Molecular Cell&lt;/full-title&gt;&lt;/periodical&gt;&lt;pages&gt;1492-1500&lt;/pages&gt;&lt;volume&gt;82&lt;/volume&gt;&lt;number&gt;8&lt;/number&gt;&lt;section&gt;1492&lt;/section&gt;&lt;dates&gt;&lt;year&gt;2022&lt;/year&gt;&lt;/dates&gt;&lt;isbn&gt;10972765&lt;/isbn&gt;&lt;urls&gt;&lt;/urls&gt;&lt;electronic-resource-num&gt;10.1016/j.molcel.2022.02.018&lt;/electronic-resource-num&gt;&lt;/record&gt;&lt;/Cite&gt;&lt;/EndNote&gt;</w:instrText>
      </w:r>
      <w:r>
        <w:rPr>
          <w:sz w:val="24"/>
          <w:szCs w:val="24"/>
          <w:vertAlign w:val="superscript"/>
        </w:rPr>
        <w:fldChar w:fldCharType="separate"/>
      </w:r>
      <w:r>
        <w:rPr>
          <w:sz w:val="24"/>
          <w:szCs w:val="24"/>
          <w:vertAlign w:val="superscript"/>
        </w:rPr>
        <w:t>[</w:t>
      </w:r>
      <w:r>
        <w:rPr>
          <w:rFonts w:hint="eastAsia"/>
          <w:sz w:val="24"/>
          <w:szCs w:val="24"/>
          <w:vertAlign w:val="superscript"/>
          <w:lang w:val="en-US" w:eastAsia="zh-CN"/>
        </w:rPr>
        <w:t>15-17</w:t>
      </w:r>
      <w:r>
        <w:rPr>
          <w:sz w:val="24"/>
          <w:szCs w:val="24"/>
          <w:vertAlign w:val="superscript"/>
        </w:rPr>
        <w:t>]</w:t>
      </w:r>
      <w:r>
        <w:rPr>
          <w:sz w:val="24"/>
          <w:szCs w:val="24"/>
          <w:vertAlign w:val="superscript"/>
        </w:rPr>
        <w:fldChar w:fldCharType="end"/>
      </w:r>
      <w:r>
        <w:rPr>
          <w:sz w:val="24"/>
          <w:szCs w:val="24"/>
        </w:rPr>
        <w:t>。内质网自噬在应激条件下，如钙水平的扰动、错误折叠蛋白的积累或氧化还原电位的变化，内质网自噬</w:t>
      </w:r>
      <w:r>
        <w:rPr>
          <w:rFonts w:hint="eastAsia"/>
          <w:sz w:val="24"/>
          <w:szCs w:val="24"/>
        </w:rPr>
        <w:t>水平增强，</w:t>
      </w:r>
      <w:r>
        <w:rPr>
          <w:sz w:val="24"/>
          <w:szCs w:val="24"/>
        </w:rPr>
        <w:t>其</w:t>
      </w:r>
      <w:r>
        <w:rPr>
          <w:rFonts w:hint="eastAsia"/>
          <w:sz w:val="24"/>
          <w:szCs w:val="24"/>
        </w:rPr>
        <w:t>能够</w:t>
      </w:r>
      <w:r>
        <w:rPr>
          <w:sz w:val="24"/>
          <w:szCs w:val="24"/>
        </w:rPr>
        <w:t>促进内质网腔内蛋白质聚集体或功能失调的蛋白质的降解以缓解内质网应激；</w:t>
      </w:r>
      <w:r>
        <w:rPr>
          <w:rFonts w:hint="eastAsia"/>
          <w:sz w:val="24"/>
          <w:szCs w:val="24"/>
        </w:rPr>
        <w:t>还可</w:t>
      </w:r>
      <w:r>
        <w:rPr>
          <w:sz w:val="24"/>
          <w:szCs w:val="24"/>
        </w:rPr>
        <w:t>通过降解多余的内质网膜来调节内质网的大小并维持其稳态</w:t>
      </w:r>
      <w:r>
        <w:rPr>
          <w:rFonts w:hint="eastAsia"/>
          <w:sz w:val="24"/>
          <w:szCs w:val="24"/>
        </w:rPr>
        <w:t>以改善内质网应激导致的内质网膜扩张</w:t>
      </w:r>
      <w:r>
        <w:rPr>
          <w:sz w:val="24"/>
          <w:szCs w:val="24"/>
          <w:vertAlign w:val="superscript"/>
        </w:rPr>
        <w:fldChar w:fldCharType="begin">
          <w:fldData xml:space="preserve">PEVuZE5vdGU+PENpdGU+PEF1dGhvcj5HdWJhczwvQXV0aG9yPjxZZWFyPjIwMjI8L1llYXI+PFJl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</w:fldData>
        </w:fldChar>
      </w:r>
      <w:r>
        <w:rPr>
          <w:sz w:val="24"/>
          <w:szCs w:val="24"/>
          <w:vertAlign w:val="superscript"/>
        </w:rPr>
        <w:instrText xml:space="preserve"> ADDIN EN.CITE </w:instrText>
      </w:r>
      <w:r>
        <w:rPr>
          <w:sz w:val="24"/>
          <w:szCs w:val="24"/>
          <w:vertAlign w:val="superscript"/>
        </w:rPr>
        <w:fldChar w:fldCharType="begin">
          <w:fldData xml:space="preserve">PEVuZE5vdGU+PENpdGU+PEF1dGhvcj5HdWJhczwvQXV0aG9yPjxZZWFyPjIwMjI8L1llYXI+PFJl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</w:fldData>
        </w:fldChar>
      </w:r>
      <w:r>
        <w:rPr>
          <w:sz w:val="24"/>
          <w:szCs w:val="24"/>
          <w:vertAlign w:val="superscript"/>
        </w:rPr>
        <w:instrText xml:space="preserve"> ADDIN EN.CITE.DATA </w:instrText>
      </w:r>
      <w:r>
        <w:rPr>
          <w:sz w:val="24"/>
          <w:szCs w:val="24"/>
          <w:vertAlign w:val="superscript"/>
        </w:rPr>
        <w:fldChar w:fldCharType="separate"/>
      </w:r>
      <w:r>
        <w:rPr>
          <w:sz w:val="24"/>
          <w:szCs w:val="24"/>
          <w:vertAlign w:val="superscript"/>
        </w:rPr>
        <w:fldChar w:fldCharType="end"/>
      </w:r>
      <w:r>
        <w:rPr>
          <w:sz w:val="24"/>
          <w:szCs w:val="24"/>
          <w:vertAlign w:val="superscript"/>
        </w:rPr>
        <w:fldChar w:fldCharType="separate"/>
      </w:r>
      <w:r>
        <w:rPr>
          <w:sz w:val="24"/>
          <w:szCs w:val="24"/>
          <w:vertAlign w:val="superscript"/>
        </w:rPr>
        <w:t>[</w:t>
      </w:r>
      <w:r>
        <w:rPr>
          <w:rFonts w:hint="eastAsia"/>
          <w:sz w:val="24"/>
          <w:szCs w:val="24"/>
          <w:vertAlign w:val="superscript"/>
          <w:lang w:val="en-US" w:eastAsia="zh-CN"/>
        </w:rPr>
        <w:t>18</w:t>
      </w:r>
      <w:r>
        <w:rPr>
          <w:sz w:val="24"/>
          <w:szCs w:val="24"/>
          <w:vertAlign w:val="superscript"/>
        </w:rPr>
        <w:t>-</w:t>
      </w:r>
      <w:r>
        <w:rPr>
          <w:rFonts w:hint="eastAsia"/>
          <w:sz w:val="24"/>
          <w:szCs w:val="24"/>
          <w:vertAlign w:val="superscript"/>
          <w:lang w:val="en-US" w:eastAsia="zh-CN"/>
        </w:rPr>
        <w:t>19</w:t>
      </w:r>
      <w:r>
        <w:rPr>
          <w:sz w:val="24"/>
          <w:szCs w:val="24"/>
          <w:vertAlign w:val="superscript"/>
        </w:rPr>
        <w:t>]</w:t>
      </w:r>
      <w:r>
        <w:rPr>
          <w:sz w:val="24"/>
          <w:szCs w:val="24"/>
          <w:vertAlign w:val="superscript"/>
        </w:rPr>
        <w:fldChar w:fldCharType="end"/>
      </w:r>
      <w:r>
        <w:rPr>
          <w:sz w:val="24"/>
          <w:szCs w:val="24"/>
        </w:rPr>
        <w:t>。内质网自噬还能够影响内质网蛋白的质量、数量和分泌，同时通过响应细胞需求调整内质网亚结构域将内质网塑造成功能性细胞器</w:t>
      </w:r>
      <w:r>
        <w:rPr>
          <w:sz w:val="24"/>
          <w:szCs w:val="24"/>
          <w:vertAlign w:val="superscript"/>
        </w:rPr>
        <w:fldChar w:fldCharType="begin"/>
      </w:r>
      <w:r>
        <w:rPr>
          <w:sz w:val="24"/>
          <w:szCs w:val="24"/>
          <w:vertAlign w:val="superscript"/>
        </w:rPr>
        <w:instrText xml:space="preserve"> ADDIN EN.CITE &lt;EndNote&gt;&lt;Cite&gt;&lt;Author&gt;Hill&lt;/Author&gt;&lt;Year&gt;2023&lt;/Year&gt;&lt;RecNum&gt;179&lt;/RecNum&gt;&lt;DisplayText&gt;&lt;style face="superscript"&gt;[5]&lt;/style&gt;&lt;/DisplayText&gt;&lt;record&gt;&lt;rec-number&gt;179&lt;/rec-number&gt;&lt;foreign-keys&gt;&lt;key app="EN" db-id="epa20vtdhsrr97ede0855z2xa59p02wp9pfr" timestamp="1706060102"&gt;179&lt;/key&gt;&lt;/foreign-keys&gt;&lt;ref-type name="Journal Article"&gt;17&lt;/ref-type&gt;&lt;contributors&gt;&lt;authors&gt;&lt;author&gt;Hill, Melissa A.&lt;/author&gt;&lt;author&gt;Sykes, Alex M.&lt;/author&gt;&lt;author&gt;Mellick, George D.&lt;/author&gt;&lt;/authors&gt;&lt;/contributors&gt;&lt;titles&gt;&lt;title&gt;ER‐phagy in neurodegeneration&lt;/title&gt;&lt;secondary-title&gt;Journal of Neuroscience Research&lt;/secondary-title&gt;&lt;/titles&gt;&lt;periodical&gt;&lt;full-title&gt;Journal of Neuroscience Research&lt;/full-title&gt;&lt;/periodical&gt;&lt;pages&gt;1611-1623&lt;/pages&gt;&lt;volume&gt;101&lt;/volume&gt;&lt;number&gt;10&lt;/number&gt;&lt;section&gt;1611&lt;/section&gt;&lt;dates&gt;&lt;year&gt;2023&lt;/year&gt;&lt;/dates&gt;&lt;isbn&gt;0360-4012&amp;#xD;1097-4547&lt;/isbn&gt;&lt;urls&gt;&lt;/urls&gt;&lt;electronic-resource-num&gt;10.1002/jnr.25225&lt;/electronic-resource-num&gt;&lt;/record&gt;&lt;/Cite&gt;&lt;/EndNote&gt;</w:instrText>
      </w:r>
      <w:r>
        <w:rPr>
          <w:sz w:val="24"/>
          <w:szCs w:val="24"/>
          <w:vertAlign w:val="superscript"/>
        </w:rPr>
        <w:fldChar w:fldCharType="separate"/>
      </w:r>
      <w:r>
        <w:rPr>
          <w:sz w:val="24"/>
          <w:szCs w:val="24"/>
          <w:vertAlign w:val="superscript"/>
        </w:rPr>
        <w:t>[</w:t>
      </w:r>
      <w:r>
        <w:rPr>
          <w:rFonts w:hint="eastAsia"/>
          <w:sz w:val="24"/>
          <w:szCs w:val="24"/>
          <w:vertAlign w:val="superscript"/>
          <w:lang w:val="en-US" w:eastAsia="zh-CN"/>
        </w:rPr>
        <w:t>20</w:t>
      </w:r>
      <w:r>
        <w:rPr>
          <w:sz w:val="24"/>
          <w:szCs w:val="24"/>
          <w:vertAlign w:val="superscript"/>
        </w:rPr>
        <w:t>]</w:t>
      </w:r>
      <w:r>
        <w:rPr>
          <w:sz w:val="24"/>
          <w:szCs w:val="24"/>
          <w:vertAlign w:val="superscript"/>
        </w:rPr>
        <w:fldChar w:fldCharType="end"/>
      </w:r>
      <w:r>
        <w:rPr>
          <w:sz w:val="24"/>
          <w:szCs w:val="24"/>
        </w:rPr>
        <w:t>。内质网自噬</w:t>
      </w:r>
      <w:r>
        <w:rPr>
          <w:rFonts w:hint="eastAsia"/>
          <w:sz w:val="24"/>
          <w:szCs w:val="24"/>
        </w:rPr>
        <w:t>已成为</w:t>
      </w:r>
      <w:r>
        <w:rPr>
          <w:sz w:val="24"/>
          <w:szCs w:val="24"/>
        </w:rPr>
        <w:t>错误折叠蛋白的替代处理途径</w:t>
      </w:r>
      <w:r>
        <w:rPr>
          <w:rFonts w:hint="eastAsia"/>
          <w:sz w:val="24"/>
          <w:szCs w:val="24"/>
        </w:rPr>
        <w:t>，</w:t>
      </w:r>
      <w:r>
        <w:rPr>
          <w:sz w:val="24"/>
          <w:szCs w:val="24"/>
        </w:rPr>
        <w:t>可通过降解其他内质网处理途径无法清除的有害蛋白来维持细胞的稳态。</w:t>
      </w:r>
    </w:p>
    <w:p w14:paraId="254031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b/>
          <w:bCs/>
          <w:color w:val="231F20"/>
          <w:sz w:val="24"/>
          <w:szCs w:val="24"/>
          <w:u w:val="none"/>
        </w:rPr>
      </w:pPr>
      <w:r>
        <w:rPr>
          <w:rFonts w:hint="eastAsia"/>
          <w:sz w:val="24"/>
          <w:szCs w:val="24"/>
        </w:rPr>
        <w:t>居于免疫调控核心地位的树突状细胞，胞内的内质网是抗原提呈分子（MHC-I/MHC-II）合成和折叠的重要场所，</w:t>
      </w:r>
      <w:r>
        <w:rPr>
          <w:sz w:val="24"/>
          <w:szCs w:val="24"/>
        </w:rPr>
        <w:t>其质量控制稳定与MHC-I、MHC-II类分子的组装和形成密切相关，</w:t>
      </w:r>
      <w:r>
        <w:rPr>
          <w:rFonts w:hint="eastAsia"/>
          <w:sz w:val="24"/>
          <w:szCs w:val="24"/>
        </w:rPr>
        <w:t>且</w:t>
      </w:r>
      <w:r>
        <w:rPr>
          <w:sz w:val="24"/>
          <w:szCs w:val="24"/>
        </w:rPr>
        <w:t>在DC抗原提呈功能中发挥着举足轻重的作用</w:t>
      </w:r>
      <w:r>
        <w:rPr>
          <w:rFonts w:hint="eastAsia"/>
          <w:sz w:val="24"/>
          <w:szCs w:val="24"/>
        </w:rPr>
        <w:t>。</w:t>
      </w:r>
      <w:r>
        <w:rPr>
          <w:rFonts w:hint="default"/>
          <w:sz w:val="24"/>
          <w:szCs w:val="24"/>
          <w:u w:val="none"/>
          <w:lang w:val="en-US" w:eastAsia="zh-CN"/>
        </w:rPr>
        <w:t>脓毒症状态下，</w:t>
      </w:r>
      <w:r>
        <w:rPr>
          <w:rFonts w:hint="default"/>
          <w:b w:val="0"/>
          <w:bCs w:val="0"/>
          <w:sz w:val="24"/>
          <w:szCs w:val="24"/>
          <w:u w:val="none"/>
          <w:lang w:val="en-GB"/>
        </w:rPr>
        <w:t>为了有效提呈抗原，DC内需要大量合成主要组织相容性复合体MHC分子，而MHC分子的大量生成主要在</w:t>
      </w:r>
      <w:r>
        <w:rPr>
          <w:rFonts w:hint="default"/>
          <w:b w:val="0"/>
          <w:bCs w:val="0"/>
          <w:sz w:val="24"/>
          <w:szCs w:val="24"/>
          <w:u w:val="none"/>
          <w:lang w:val="en-US" w:eastAsia="zh-CN"/>
        </w:rPr>
        <w:t>内质网</w:t>
      </w:r>
      <w:r>
        <w:rPr>
          <w:rFonts w:hint="default"/>
          <w:b w:val="0"/>
          <w:bCs w:val="0"/>
          <w:sz w:val="24"/>
          <w:szCs w:val="24"/>
          <w:u w:val="none"/>
          <w:lang w:val="en-GB"/>
        </w:rPr>
        <w:t>内完成，高强度的蛋白生产对</w:t>
      </w:r>
      <w:r>
        <w:rPr>
          <w:rFonts w:hint="default"/>
          <w:b w:val="0"/>
          <w:bCs w:val="0"/>
          <w:sz w:val="24"/>
          <w:szCs w:val="24"/>
          <w:u w:val="none"/>
          <w:lang w:val="en-US" w:eastAsia="zh-CN"/>
        </w:rPr>
        <w:t>内质网</w:t>
      </w:r>
      <w:r>
        <w:rPr>
          <w:rFonts w:hint="default"/>
          <w:b w:val="0"/>
          <w:bCs w:val="0"/>
          <w:sz w:val="24"/>
          <w:szCs w:val="24"/>
          <w:u w:val="none"/>
          <w:lang w:val="en-GB"/>
        </w:rPr>
        <w:t>折叠和加工能力构成严峻挑战，加剧了</w:t>
      </w:r>
      <w:r>
        <w:rPr>
          <w:rFonts w:hint="default"/>
          <w:b w:val="0"/>
          <w:bCs w:val="0"/>
          <w:sz w:val="24"/>
          <w:szCs w:val="24"/>
          <w:u w:val="none"/>
          <w:lang w:val="en-US" w:eastAsia="zh-CN"/>
        </w:rPr>
        <w:t>内质网应激</w:t>
      </w:r>
      <w:r>
        <w:rPr>
          <w:rFonts w:hint="default"/>
          <w:b w:val="0"/>
          <w:bCs w:val="0"/>
          <w:sz w:val="24"/>
          <w:szCs w:val="24"/>
          <w:u w:val="none"/>
          <w:lang w:val="en-GB"/>
        </w:rPr>
        <w:t>。长时间或过度的ERS引发未折叠蛋白反应(unfolded protein response, UPR)，在内质网相关降解(endoplasmic reticulum-associated degradation, ERAD)调控不足的情况下，ER-phagy被激活，以选择性清除受损的ER结构，恢复ER稳态</w:t>
      </w:r>
      <w:r>
        <w:rPr>
          <w:rFonts w:hint="default"/>
          <w:b w:val="0"/>
          <w:bCs w:val="0"/>
          <w:sz w:val="24"/>
          <w:szCs w:val="24"/>
          <w:u w:val="none"/>
          <w:vertAlign w:val="superscript"/>
          <w:lang w:val="en-GB"/>
        </w:rPr>
        <w:fldChar w:fldCharType="begin"/>
      </w:r>
      <w:r>
        <w:rPr>
          <w:rFonts w:hint="default"/>
          <w:b w:val="0"/>
          <w:bCs w:val="0"/>
          <w:sz w:val="24"/>
          <w:szCs w:val="24"/>
          <w:u w:val="none"/>
          <w:vertAlign w:val="superscript"/>
          <w:lang w:val="en-GB"/>
        </w:rPr>
        <w:instrText xml:space="preserve"> ADDIN ZOTERO_ITEM CSL_CITATION {"citationID":"GaismKX5","properties":{"formattedCitation":"\\super [34]\\nosupersub{}","plainCitation":"[34]","noteIndex":0},"citationItems":[{"id":3511,"uris":["http://zotero.org/users/5543336/items/447WM6A5"],"itemData":{"id":3511,"type":"article-journal","abstract":"ER-phagy, literally endoplasmic reticulum (ER)-eating, defines the constitutive or regulated clearance of ER portions within metazoan endolysosomes or yeast and plant vacuoles. The advent of electron microscopy led to the first observations of ER-phagy over 60 years ago, but only recently, with the discovery of a set of regulatory proteins named ER-phagy receptors, has it been dissected mechanistically. ER-phagy receptors are activated by a variety of pleiotropic and ER-centric stimuli. They promote ER fragmentation and engage luminal, membrane-bound, and cytosolic factors, eventually driving lysosomal clearance of select ER domains along with their content. After short historical notes, this review introduces the concept of ER-phagy responses (ERPRs). ERPRs ensure lysosomal clearance of ER portions expendable during nutrient shortage, nonfunctional, present in excess, or containing misfolded proteins. They cooperate with unfolded protein responses (UPRs) and with ER-associated degradation (ERAD) in determining ER size, function, and homeostasis.","container-title":"Developmental Cell","DOI":"10.1016/j.devcel.2021.03.005","ISSN":"1878-1551","issue":"7","journalAbbreviation":"Dev. Cell","language":"eng","note":"PMID: 33765438","page":"949-966","source":"PubMed","title":"ER-phagy responses in yeast, plants, and mammalian cells and their crosstalk with UPR and ERAD","volume":"56","author":[{"family":"Molinari","given":"Maurizio"}],"issued":{"date-parts":[["2021",4,5]]}}}],"schema":"https://github.com/citation-style-language/schema/raw/master/csl-citation.json"} </w:instrText>
      </w:r>
      <w:r>
        <w:rPr>
          <w:rFonts w:hint="default"/>
          <w:b w:val="0"/>
          <w:bCs w:val="0"/>
          <w:sz w:val="24"/>
          <w:szCs w:val="24"/>
          <w:u w:val="none"/>
          <w:vertAlign w:val="superscript"/>
          <w:lang w:val="en-GB"/>
        </w:rPr>
        <w:fldChar w:fldCharType="separate"/>
      </w:r>
      <w:r>
        <w:rPr>
          <w:rFonts w:hint="default"/>
          <w:b w:val="0"/>
          <w:bCs w:val="0"/>
          <w:sz w:val="24"/>
          <w:szCs w:val="24"/>
          <w:u w:val="none"/>
          <w:vertAlign w:val="superscript"/>
        </w:rPr>
        <w:t>[</w:t>
      </w:r>
      <w:r>
        <w:rPr>
          <w:rFonts w:hint="default"/>
          <w:b w:val="0"/>
          <w:bCs w:val="0"/>
          <w:sz w:val="24"/>
          <w:szCs w:val="24"/>
          <w:u w:val="none"/>
          <w:vertAlign w:val="superscript"/>
          <w:lang w:val="en-US" w:eastAsia="zh-CN"/>
        </w:rPr>
        <w:t>2</w:t>
      </w:r>
      <w:r>
        <w:rPr>
          <w:rFonts w:hint="eastAsia"/>
          <w:b w:val="0"/>
          <w:bCs w:val="0"/>
          <w:sz w:val="24"/>
          <w:szCs w:val="24"/>
          <w:u w:val="none"/>
          <w:vertAlign w:val="superscript"/>
          <w:lang w:val="en-US" w:eastAsia="zh-CN"/>
        </w:rPr>
        <w:t>1</w:t>
      </w:r>
      <w:r>
        <w:rPr>
          <w:rFonts w:hint="default"/>
          <w:b w:val="0"/>
          <w:bCs w:val="0"/>
          <w:sz w:val="24"/>
          <w:szCs w:val="24"/>
          <w:u w:val="none"/>
          <w:vertAlign w:val="superscript"/>
        </w:rPr>
        <w:t>]</w:t>
      </w:r>
      <w:r>
        <w:rPr>
          <w:rFonts w:hint="default"/>
          <w:b w:val="0"/>
          <w:bCs w:val="0"/>
          <w:sz w:val="24"/>
          <w:szCs w:val="24"/>
          <w:u w:val="none"/>
          <w:vertAlign w:val="superscript"/>
          <w:lang w:val="en-GB"/>
        </w:rPr>
        <w:fldChar w:fldCharType="end"/>
      </w:r>
      <w:r>
        <w:rPr>
          <w:rFonts w:hint="default"/>
          <w:b w:val="0"/>
          <w:bCs w:val="0"/>
          <w:sz w:val="24"/>
          <w:szCs w:val="24"/>
          <w:u w:val="none"/>
          <w:lang w:val="en-GB"/>
        </w:rPr>
        <w:t>。这种选择性降解有别于整体性自噬，能更精确地靶向降解ER受损区域而保留功能性区域。如果</w:t>
      </w:r>
      <w:r>
        <w:rPr>
          <w:rFonts w:hint="default"/>
          <w:b w:val="0"/>
          <w:bCs w:val="0"/>
          <w:sz w:val="24"/>
          <w:szCs w:val="24"/>
          <w:u w:val="none"/>
        </w:rPr>
        <w:t>过度</w:t>
      </w:r>
      <w:r>
        <w:rPr>
          <w:rFonts w:hint="default"/>
          <w:b w:val="0"/>
          <w:bCs w:val="0"/>
          <w:sz w:val="24"/>
          <w:szCs w:val="24"/>
          <w:u w:val="none"/>
          <w:lang w:val="en-GB"/>
        </w:rPr>
        <w:t>ERS始终无法缓解，可能</w:t>
      </w:r>
      <w:r>
        <w:rPr>
          <w:rFonts w:hint="default"/>
          <w:b w:val="0"/>
          <w:bCs w:val="0"/>
          <w:sz w:val="24"/>
          <w:szCs w:val="24"/>
          <w:u w:val="none"/>
        </w:rPr>
        <w:t>导致DC凋亡</w:t>
      </w:r>
      <w:r>
        <w:rPr>
          <w:rFonts w:hint="default"/>
          <w:b w:val="0"/>
          <w:bCs w:val="0"/>
          <w:sz w:val="24"/>
          <w:szCs w:val="24"/>
          <w:u w:val="none"/>
          <w:vertAlign w:val="superscript"/>
          <w:lang w:val="en-GB"/>
        </w:rPr>
        <w:fldChar w:fldCharType="begin"/>
      </w:r>
      <w:r>
        <w:rPr>
          <w:rFonts w:hint="default"/>
          <w:b w:val="0"/>
          <w:bCs w:val="0"/>
          <w:sz w:val="24"/>
          <w:szCs w:val="24"/>
          <w:u w:val="none"/>
          <w:vertAlign w:val="superscript"/>
          <w:lang w:val="en-GB"/>
        </w:rPr>
        <w:instrText xml:space="preserve"> ADDIN ZOTERO_ITEM CSL_CITATION {"citationID":"bIcYtUxa","properties":{"formattedCitation":"\\super [35, 36]\\nosupersub{}","plainCitation":"[35, 36]","noteIndex":0},"citationItems":[{"id":3489,"uris":["http://zotero.org/users/5543336/items/T37KF8NZ"],"itemData":{"id":3489,"type":"article-journal","abstract":"Suppressed adaptive immune function is one of the major concerns responsible for the development of opportunistic infections and subsequent sepsis with high mortality in severe burns. Endoplasmic reticulum stress (ERS) is the endogenous self-protective mechanism, and it plays an important role in almost every process of living by regulating the balance between homeostasis and apoptosis. The current study investigated the involvement of ERS in the pathogenesis of dysfunction of dendritic cells (DCs) in burn mice. Our results show a significant ERS response in splenic DC after burn injury. Treatment with salubrinal (Sal, reported to protect cells against ERS-induced apoptosis.) decrease the apoptotic rate of DC induced by burns, and promote maturation and activation of DC, as well as the ability to promote T cell proliferation and polarization towards Th1 immunity (all P&lt;0.05). Gene silence of XBP-1 (key molecular in ERS response) results in the increased apoptosis and suppressed phenotypical maturation of splenic DC in burn mice. These results show that the excessive ERS is essential for immunosuppression during severe thermal injury. XBP-1 plays a pivotal role in DC functional immunomodulation in burn mice. Inhibition of apoptotic ERS response benefits mice from major burns.","container-title":"Oncotarget","DOI":"10.18632/oncotarget.14764","ISSN":"1949-2553","issue":"6","journalAbbreviation":"Oncotarget","note":"PMID: 28118617\nPMCID: PMC5354713","page":"9035-9052","source":"PubMed Central","title":"The involvement of endoplasmic reticulum stress response in immune dysfunction of dendritic cells after severe thermal injury in mice","volume":"8","author":[{"family":"Zhu","given":"Xiao-Mei"},{"family":"Dong","given":"Ning"},{"family":"Wang","given":"Yan-Bo"},{"family":"Zhang","given":"Qing-Hong"},{"family":"Yu","given":"Yan"},{"family":"Yao","given":"Yong-Ming"},{"family":"Liang","given":"Hua-Ping"}],"issued":{"date-parts":[["2017",1,3]]}}},{"id":68,"uris":["http://zotero.org/users/5543336/items/ZCWVIKWH"],"itemData":{"id":68,"type":"article-journal","abstract":"Sepsis is defined as life‑threatening organ dysfunction caused by a dysregulated host response to infection. Studies have indicated that immune dysfunction plays a central role in the pathogenesis of sepsis. Dendritic cells (DCs) play a crucial role in the emer‑gence of immune dysfunction in sepsis. The major manifestations of DCs in the septic state are abnormal functions and depletion in numbers, which are linked to higher mortality and vulnerability to secondary infections in sepsis. Apoptosis is the most widely studied pathway of number reduction in DCs. In the past few years, there has been a surge in studies focusing on regulated cell death (RCD). This emerging field encompasses various forms of cell death, such as necroptosis, pyroptosis, ferropto‑sis, and autophagy‑dependent cell death (ADCD). Regulation of DC’s RCD can serve as a possible therapeutic focus for the treatment of sepsis. Throughout time, numer‑ous tactics have been devised and effectively implemented to improve abnormal immune response during sepsis progression, including modifying the functions of DCs and inhibiting DC cell death. In this review, we provide an overview of the functional impairment and RCD of DCs in septic states. Also, we highlight recent advances in tar‑geting DCs to regulate host immune response following septic challenge.","container-title":"Cellular &amp; Molecular Biology Letters","DOI":"10.1186/s11658-024-00602-9","ISSN":"1689-1392","issue":"1","journalAbbreviation":"Cell. Mol. Biol. Lett.","language":"en","note":"JCR分区: Q1\n影响因子: 9.2\n中科院分区基础版: 生物2区\ntitleTranslation: 败血症中失调的树突状细胞：功能损伤和调节性细胞死亡","page":"81","source":"DOI.org (Crossref)","title":"Dysregulated dendritic cells in sepsis: Functional impairment and regulated cell death","title-short":"Dysregulated dendritic cells in sepsis","volume":"29","author":[{"family":"Zheng","given":"Li-yu"},{"family":"Duan","given":"Yu"},{"family":"He","given":"Peng-yi"},{"family":"Wu","given":"Meng-yao"},{"family":"Wei","given":"Shu-ting"},{"family":"Du","given":"Xiao-hui"},{"family":"Yao","given":"Ren-qi"},{"family":"Yao","given":"Yong-ming"}],"issued":{"date-parts":[["2024",5,30]]}}}],"schema":"https://github.com/citation-style-language/schema/raw/master/csl-citation.json"} </w:instrText>
      </w:r>
      <w:r>
        <w:rPr>
          <w:rFonts w:hint="default"/>
          <w:b w:val="0"/>
          <w:bCs w:val="0"/>
          <w:sz w:val="24"/>
          <w:szCs w:val="24"/>
          <w:u w:val="none"/>
          <w:vertAlign w:val="superscript"/>
          <w:lang w:val="en-GB"/>
        </w:rPr>
        <w:fldChar w:fldCharType="separate"/>
      </w:r>
      <w:r>
        <w:rPr>
          <w:rFonts w:hint="default"/>
          <w:b w:val="0"/>
          <w:bCs w:val="0"/>
          <w:sz w:val="24"/>
          <w:szCs w:val="24"/>
          <w:u w:val="none"/>
          <w:vertAlign w:val="superscript"/>
        </w:rPr>
        <w:t>[</w:t>
      </w:r>
      <w:r>
        <w:rPr>
          <w:rFonts w:hint="eastAsia"/>
          <w:b w:val="0"/>
          <w:bCs w:val="0"/>
          <w:sz w:val="24"/>
          <w:szCs w:val="24"/>
          <w:u w:val="none"/>
          <w:vertAlign w:val="superscript"/>
          <w:lang w:val="en-US" w:eastAsia="zh-CN"/>
        </w:rPr>
        <w:t>22</w:t>
      </w:r>
      <w:r>
        <w:rPr>
          <w:rFonts w:hint="default"/>
          <w:b w:val="0"/>
          <w:bCs w:val="0"/>
          <w:sz w:val="24"/>
          <w:szCs w:val="24"/>
          <w:u w:val="none"/>
          <w:vertAlign w:val="superscript"/>
        </w:rPr>
        <w:t>]</w:t>
      </w:r>
      <w:r>
        <w:rPr>
          <w:rFonts w:hint="default"/>
          <w:b w:val="0"/>
          <w:bCs w:val="0"/>
          <w:sz w:val="24"/>
          <w:szCs w:val="24"/>
          <w:u w:val="none"/>
          <w:vertAlign w:val="superscript"/>
          <w:lang w:val="en-GB"/>
        </w:rPr>
        <w:fldChar w:fldCharType="end"/>
      </w:r>
      <w:r>
        <w:rPr>
          <w:rFonts w:hint="default"/>
          <w:b w:val="0"/>
          <w:bCs w:val="0"/>
          <w:sz w:val="24"/>
          <w:szCs w:val="24"/>
          <w:u w:val="none"/>
          <w:lang w:val="en-GB"/>
        </w:rPr>
        <w:t>。</w:t>
      </w:r>
      <w:r>
        <w:rPr>
          <w:rFonts w:hint="eastAsia"/>
          <w:b/>
          <w:bCs/>
          <w:color w:val="231F20"/>
          <w:sz w:val="24"/>
          <w:szCs w:val="24"/>
          <w:u w:val="none"/>
        </w:rPr>
        <w:t>鉴于此，深入探讨内质网自噬在失血性休克后DC免疫功能障碍中的重要作用，对明确失血性休克后DC免疫功能紊乱的调控策略具有重要的理论价值。</w:t>
      </w:r>
    </w:p>
    <w:p w14:paraId="41A2F4F1">
      <w:pPr>
        <w:keepNext w:val="0"/>
        <w:keepLines w:val="0"/>
        <w:pageBreakBefore w:val="0"/>
        <w:widowControl w:val="0"/>
        <w:kinsoku/>
        <w:wordWrap/>
        <w:overflowPunct/>
        <w:topLinePunct w:val="0"/>
        <w:autoSpaceDE/>
        <w:autoSpaceDN/>
        <w:bidi w:val="0"/>
        <w:adjustRightInd/>
        <w:snapToGrid/>
        <w:spacing w:line="360" w:lineRule="auto"/>
        <w:ind w:left="630"/>
        <w:textAlignment w:val="auto"/>
        <w:rPr>
          <w:b/>
          <w:bCs/>
          <w:color w:val="231F20"/>
          <w:sz w:val="24"/>
          <w:szCs w:val="24"/>
        </w:rPr>
      </w:pPr>
      <w:r>
        <w:rPr>
          <w:rFonts w:hint="eastAsia"/>
          <w:b/>
          <w:bCs/>
          <w:color w:val="231F20"/>
          <w:sz w:val="24"/>
          <w:szCs w:val="24"/>
        </w:rPr>
        <w:t>1.</w:t>
      </w:r>
      <w:r>
        <w:rPr>
          <w:rFonts w:hint="eastAsia"/>
          <w:b/>
          <w:bCs/>
          <w:color w:val="231F20"/>
          <w:sz w:val="24"/>
          <w:szCs w:val="24"/>
          <w:lang w:val="en-US" w:eastAsia="zh-CN"/>
        </w:rPr>
        <w:t>4</w:t>
      </w:r>
      <w:r>
        <w:rPr>
          <w:rFonts w:hint="eastAsia"/>
          <w:b/>
          <w:bCs/>
          <w:color w:val="231F20"/>
          <w:sz w:val="24"/>
          <w:szCs w:val="24"/>
        </w:rPr>
        <w:t xml:space="preserve"> </w:t>
      </w:r>
      <w:r>
        <w:rPr>
          <w:rFonts w:hint="eastAsia"/>
          <w:b/>
          <w:bCs/>
          <w:color w:val="231F20"/>
          <w:sz w:val="24"/>
          <w:szCs w:val="24"/>
          <w:lang w:eastAsia="zh-CN"/>
        </w:rPr>
        <w:t>TRIM13</w:t>
      </w:r>
      <w:r>
        <w:rPr>
          <w:rFonts w:hint="eastAsia"/>
          <w:b/>
          <w:bCs/>
          <w:color w:val="231F20"/>
          <w:sz w:val="24"/>
          <w:szCs w:val="24"/>
        </w:rPr>
        <w:t>与内质网自噬</w:t>
      </w:r>
    </w:p>
    <w:p w14:paraId="2ED88B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b w:val="0"/>
          <w:bCs w:val="0"/>
          <w:sz w:val="24"/>
          <w:szCs w:val="24"/>
          <w:u w:val="none"/>
          <w:lang w:val="en-US" w:eastAsia="zh-CN"/>
        </w:rPr>
        <w:t>内质网自噬</w:t>
      </w:r>
      <w:r>
        <w:rPr>
          <w:rFonts w:hint="default"/>
          <w:b w:val="0"/>
          <w:bCs w:val="0"/>
          <w:sz w:val="24"/>
          <w:szCs w:val="24"/>
          <w:u w:val="none"/>
        </w:rPr>
        <w:t>的执行需要特定的受体蛋白来识别受损ER并与自噬核心蛋白复合体相连接，目前已经鉴定出多种</w:t>
      </w:r>
      <w:r>
        <w:rPr>
          <w:rFonts w:hint="default"/>
          <w:b w:val="0"/>
          <w:bCs w:val="0"/>
          <w:sz w:val="24"/>
          <w:szCs w:val="24"/>
          <w:u w:val="none"/>
          <w:lang w:val="en-GB"/>
        </w:rPr>
        <w:t>ER-phagy</w:t>
      </w:r>
      <w:r>
        <w:rPr>
          <w:rFonts w:hint="default"/>
          <w:b w:val="0"/>
          <w:bCs w:val="0"/>
          <w:sz w:val="24"/>
          <w:szCs w:val="24"/>
          <w:u w:val="none"/>
        </w:rPr>
        <w:t>受体，如FAM134B、SEC62和TEX</w:t>
      </w:r>
      <w:r>
        <w:rPr>
          <w:rFonts w:hint="eastAsia"/>
          <w:b w:val="0"/>
          <w:bCs w:val="0"/>
          <w:sz w:val="24"/>
          <w:szCs w:val="24"/>
          <w:u w:val="none"/>
          <w:lang w:val="en-US" w:eastAsia="zh-CN"/>
        </w:rPr>
        <w:t>2</w:t>
      </w:r>
      <w:r>
        <w:rPr>
          <w:rFonts w:hint="default"/>
          <w:b w:val="0"/>
          <w:bCs w:val="0"/>
          <w:sz w:val="24"/>
          <w:szCs w:val="24"/>
          <w:u w:val="none"/>
        </w:rPr>
        <w:t>64等</w:t>
      </w:r>
      <w:r>
        <w:rPr>
          <w:rFonts w:hint="default"/>
          <w:b w:val="0"/>
          <w:bCs w:val="0"/>
          <w:sz w:val="24"/>
          <w:szCs w:val="24"/>
          <w:u w:val="none"/>
          <w:vertAlign w:val="superscript"/>
        </w:rPr>
        <w:fldChar w:fldCharType="begin"/>
      </w:r>
      <w:r>
        <w:rPr>
          <w:rFonts w:hint="default"/>
          <w:b w:val="0"/>
          <w:bCs w:val="0"/>
          <w:sz w:val="24"/>
          <w:szCs w:val="24"/>
          <w:u w:val="none"/>
          <w:vertAlign w:val="superscript"/>
        </w:rPr>
        <w:instrText xml:space="preserve"> ADDIN ZOTERO_ITEM CSL_CITATION {"citationID":"hfhch0Ys","properties":{"formattedCitation":"\\super [37-39]\\nosupersub{}","plainCitation":"[37-39]","noteIndex":0},"citationItems":[{"id":3503,"uris":["http://zotero.org/users/5543336/items/GQPZCGJ3"],"itemData":{"id":3503,"type":"article-journal","container-title":"EMBO Journal","DOI":"10.15252/embj.201899847","ISSN":"0261-4189, 1460-2075","issue":"2","journalAbbreviation":"EMBO J.","language":"en","page":"e99847","source":"DOI.org (Crossref)","title":"A selective ER‐phagy exerts procollagen quality control via a Calnexin‐FAM134B complex","title-short":"A selective &lt;span style=\"font-variant","volume":"38","author":[{"family":"Forrester","given":"Alison"},{"family":"De Leonibus","given":"Chiara"},{"family":"Grumati","given":"Paolo"},{"family":"Fasana","given":"Elisa"},{"family":"Piemontese","given":"Marilina"},{"family":"Staiano","given":"Leopoldo"},{"family":"Fregno","given":"Ilaria"},{"family":"Raimondi","given":"Andrea"},{"family":"Marazza","given":"Alessandro"},{"family":"Bruno","given":"Gemma"},{"family":"Iavazzo","given":"Maria"},{"family":"Intartaglia","given":"Daniela"},{"family":"Seczynska","given":"Marta"},{"family":"Van Anken","given":"Eelco"},{"family":"Conte","given":"Ivan"},{"family":"De Matteis","given":"Maria Antonietta"},{"family":"Dikic","given":"Ivan"},{"family":"Molinari","given":"Maurizio"},{"family":"Settembre","given":"Carmine"}],"issued":{"date-parts":[["2019",1,15]]}}},{"id":3505,"uris":["http://zotero.org/users/5543336/items/NIJXEY5H"],"itemData":{"id":3505,"type":"article-journal","abstract":"Endoplasmic reticulum (ER) stress-induced autophagy is closely associated with viral infection and propagation. However, the intrinsic link between ER stress, autophagy, and viral replication during foot-and-mouth disease virus (FMDV) infection is not fully elucidated. Our previous studies demonstrated that FMDV infection activated the ER stress-associated UPR of the PERK-eIF2a and ATF6 signaling pathway, whereas the IRE1a signaling was suppressed. We found that the activated-ATF6 pathway participated in FMDV-induced autophagy and FMDV replication, while the IRE1α pathway only affected FMDV replication. Further studies indicated that Sec62 was greatly reduced in the later stages of FMDV infection and blocked the activation of the autophagy-related IRE1α-JNK pathway. Moreover, it was also found that Sec62 promoted IRE1a phosphorylation and negatively regulated FMDV proliferation. Importantly, Sec62 may interact with LC3 to regulate ER stress and autophagy balance and eventually contribute to FMDV clearance via fusing with lysosomes. Altogether, these results suggest that Sec62 is a critical molecule in maintaining and recovering ER homeostasis by activating the IRE1α-JNK pathway and delivering autophagosome into the lysosome, thus providing new insights on FMDV-host interactions and novel antiviral therapies.","container-title":"Frontiers in Cellular and Infection Microbiology","DOI":"10.3389/fcimb.2021.707107","ISSN":"2235-2988","journalAbbreviation":"Front. Cell. Infect. Microbiol.","language":"eng","note":"PMID: 34532300\nPMCID: PMC8438241","page":"707107","source":"PubMed","title":"Sec62 regulates endoplasmic reticulum stress and autophagy balance to affect foot-and-mouth disease virus replication","volume":"11","author":[{"family":"Wu","given":"Jin'en"},{"family":"Zhang","given":"Zhihui"},{"family":"Teng","given":"Zhidong"},{"family":"Abdullah","given":"Sahibzada Waheed"},{"family":"Sun","given":"Shiqi"},{"family":"Guo","given":"Huichen"}],"issued":{"date-parts":[["2021"]]}}},{"id":3508,"uris":["http://zotero.org/users/5543336/items/M95HTJS5"],"itemData":{"id":3508,"type":"article-journal","abstract":"Cells respond to nutrient stress by trafficking cytosolic contents to lysosomes for degradation via macroautophagy. The endoplasmic reticulum (ER) serves as an initiation site for autophagosomes and is also remodeled in response to nutrient stress through ER-phagy, a form of selective autophagy. Quantitative proteome analysis during nutrient stress identified an unstudied single-pass transmembrane ER protein, TEX264, as an ER-phagy receptor. TEX264 uses an LC3-interacting region (LIR) to traffic into ATG8-positive puncta that often initiate from three-way ER tubule junctions and subsequently fuse with lysosomes. Interaction and proximity biotinylation proteomics identified a cohort of autophagy regulatory proteins and cargo adaptors located near TEX264 in an LIR-dependent manner. Global proteomics and ER-phagy flux analysis revealed the stabilization of a cohort of ER proteins in TEX264-/- cells during nutrient stress. This work reveals TEX264 as an unrecognized ER-phagy receptor that acts independently of other candidate ER-phagy receptors to remodel the ER during nutrient stress.","container-title":"Molecular Cell","DOI":"10.1016/j.molcel.2019.03.034","ISSN":"1097-4164","issue":"5","journalAbbreviation":"Mol. Cell","language":"eng","note":"PMID: 31006537\nPMCID: PMC6747008","page":"891-908.e10","source":"PubMed","title":"TEX264 is an endoplasmic reticulum-resident ATG8-interacting protein critical for ER remodeling during nutrient stress","volume":"74","author":[{"family":"An","given":"Heeseon"},{"family":"Ordureau","given":"Alban"},{"family":"Paulo","given":"Joao A."},{"family":"Shoemaker","given":"Christopher J."},{"family":"Denic","given":"Vladimir"},{"family":"Harper","given":"J. Wade"}],"issued":{"date-parts":[["2019",6,6]]}}}],"schema":"https://github.com/citation-style-language/schema/raw/master/csl-citation.json"} </w:instrText>
      </w:r>
      <w:r>
        <w:rPr>
          <w:rFonts w:hint="default"/>
          <w:b w:val="0"/>
          <w:bCs w:val="0"/>
          <w:sz w:val="24"/>
          <w:szCs w:val="24"/>
          <w:u w:val="none"/>
          <w:vertAlign w:val="superscript"/>
        </w:rPr>
        <w:fldChar w:fldCharType="separate"/>
      </w:r>
      <w:r>
        <w:rPr>
          <w:rFonts w:hint="default"/>
          <w:b w:val="0"/>
          <w:bCs w:val="0"/>
          <w:sz w:val="24"/>
          <w:szCs w:val="24"/>
          <w:u w:val="none"/>
          <w:vertAlign w:val="superscript"/>
        </w:rPr>
        <w:t>[</w:t>
      </w:r>
      <w:r>
        <w:rPr>
          <w:rFonts w:hint="default"/>
          <w:b w:val="0"/>
          <w:bCs w:val="0"/>
          <w:sz w:val="24"/>
          <w:szCs w:val="24"/>
          <w:u w:val="none"/>
          <w:vertAlign w:val="superscript"/>
          <w:lang w:val="en-US" w:eastAsia="zh-CN"/>
        </w:rPr>
        <w:t>2</w:t>
      </w:r>
      <w:r>
        <w:rPr>
          <w:rFonts w:hint="eastAsia"/>
          <w:b w:val="0"/>
          <w:bCs w:val="0"/>
          <w:sz w:val="24"/>
          <w:szCs w:val="24"/>
          <w:u w:val="none"/>
          <w:vertAlign w:val="superscript"/>
          <w:lang w:val="en-US" w:eastAsia="zh-CN"/>
        </w:rPr>
        <w:t>3</w:t>
      </w:r>
      <w:r>
        <w:rPr>
          <w:rFonts w:hint="default"/>
          <w:b w:val="0"/>
          <w:bCs w:val="0"/>
          <w:sz w:val="24"/>
          <w:szCs w:val="24"/>
          <w:u w:val="none"/>
          <w:vertAlign w:val="superscript"/>
        </w:rPr>
        <w:t>-</w:t>
      </w:r>
      <w:r>
        <w:rPr>
          <w:rFonts w:hint="default"/>
          <w:b w:val="0"/>
          <w:bCs w:val="0"/>
          <w:sz w:val="24"/>
          <w:szCs w:val="24"/>
          <w:u w:val="none"/>
          <w:vertAlign w:val="superscript"/>
          <w:lang w:val="en-US" w:eastAsia="zh-CN"/>
        </w:rPr>
        <w:t>2</w:t>
      </w:r>
      <w:r>
        <w:rPr>
          <w:rFonts w:hint="eastAsia"/>
          <w:b w:val="0"/>
          <w:bCs w:val="0"/>
          <w:sz w:val="24"/>
          <w:szCs w:val="24"/>
          <w:u w:val="none"/>
          <w:vertAlign w:val="superscript"/>
          <w:lang w:val="en-US" w:eastAsia="zh-CN"/>
        </w:rPr>
        <w:t>5</w:t>
      </w:r>
      <w:r>
        <w:rPr>
          <w:rFonts w:hint="default"/>
          <w:b w:val="0"/>
          <w:bCs w:val="0"/>
          <w:sz w:val="24"/>
          <w:szCs w:val="24"/>
          <w:u w:val="none"/>
          <w:vertAlign w:val="superscript"/>
        </w:rPr>
        <w:t>]</w:t>
      </w:r>
      <w:r>
        <w:rPr>
          <w:rFonts w:hint="default"/>
          <w:b w:val="0"/>
          <w:bCs w:val="0"/>
          <w:sz w:val="24"/>
          <w:szCs w:val="24"/>
          <w:u w:val="none"/>
          <w:vertAlign w:val="superscript"/>
        </w:rPr>
        <w:fldChar w:fldCharType="end"/>
      </w:r>
      <w:r>
        <w:rPr>
          <w:rFonts w:hint="default"/>
          <w:b w:val="0"/>
          <w:bCs w:val="0"/>
          <w:sz w:val="24"/>
          <w:szCs w:val="24"/>
          <w:u w:val="none"/>
        </w:rPr>
        <w:t>。随着研究深入，Tomar等学者关注到TRIM13深度参与</w:t>
      </w:r>
      <w:r>
        <w:rPr>
          <w:rFonts w:hint="default"/>
          <w:b w:val="0"/>
          <w:bCs w:val="0"/>
          <w:sz w:val="24"/>
          <w:szCs w:val="24"/>
          <w:u w:val="none"/>
          <w:lang w:val="en-US" w:eastAsia="zh-CN"/>
        </w:rPr>
        <w:t>内质网</w:t>
      </w:r>
      <w:r>
        <w:rPr>
          <w:rFonts w:hint="default"/>
          <w:b w:val="0"/>
          <w:bCs w:val="0"/>
          <w:sz w:val="24"/>
          <w:szCs w:val="24"/>
          <w:u w:val="none"/>
        </w:rPr>
        <w:t>功能，在</w:t>
      </w:r>
      <w:r>
        <w:rPr>
          <w:rFonts w:hint="default"/>
          <w:b w:val="0"/>
          <w:bCs w:val="0"/>
          <w:sz w:val="24"/>
          <w:szCs w:val="24"/>
          <w:u w:val="none"/>
          <w:lang w:val="en-US" w:eastAsia="zh-CN"/>
        </w:rPr>
        <w:t>内质网</w:t>
      </w:r>
      <w:r>
        <w:rPr>
          <w:rFonts w:hint="default"/>
          <w:b w:val="0"/>
          <w:bCs w:val="0"/>
          <w:sz w:val="24"/>
          <w:szCs w:val="24"/>
          <w:u w:val="none"/>
        </w:rPr>
        <w:t>质量控制中发挥重要作用。由于TRIM13不含LC3相互作用结构域（LC3-interacting Region，LIR）或GABARAP相互作用基序（GABARAP-interacting Motif，GIM），被认为是非经典的</w:t>
      </w:r>
      <w:r>
        <w:rPr>
          <w:rFonts w:hint="default"/>
          <w:b w:val="0"/>
          <w:bCs w:val="0"/>
          <w:sz w:val="24"/>
          <w:szCs w:val="24"/>
          <w:u w:val="none"/>
          <w:lang w:val="en-US" w:eastAsia="zh-CN"/>
        </w:rPr>
        <w:t>内质网自噬</w:t>
      </w:r>
      <w:r>
        <w:rPr>
          <w:rFonts w:hint="default"/>
          <w:b w:val="0"/>
          <w:bCs w:val="0"/>
          <w:sz w:val="24"/>
          <w:szCs w:val="24"/>
          <w:u w:val="none"/>
        </w:rPr>
        <w:t>受体</w:t>
      </w:r>
      <w:r>
        <w:rPr>
          <w:rFonts w:hint="default"/>
          <w:b w:val="0"/>
          <w:bCs w:val="0"/>
          <w:sz w:val="24"/>
          <w:szCs w:val="24"/>
          <w:u w:val="none"/>
          <w:vertAlign w:val="superscript"/>
        </w:rPr>
        <w:fldChar w:fldCharType="begin"/>
      </w:r>
      <w:r>
        <w:rPr>
          <w:rFonts w:hint="default"/>
          <w:b w:val="0"/>
          <w:bCs w:val="0"/>
          <w:sz w:val="24"/>
          <w:szCs w:val="24"/>
          <w:u w:val="none"/>
          <w:vertAlign w:val="superscript"/>
        </w:rPr>
        <w:instrText xml:space="preserve"> ADDIN ZOTERO_ITEM CSL_CITATION {"citationID":"GUi3QHYH","properties":{"formattedCitation":"\\super [40]\\nosupersub{}","plainCitation":"[40]","noteIndex":0},"citationItems":[{"id":3500,"uris":["http://zotero.org/users/5543336/items/IS5XQ7X6"],"itemData":{"id":3500,"type":"article-journal","abstract":"内质网是真核细胞中分泌性蛋白折叠加工和运输过程中的重要细胞器。来自细胞内外的多种因素可引起错误折叠或未折叠的蛋白质在内质网中积累，导致内质网结构和功能异常，称之为内质网应激(ERS)。内质网自噬是缓解ERS的重要内生机制，常被认为是一种细胞保护性程序，参与代谢、免疫应答、炎症反应及细胞增殖等多种重要的生理过程。内质网自噬可通过清除冗余、失能的内质网以及大体积的蛋白复合体来恢复内质网稳态，对细胞的命运至关重要。本文就内质网自噬类型、受体、调节机制及其在相关疾病中的作用和意义进行综述。","archive_location":"CNKI","call-number":"11-1056/R","container-title":"解放军医学杂志","issue":"9","journalAbbreviation":"解放军医学杂志","note":"ISBN: 0577-7402","page":"1062-1072","title":"内质网自噬及其相关疾病研究进展","volume":"49","author":[{"family":"童","given":"森"},{"family":"董","given":"宁"},{"family":"祝","given":"筱梅"},{"family":"姚","given":"咏明"}],"issued":{"date-parts":[["2024"]]}}}],"schema":"https://github.com/citation-style-language/schema/raw/master/csl-citation.json"} </w:instrText>
      </w:r>
      <w:r>
        <w:rPr>
          <w:rFonts w:hint="default"/>
          <w:b w:val="0"/>
          <w:bCs w:val="0"/>
          <w:sz w:val="24"/>
          <w:szCs w:val="24"/>
          <w:u w:val="none"/>
          <w:vertAlign w:val="superscript"/>
        </w:rPr>
        <w:fldChar w:fldCharType="separate"/>
      </w:r>
      <w:r>
        <w:rPr>
          <w:rFonts w:hint="default"/>
          <w:b w:val="0"/>
          <w:bCs w:val="0"/>
          <w:sz w:val="24"/>
          <w:szCs w:val="24"/>
          <w:u w:val="none"/>
          <w:vertAlign w:val="superscript"/>
        </w:rPr>
        <w:t>[</w:t>
      </w:r>
      <w:r>
        <w:rPr>
          <w:rFonts w:hint="default"/>
          <w:b w:val="0"/>
          <w:bCs w:val="0"/>
          <w:sz w:val="24"/>
          <w:szCs w:val="24"/>
          <w:u w:val="none"/>
          <w:vertAlign w:val="superscript"/>
          <w:lang w:val="en-US" w:eastAsia="zh-CN"/>
        </w:rPr>
        <w:t>2</w:t>
      </w:r>
      <w:r>
        <w:rPr>
          <w:rFonts w:hint="eastAsia"/>
          <w:b w:val="0"/>
          <w:bCs w:val="0"/>
          <w:sz w:val="24"/>
          <w:szCs w:val="24"/>
          <w:u w:val="none"/>
          <w:vertAlign w:val="superscript"/>
          <w:lang w:val="en-US" w:eastAsia="zh-CN"/>
        </w:rPr>
        <w:t>6</w:t>
      </w:r>
      <w:r>
        <w:rPr>
          <w:rFonts w:hint="default"/>
          <w:b w:val="0"/>
          <w:bCs w:val="0"/>
          <w:sz w:val="24"/>
          <w:szCs w:val="24"/>
          <w:u w:val="none"/>
          <w:vertAlign w:val="superscript"/>
        </w:rPr>
        <w:t>]</w:t>
      </w:r>
      <w:r>
        <w:rPr>
          <w:rFonts w:hint="default"/>
          <w:b w:val="0"/>
          <w:bCs w:val="0"/>
          <w:sz w:val="24"/>
          <w:szCs w:val="24"/>
          <w:u w:val="none"/>
          <w:vertAlign w:val="superscript"/>
        </w:rPr>
        <w:fldChar w:fldCharType="end"/>
      </w:r>
      <w:r>
        <w:rPr>
          <w:rFonts w:hint="default"/>
          <w:b w:val="0"/>
          <w:bCs w:val="0"/>
          <w:sz w:val="24"/>
          <w:szCs w:val="24"/>
          <w:u w:val="none"/>
        </w:rPr>
        <w:t>。</w:t>
      </w:r>
      <w:r>
        <w:rPr>
          <w:sz w:val="24"/>
          <w:szCs w:val="24"/>
        </w:rPr>
        <w:t>三重基序蛋白13（tripartite motif containing 13</w:t>
      </w:r>
      <w:r>
        <w:rPr>
          <w:rFonts w:hint="eastAsia"/>
          <w:sz w:val="24"/>
          <w:szCs w:val="24"/>
        </w:rPr>
        <w:t xml:space="preserve">, </w:t>
      </w:r>
      <w:r>
        <w:rPr>
          <w:rFonts w:hint="eastAsia"/>
          <w:sz w:val="24"/>
          <w:szCs w:val="24"/>
          <w:lang w:eastAsia="zh-CN"/>
        </w:rPr>
        <w:t>TRIM13</w:t>
      </w:r>
      <w:r>
        <w:rPr>
          <w:sz w:val="24"/>
          <w:szCs w:val="24"/>
        </w:rPr>
        <w:t>）</w:t>
      </w:r>
      <w:r>
        <w:rPr>
          <w:rFonts w:hint="eastAsia"/>
          <w:sz w:val="24"/>
          <w:szCs w:val="24"/>
        </w:rPr>
        <w:t>属于</w:t>
      </w:r>
      <w:r>
        <w:rPr>
          <w:sz w:val="24"/>
          <w:szCs w:val="24"/>
        </w:rPr>
        <w:t>T</w:t>
      </w:r>
      <w:r>
        <w:rPr>
          <w:rFonts w:hint="eastAsia"/>
          <w:sz w:val="24"/>
          <w:szCs w:val="24"/>
        </w:rPr>
        <w:t>rim</w:t>
      </w:r>
      <w:r>
        <w:rPr>
          <w:sz w:val="24"/>
          <w:szCs w:val="24"/>
        </w:rPr>
        <w:t>蛋白家族</w:t>
      </w:r>
      <w:r>
        <w:rPr>
          <w:rFonts w:hint="eastAsia"/>
          <w:sz w:val="24"/>
          <w:szCs w:val="24"/>
        </w:rPr>
        <w:t>中的重要成员</w:t>
      </w:r>
      <w:r>
        <w:rPr>
          <w:sz w:val="24"/>
          <w:szCs w:val="24"/>
        </w:rPr>
        <w:t>，也被称为RFP2或LEU5</w:t>
      </w:r>
      <w:r>
        <w:rPr>
          <w:rFonts w:hint="eastAsia"/>
          <w:sz w:val="24"/>
          <w:szCs w:val="24"/>
        </w:rPr>
        <w:t>，</w:t>
      </w:r>
      <w:r>
        <w:rPr>
          <w:sz w:val="24"/>
          <w:szCs w:val="24"/>
        </w:rPr>
        <w:t>其编码基因位于13</w:t>
      </w:r>
      <w:r>
        <w:rPr>
          <w:rFonts w:hint="eastAsia"/>
          <w:sz w:val="24"/>
          <w:szCs w:val="24"/>
        </w:rPr>
        <w:t>q14，该基因区域在多种肿瘤研究中发现其容易缺失，作为潜在的肿瘤抑制因子在肿瘤的发生发展中发挥作用</w:t>
      </w:r>
      <w:r>
        <w:rPr>
          <w:sz w:val="24"/>
          <w:szCs w:val="24"/>
          <w:vertAlign w:val="superscript"/>
        </w:rPr>
        <w:fldChar w:fldCharType="begin"/>
      </w:r>
      <w:r>
        <w:rPr>
          <w:sz w:val="24"/>
          <w:szCs w:val="24"/>
          <w:vertAlign w:val="superscript"/>
        </w:rPr>
        <w:instrText xml:space="preserve"> ADDIN EN.CITE &lt;EndNote&gt;&lt;Cite&gt;&lt;RecNum&gt;59&lt;/RecNum&gt;&lt;DisplayText&gt;&lt;style face="superscript"&gt;[7]&lt;/style&gt;&lt;/DisplayText&gt;&lt;record&gt;&lt;rec-number&gt;59&lt;/rec-number&gt;&lt;foreign-keys&gt;&lt;key app="EN" db-id="epa20vtdhsrr97ede0855z2xa59p02wp9pfr" timestamp="1692965358"&gt;59&lt;/key&gt;&lt;/foreign-keys&gt;&lt;ref-type name="Journal Article"&gt;17&lt;/ref-type&gt;&lt;contributors&gt;&lt;/contributors&gt;&lt;titles&gt;&lt;title&gt;&amp;lt;内质网自噬及相关疾病研究进展_童森.pdf&amp;gt;&lt;/title&gt;&lt;/titles&gt;&lt;dates&gt;&lt;/dates&gt;&lt;urls&gt;&lt;/urls&gt;&lt;electronic-resource-num&gt;10.11855/j.issn.0577-7402.0217.2023&lt;/electronic-resource-num&gt;&lt;/record&gt;&lt;/Cite&gt;&lt;/EndNote&gt;</w:instrText>
      </w:r>
      <w:r>
        <w:rPr>
          <w:sz w:val="24"/>
          <w:szCs w:val="24"/>
          <w:vertAlign w:val="superscript"/>
        </w:rPr>
        <w:fldChar w:fldCharType="separate"/>
      </w:r>
      <w:r>
        <w:rPr>
          <w:sz w:val="24"/>
          <w:szCs w:val="24"/>
          <w:vertAlign w:val="superscript"/>
        </w:rPr>
        <w:t>[</w:t>
      </w:r>
      <w:r>
        <w:rPr>
          <w:rFonts w:hint="eastAsia"/>
          <w:sz w:val="24"/>
          <w:szCs w:val="24"/>
          <w:vertAlign w:val="superscript"/>
          <w:lang w:val="en-US" w:eastAsia="zh-CN"/>
        </w:rPr>
        <w:t>28</w:t>
      </w:r>
      <w:r>
        <w:rPr>
          <w:sz w:val="24"/>
          <w:szCs w:val="24"/>
          <w:vertAlign w:val="superscript"/>
        </w:rPr>
        <w:t>]</w:t>
      </w:r>
      <w:r>
        <w:rPr>
          <w:sz w:val="24"/>
          <w:szCs w:val="24"/>
          <w:vertAlign w:val="superscript"/>
        </w:rPr>
        <w:fldChar w:fldCharType="end"/>
      </w:r>
      <w:r>
        <w:rPr>
          <w:rFonts w:hint="eastAsia"/>
          <w:sz w:val="24"/>
          <w:szCs w:val="24"/>
        </w:rPr>
        <w:t>。</w:t>
      </w:r>
      <w:r>
        <w:rPr>
          <w:rFonts w:hint="eastAsia"/>
          <w:sz w:val="24"/>
          <w:szCs w:val="24"/>
          <w:lang w:val="en-US" w:eastAsia="zh-CN"/>
        </w:rPr>
        <w:t>TRIM13</w:t>
      </w:r>
      <w:r>
        <w:rPr>
          <w:rFonts w:hint="eastAsia"/>
          <w:sz w:val="24"/>
          <w:szCs w:val="24"/>
        </w:rPr>
        <w:t>参与调节细胞增殖与分化、细胞凋亡、自噬、调控固有免疫等多种生物学功能，</w:t>
      </w:r>
      <w:r>
        <w:rPr>
          <w:sz w:val="24"/>
          <w:szCs w:val="24"/>
        </w:rPr>
        <w:t>深度参与内质网的功能，与泛素化、维持内质网质量控制的内质网应激和内质网自噬有关</w:t>
      </w:r>
      <w:r>
        <w:rPr>
          <w:rFonts w:hint="eastAsia"/>
          <w:sz w:val="24"/>
          <w:szCs w:val="24"/>
        </w:rPr>
        <w:t>。因此，</w:t>
      </w:r>
      <w:r>
        <w:rPr>
          <w:rFonts w:hint="eastAsia"/>
          <w:sz w:val="24"/>
          <w:szCs w:val="24"/>
          <w:lang w:eastAsia="zh-CN"/>
        </w:rPr>
        <w:t>TRIM13</w:t>
      </w:r>
      <w:r>
        <w:rPr>
          <w:rFonts w:hint="eastAsia"/>
          <w:sz w:val="24"/>
          <w:szCs w:val="24"/>
        </w:rPr>
        <w:t>在内质网质量控制中的重要作用越来越受到众多学者的关注。T</w:t>
      </w:r>
      <w:r>
        <w:rPr>
          <w:rFonts w:hint="eastAsia"/>
          <w:sz w:val="24"/>
          <w:szCs w:val="24"/>
          <w:lang w:val="en-US" w:eastAsia="zh-CN"/>
        </w:rPr>
        <w:t>RIM13</w:t>
      </w:r>
      <w:r>
        <w:rPr>
          <w:rFonts w:hint="eastAsia"/>
          <w:sz w:val="24"/>
          <w:szCs w:val="24"/>
        </w:rPr>
        <w:t>结构</w:t>
      </w:r>
      <w:r>
        <w:rPr>
          <w:sz w:val="24"/>
          <w:szCs w:val="24"/>
        </w:rPr>
        <w:t>含有RING结构域、B-box结构域</w:t>
      </w:r>
      <w:r>
        <w:rPr>
          <w:rFonts w:hint="eastAsia"/>
          <w:sz w:val="24"/>
          <w:szCs w:val="24"/>
        </w:rPr>
        <w:t>、</w:t>
      </w:r>
      <w:r>
        <w:rPr>
          <w:sz w:val="24"/>
          <w:szCs w:val="24"/>
        </w:rPr>
        <w:t>螺旋-螺旋结构域</w:t>
      </w:r>
      <w:r>
        <w:rPr>
          <w:rFonts w:hint="eastAsia"/>
          <w:sz w:val="24"/>
          <w:szCs w:val="24"/>
        </w:rPr>
        <w:t>、</w:t>
      </w:r>
      <w:r>
        <w:rPr>
          <w:sz w:val="24"/>
          <w:szCs w:val="24"/>
        </w:rPr>
        <w:t>TM结构域，</w:t>
      </w:r>
      <w:r>
        <w:rPr>
          <w:rFonts w:hint="eastAsia"/>
          <w:sz w:val="24"/>
          <w:szCs w:val="24"/>
        </w:rPr>
        <w:t>而</w:t>
      </w:r>
      <w:r>
        <w:rPr>
          <w:sz w:val="24"/>
          <w:szCs w:val="24"/>
        </w:rPr>
        <w:t>TM结构域</w:t>
      </w:r>
      <w:r>
        <w:rPr>
          <w:rFonts w:hint="eastAsia"/>
          <w:sz w:val="24"/>
          <w:szCs w:val="24"/>
        </w:rPr>
        <w:t>可以让</w:t>
      </w:r>
      <w:r>
        <w:rPr>
          <w:rFonts w:hint="eastAsia"/>
          <w:sz w:val="24"/>
          <w:szCs w:val="24"/>
          <w:lang w:eastAsia="zh-CN"/>
        </w:rPr>
        <w:t>TRIM13</w:t>
      </w:r>
      <w:r>
        <w:rPr>
          <w:rFonts w:hint="eastAsia"/>
          <w:sz w:val="24"/>
          <w:szCs w:val="24"/>
        </w:rPr>
        <w:t>分子</w:t>
      </w:r>
      <w:r>
        <w:rPr>
          <w:sz w:val="24"/>
          <w:szCs w:val="24"/>
        </w:rPr>
        <w:t>锚定在内质网膜上</w:t>
      </w:r>
      <w:r>
        <w:rPr>
          <w:sz w:val="24"/>
          <w:szCs w:val="24"/>
          <w:vertAlign w:val="superscript"/>
        </w:rPr>
        <w:fldChar w:fldCharType="begin">
          <w:fldData xml:space="preserve">PEVuZE5vdGU+PENpdGU+PEF1dGhvcj5Ub21hcjwvQXV0aG9yPjxZZWFyPjIwMTQ8L1llYXI+PFJl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</w:fldData>
        </w:fldChar>
      </w:r>
      <w:r>
        <w:rPr>
          <w:sz w:val="24"/>
          <w:szCs w:val="24"/>
          <w:vertAlign w:val="superscript"/>
        </w:rPr>
        <w:instrText xml:space="preserve"> ADDIN EN.CITE </w:instrText>
      </w:r>
      <w:r>
        <w:rPr>
          <w:sz w:val="24"/>
          <w:szCs w:val="24"/>
          <w:vertAlign w:val="superscript"/>
        </w:rPr>
        <w:fldChar w:fldCharType="begin">
          <w:fldData xml:space="preserve">PEVuZE5vdGU+PENpdGU+PEF1dGhvcj5Ub21hcjwvQXV0aG9yPjxZZWFyPjIwMTQ8L1llYXI+PFJl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</w:fldData>
        </w:fldChar>
      </w:r>
      <w:r>
        <w:rPr>
          <w:sz w:val="24"/>
          <w:szCs w:val="24"/>
          <w:vertAlign w:val="superscript"/>
        </w:rPr>
        <w:instrText xml:space="preserve"> ADDIN EN.CITE.DATA </w:instrText>
      </w:r>
      <w:r>
        <w:rPr>
          <w:sz w:val="24"/>
          <w:szCs w:val="24"/>
          <w:vertAlign w:val="superscript"/>
        </w:rPr>
        <w:fldChar w:fldCharType="separate"/>
      </w:r>
      <w:r>
        <w:rPr>
          <w:sz w:val="24"/>
          <w:szCs w:val="24"/>
          <w:vertAlign w:val="superscript"/>
        </w:rPr>
        <w:fldChar w:fldCharType="end"/>
      </w:r>
      <w:r>
        <w:rPr>
          <w:sz w:val="24"/>
          <w:szCs w:val="24"/>
          <w:vertAlign w:val="superscript"/>
        </w:rPr>
        <w:fldChar w:fldCharType="separate"/>
      </w:r>
      <w:r>
        <w:rPr>
          <w:sz w:val="24"/>
          <w:szCs w:val="24"/>
          <w:vertAlign w:val="superscript"/>
        </w:rPr>
        <w:t>[</w:t>
      </w:r>
      <w:r>
        <w:rPr>
          <w:rFonts w:hint="eastAsia"/>
          <w:sz w:val="24"/>
          <w:szCs w:val="24"/>
          <w:vertAlign w:val="superscript"/>
          <w:lang w:val="en-US" w:eastAsia="zh-CN"/>
        </w:rPr>
        <w:t>29</w:t>
      </w:r>
      <w:r>
        <w:rPr>
          <w:sz w:val="24"/>
          <w:szCs w:val="24"/>
          <w:vertAlign w:val="superscript"/>
        </w:rPr>
        <w:t>]</w:t>
      </w:r>
      <w:r>
        <w:rPr>
          <w:sz w:val="24"/>
          <w:szCs w:val="24"/>
          <w:vertAlign w:val="superscript"/>
        </w:rPr>
        <w:fldChar w:fldCharType="end"/>
      </w:r>
      <w:r>
        <w:rPr>
          <w:rFonts w:hint="eastAsia"/>
          <w:sz w:val="24"/>
          <w:szCs w:val="24"/>
        </w:rPr>
        <w:t>（图1）由于</w:t>
      </w:r>
      <w:r>
        <w:rPr>
          <w:rFonts w:hint="eastAsia"/>
          <w:sz w:val="24"/>
          <w:szCs w:val="24"/>
          <w:lang w:eastAsia="zh-CN"/>
        </w:rPr>
        <w:t>TRIM13</w:t>
      </w:r>
      <w:r>
        <w:rPr>
          <w:rFonts w:hint="eastAsia"/>
          <w:sz w:val="24"/>
          <w:szCs w:val="24"/>
        </w:rPr>
        <w:t>与内质网结构关系密切，所以当内质网稳态发生变化时，</w:t>
      </w:r>
      <w:r>
        <w:rPr>
          <w:rFonts w:hint="eastAsia"/>
          <w:sz w:val="24"/>
          <w:szCs w:val="24"/>
          <w:lang w:eastAsia="zh-CN"/>
        </w:rPr>
        <w:t>TRIM13</w:t>
      </w:r>
      <w:r>
        <w:rPr>
          <w:rFonts w:hint="eastAsia"/>
          <w:sz w:val="24"/>
          <w:szCs w:val="24"/>
        </w:rPr>
        <w:t>的表达水平也会改变。有文献报道，内质网应激可上调</w:t>
      </w:r>
      <w:r>
        <w:rPr>
          <w:rFonts w:hint="eastAsia"/>
          <w:sz w:val="24"/>
          <w:szCs w:val="24"/>
          <w:lang w:eastAsia="zh-CN"/>
        </w:rPr>
        <w:t>TRIM13</w:t>
      </w:r>
      <w:r>
        <w:rPr>
          <w:rFonts w:hint="eastAsia"/>
          <w:sz w:val="24"/>
          <w:szCs w:val="24"/>
        </w:rPr>
        <w:t>水平，并且当</w:t>
      </w:r>
      <w:r>
        <w:rPr>
          <w:rFonts w:hint="eastAsia"/>
          <w:sz w:val="24"/>
          <w:szCs w:val="24"/>
          <w:lang w:eastAsia="zh-CN"/>
        </w:rPr>
        <w:t>TRIM13</w:t>
      </w:r>
      <w:r>
        <w:rPr>
          <w:rFonts w:hint="eastAsia"/>
          <w:sz w:val="24"/>
          <w:szCs w:val="24"/>
        </w:rPr>
        <w:t>过表达时自噬的基础水平会显著增加</w:t>
      </w:r>
      <w:r>
        <w:rPr>
          <w:rFonts w:hint="eastAsia"/>
          <w:sz w:val="24"/>
          <w:szCs w:val="24"/>
          <w:vertAlign w:val="superscript"/>
        </w:rPr>
        <w:fldChar w:fldCharType="begin"/>
      </w:r>
      <w:r>
        <w:rPr>
          <w:rFonts w:hint="eastAsia"/>
          <w:sz w:val="24"/>
          <w:szCs w:val="24"/>
          <w:vertAlign w:val="superscript"/>
        </w:rPr>
        <w:instrText xml:space="preserve"> ADDIN ZOTERO_ITEM CSL_CITATION {"citationID":"89CuCGlm","properties":{"formattedCitation":"\\super [24]\\nosupersub{}","plainCitation":"[24]","noteIndex":0},"citationItems":[{"id":1257,"uris":["http://zotero.org/users/5543336/items/FWJ7RZCL"],"itemData":{"id":1257,"type":"article-journal","abstract":"Autophagy is one of the cellular adaptive processes that provide protection against many pathological conditions like infection, cancer, neurodegeneration, and aging. Recent evidences suggest that ubiquitination plays an important role in degradation of proteins or defective organelle either through proteasome or autophagy. In this study, we describe the role of TRIM13, ER resident ubiquitin E3 ligase in induction of autophagy and its role during ER stress. The ectopic expression of TRIM13 in HEK-293 cells induces autophagy. Domain mapping showed that coiled-coil (CC) domain is required for induction of autophagy. TRIM13 is stabilized during ER stress, interacts with p62/SQSTM1 and co-localizes with DFCP1. TRIM13 regulates initiation of autophagy during ER stress and decreases the clonogenic ability of the cells. This study for the first time demonstrates the role of TRIM13 in induction of autophagy which may play an important role in regulation of ER stress and may act as tumor suppressor.","container-title":"Biochimica Et Biophysica Acta","DOI":"10.1016/j.bbamcr.2011.11.015","ISSN":"0006-3002","issue":"2","journalAbbreviation":"Biochimica Et Biophysica Acta","language":"eng","note":"PMID: 22178386\nabstractTranslation: 自噬是细胞适应性过程之一，可针对感染、癌症、神经变性和衰老等许多病理状况提供保护。最近的证据表明，泛素化通过蛋白酶体或自噬在蛋白质或缺陷细胞器的降解中起着重要作用。在这项研究中，我们描述了 ER 常驻泛素 E3 连接酶 TRIM13 在诱导自噬中的作用及其在 ER 应激中的作用。TRIM13在HEK-293细胞中的异位表达诱导自噬。结构域映射表明，诱导自噬需要螺旋线圈（CC）结构域。TRIM13在ER应力下稳定，与p62 / SQSTM1相互作用并与DFCP1共定位。TRIM13调节ER应激期间自噬的启动并降低细胞的克隆生成能力。这项研究首次证明了TRIM13在诱导自噬中的作用，自噬可能在ER应激的调节中起重要作用，并可能作为肿瘤抑制因子。\ntitleTranslation: TRIM13 调节 ER 应激诱导的细胞自噬和克隆形成能力","page":"316-326","source":"PubMed","title":"TRIM13 regulates ER stress induced autophagy and clonogenic ability of the cells","volume":"1823","author":[{"family":"Tomar","given":"Dhanendra"},{"family":"Singh","given":"Rochika"},{"family":"Singh","given":"Arun Kumar"},{"family":"Pandya","given":"Chirayu D."},{"family":"Singh","given":"Rajesh"}],"issued":{"date-parts":[["2012",2]]},"citation-key":"tomarTRIM13RegulatesER2012"}}],"schema":"https://github.com/citation-style-language/schema/raw/master/csl-citation.json"} </w:instrText>
      </w:r>
      <w:r>
        <w:rPr>
          <w:rFonts w:hint="eastAsia"/>
          <w:sz w:val="24"/>
          <w:szCs w:val="24"/>
          <w:vertAlign w:val="superscript"/>
        </w:rPr>
        <w:fldChar w:fldCharType="separate"/>
      </w:r>
      <w:r>
        <w:rPr>
          <w:rFonts w:hint="eastAsia"/>
          <w:sz w:val="24"/>
          <w:szCs w:val="24"/>
          <w:vertAlign w:val="superscript"/>
        </w:rPr>
        <w:t>[</w:t>
      </w:r>
      <w:r>
        <w:rPr>
          <w:rFonts w:hint="eastAsia"/>
          <w:sz w:val="24"/>
          <w:szCs w:val="24"/>
          <w:vertAlign w:val="superscript"/>
          <w:lang w:val="en-US" w:eastAsia="zh-CN"/>
        </w:rPr>
        <w:t>32</w:t>
      </w:r>
      <w:r>
        <w:rPr>
          <w:rFonts w:hint="eastAsia"/>
          <w:sz w:val="24"/>
          <w:szCs w:val="24"/>
          <w:vertAlign w:val="superscript"/>
        </w:rPr>
        <w:t>]</w:t>
      </w:r>
      <w:r>
        <w:rPr>
          <w:rFonts w:hint="eastAsia"/>
          <w:sz w:val="24"/>
          <w:szCs w:val="24"/>
          <w:vertAlign w:val="superscript"/>
        </w:rPr>
        <w:fldChar w:fldCharType="end"/>
      </w:r>
      <w:r>
        <w:rPr>
          <w:rFonts w:hint="eastAsia"/>
          <w:sz w:val="24"/>
          <w:szCs w:val="24"/>
        </w:rPr>
        <w:t>。</w:t>
      </w:r>
    </w:p>
    <w:p w14:paraId="22210E76">
      <w:pPr>
        <w:keepNext w:val="0"/>
        <w:keepLines w:val="0"/>
        <w:pageBreakBefore w:val="0"/>
        <w:kinsoku/>
        <w:overflowPunct/>
        <w:topLinePunct w:val="0"/>
        <w:autoSpaceDE/>
        <w:autoSpaceDN/>
        <w:bidi w:val="0"/>
        <w:adjustRightInd/>
        <w:spacing w:line="360" w:lineRule="auto"/>
        <w:ind w:firstLine="560" w:firstLineChars="200"/>
        <w:textAlignment w:val="auto"/>
      </w:pPr>
      <w:r>
        <w:drawing>
          <wp:inline distT="0" distB="0" distL="0" distR="0">
            <wp:extent cx="4961255" cy="2890520"/>
            <wp:effectExtent l="0" t="0" r="0" b="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44812" name="图片 5"/>
                    <pic:cNvPicPr>
                      <a:picLocks noChangeAspect="1"/>
                    </pic:cNvPicPr>
                  </pic:nvPicPr>
                  <pic:blipFill>
                    <a:blip xmlns:r="http://schemas.openxmlformats.org/officeDocument/2006/relationships" r:embed="rId4"/>
                    <a:stretch>
                      <a:fillRect/>
                    </a:stretch>
                  </pic:blipFill>
                  <pic:spPr>
                    <a:xfrm>
                      <a:off x="0" y="0"/>
                      <a:ext cx="4961255" cy="2924793"/>
                    </a:xfrm>
                    <a:prstGeom prst="rect">
                      <a:avLst/>
                    </a:prstGeom>
                  </pic:spPr>
                </pic:pic>
              </a:graphicData>
            </a:graphic>
          </wp:inline>
        </w:drawing>
      </w:r>
    </w:p>
    <w:p w14:paraId="722B9C60">
      <w:pPr>
        <w:keepNext w:val="0"/>
        <w:keepLines w:val="0"/>
        <w:pageBreakBefore w:val="0"/>
        <w:kinsoku/>
        <w:overflowPunct/>
        <w:topLinePunct w:val="0"/>
        <w:autoSpaceDE/>
        <w:autoSpaceDN/>
        <w:bidi w:val="0"/>
        <w:adjustRightInd/>
        <w:spacing w:line="360" w:lineRule="auto"/>
        <w:ind w:firstLine="420" w:firstLineChars="200"/>
        <w:jc w:val="center"/>
        <w:textAlignment w:val="auto"/>
        <w:rPr>
          <w:rFonts w:hint="eastAsia"/>
          <w:sz w:val="21"/>
          <w:szCs w:val="21"/>
        </w:rPr>
      </w:pPr>
      <w:r>
        <w:rPr>
          <w:rFonts w:hint="eastAsia"/>
          <w:sz w:val="21"/>
          <w:szCs w:val="21"/>
        </w:rPr>
        <w:t>图1 TRIM和TRIM13的结构</w:t>
      </w:r>
    </w:p>
    <w:p w14:paraId="3115494B">
      <w:pPr>
        <w:keepNext w:val="0"/>
        <w:keepLines w:val="0"/>
        <w:pageBreakBefore w:val="0"/>
        <w:kinsoku/>
        <w:overflowPunct/>
        <w:topLinePunct w:val="0"/>
        <w:autoSpaceDE/>
        <w:autoSpaceDN/>
        <w:bidi w:val="0"/>
        <w:adjustRightInd/>
        <w:spacing w:line="360" w:lineRule="auto"/>
        <w:ind w:firstLine="420" w:firstLineChars="200"/>
        <w:jc w:val="center"/>
        <w:textAlignment w:val="auto"/>
        <w:rPr>
          <w:rFonts w:hint="eastAsia"/>
          <w:sz w:val="21"/>
          <w:szCs w:val="21"/>
        </w:rPr>
      </w:pPr>
      <w:r>
        <w:rPr>
          <w:rFonts w:hint="eastAsia"/>
          <w:sz w:val="21"/>
          <w:szCs w:val="21"/>
        </w:rPr>
        <w:t>由</w:t>
      </w:r>
      <w:r>
        <w:rPr>
          <w:sz w:val="21"/>
          <w:szCs w:val="21"/>
        </w:rPr>
        <w:t>AlphaFold 3</w:t>
      </w:r>
      <w:r>
        <w:rPr>
          <w:rFonts w:hint="eastAsia"/>
          <w:sz w:val="21"/>
          <w:szCs w:val="21"/>
        </w:rPr>
        <w:t>预测的</w:t>
      </w:r>
      <w:r>
        <w:rPr>
          <w:sz w:val="21"/>
          <w:szCs w:val="21"/>
        </w:rPr>
        <w:t>TRIM13</w:t>
      </w:r>
      <w:r>
        <w:rPr>
          <w:rFonts w:hint="eastAsia"/>
          <w:sz w:val="21"/>
          <w:szCs w:val="21"/>
        </w:rPr>
        <w:t>蛋白结构</w:t>
      </w:r>
      <w:r>
        <w:rPr>
          <w:sz w:val="21"/>
          <w:szCs w:val="21"/>
          <w:vertAlign w:val="superscript"/>
        </w:rPr>
        <w:fldChar w:fldCharType="begin"/>
      </w:r>
      <w:r>
        <w:rPr>
          <w:sz w:val="21"/>
          <w:szCs w:val="21"/>
          <w:vertAlign w:val="superscript"/>
        </w:rPr>
        <w:instrText xml:space="preserve"> ADDIN ZOTERO_ITEM CSL_CITATION {"citationID":"tZOInV22","properties":{"formattedCitation":"\\super [15]\\nosupersub{}","plainCitation":"[15]","noteIndex":0},"citationItems":[{"id":2539,"uris":["http://zotero.org/users/5543336/items/FUC8NZ4P"],"itemData":{"id":2539,"type":"article-journal","abstract":"The introduction of AlphaFold 21 has spurred a revolution in modelling the structure of proteins and their interactions, enabling a huge range of applications in protein modelling and design2–6. In this paper, we describe our AlphaFold 3 model with a substantially updated diffusion-based architecture, which is capable of joint structure prediction of complexes including proteins, nucleic acids, small molecules, ions, and modified residues. The new AlphaFold model demonstrates significantly improved accuracy over many previous specialised tools: far greater accuracy on protein-ligand interactions than state of the art docking tools, much higher accuracy on protein-nucleic acid interactions than nucleic-acid-specific predictors, and significantly higher antibody-antigen prediction accuracy than AlphaFold-Multimer v2.37,8. Together these results show that high accuracy modelling across biomolecular space is possible within a single unified deep learning framework.","container-title":"Nature","DOI":"10.1038/s41586-024-07487-w","ISSN":"1476-4687","journalAbbreviation":"Nature","language":"en","license":"2024 The Author(s), under exclusive licence to Springer Nature Limited","note":"publisher: Nature Publishing Gr</w:instrText>
      </w:r>
      <w:r>
        <w:rPr>
          <w:rFonts w:hint="eastAsia"/>
          <w:sz w:val="21"/>
          <w:szCs w:val="21"/>
          <w:vertAlign w:val="superscript"/>
        </w:rPr>
        <w:instrText>oup\nJCR分区: Q1\n影响因子: 50.5","page":"1-3","source":"www.nature.com","title":"Accurate structure prediction of biomolecular interactions with AlphaFold 3","author":[{"family":"Abramson","given":"Josh"},{"family":"Adler","given":"Jonas"},{"family":"Dunger","</w:instrText>
      </w:r>
      <w:r>
        <w:rPr>
          <w:sz w:val="21"/>
          <w:szCs w:val="21"/>
          <w:vertAlign w:val="superscript"/>
        </w:rPr>
        <w:instrText xml:space="preserve">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M."}],"issued":{"date-parts":[["2024",5,8]]}}}],"schema":"https://github.com/citation-style-language/schema/raw/master/csl-citation.json"} </w:instrText>
      </w:r>
      <w:r>
        <w:rPr>
          <w:sz w:val="21"/>
          <w:szCs w:val="21"/>
          <w:vertAlign w:val="superscript"/>
        </w:rPr>
        <w:fldChar w:fldCharType="separate"/>
      </w:r>
      <w:r>
        <w:rPr>
          <w:sz w:val="21"/>
          <w:szCs w:val="21"/>
          <w:vertAlign w:val="superscript"/>
        </w:rPr>
        <w:t>[</w:t>
      </w:r>
      <w:r>
        <w:rPr>
          <w:rFonts w:hint="eastAsia"/>
          <w:sz w:val="21"/>
          <w:szCs w:val="21"/>
          <w:vertAlign w:val="superscript"/>
          <w:lang w:val="en-US" w:eastAsia="zh-CN"/>
        </w:rPr>
        <w:t>30</w:t>
      </w:r>
      <w:r>
        <w:rPr>
          <w:sz w:val="21"/>
          <w:szCs w:val="21"/>
          <w:vertAlign w:val="superscript"/>
        </w:rPr>
        <w:t>]</w:t>
      </w:r>
      <w:r>
        <w:rPr>
          <w:sz w:val="21"/>
          <w:szCs w:val="21"/>
          <w:vertAlign w:val="superscript"/>
        </w:rPr>
        <w:fldChar w:fldCharType="end"/>
      </w:r>
      <w:r>
        <w:rPr>
          <w:rFonts w:hint="eastAsia"/>
          <w:sz w:val="21"/>
          <w:szCs w:val="21"/>
        </w:rPr>
        <w:t>和</w:t>
      </w:r>
      <w:r>
        <w:rPr>
          <w:sz w:val="21"/>
          <w:szCs w:val="21"/>
        </w:rPr>
        <w:t>TRIM</w:t>
      </w:r>
      <w:r>
        <w:rPr>
          <w:rFonts w:hint="eastAsia"/>
          <w:sz w:val="21"/>
          <w:szCs w:val="21"/>
        </w:rPr>
        <w:t>与</w:t>
      </w:r>
      <w:r>
        <w:rPr>
          <w:sz w:val="21"/>
          <w:szCs w:val="21"/>
        </w:rPr>
        <w:t>TRIM13</w:t>
      </w:r>
      <w:r>
        <w:rPr>
          <w:rFonts w:hint="eastAsia"/>
          <w:sz w:val="21"/>
          <w:szCs w:val="21"/>
        </w:rPr>
        <w:t>的结构模式图，使用PyMol 3.0.0 制作。结构域的氨基酸序列位置来自UniPort：RING 10-58，B-box 89-131，</w:t>
      </w:r>
      <w:r>
        <w:rPr>
          <w:sz w:val="21"/>
          <w:szCs w:val="21"/>
        </w:rPr>
        <w:t>Coiled</w:t>
      </w:r>
      <w:r>
        <w:rPr>
          <w:rFonts w:hint="eastAsia"/>
          <w:sz w:val="21"/>
          <w:szCs w:val="21"/>
        </w:rPr>
        <w:t>-</w:t>
      </w:r>
      <w:r>
        <w:rPr>
          <w:sz w:val="21"/>
          <w:szCs w:val="21"/>
        </w:rPr>
        <w:t>coil</w:t>
      </w:r>
      <w:r>
        <w:rPr>
          <w:rFonts w:hint="eastAsia"/>
          <w:sz w:val="21"/>
          <w:szCs w:val="21"/>
        </w:rPr>
        <w:t xml:space="preserve"> 172-200，</w:t>
      </w:r>
      <w:r>
        <w:rPr>
          <w:sz w:val="21"/>
          <w:szCs w:val="21"/>
        </w:rPr>
        <w:t>Transmembrane</w:t>
      </w:r>
      <w:r>
        <w:rPr>
          <w:rFonts w:hint="eastAsia"/>
          <w:sz w:val="21"/>
          <w:szCs w:val="21"/>
        </w:rPr>
        <w:t xml:space="preserve"> 317-337</w:t>
      </w:r>
      <w:r>
        <w:rPr>
          <w:sz w:val="21"/>
          <w:szCs w:val="21"/>
          <w:vertAlign w:val="superscript"/>
        </w:rPr>
        <w:fldChar w:fldCharType="begin"/>
      </w:r>
      <w:r>
        <w:rPr>
          <w:sz w:val="21"/>
          <w:szCs w:val="21"/>
          <w:vertAlign w:val="superscript"/>
        </w:rPr>
        <w:instrText xml:space="preserve"> ADDIN ZOTERO_ITEM CSL_CITATION {"citationID":"wagEDSFo","properties":{"formattedCitation":"\\super [16]\\nosupersub{}","plainCitation":"[16]","noteIndex":0},"citationItems":[{"id":2735,"uris":["http://zotero.org/users/5543336/items/CXJASRE7"],"itemData":{"id":2735,"type":"article-journal","abstract":"Abstract\n            The aim of the UniProt Knowledgebase is to provide users with a comprehensive, high-quality and freely accessible set of protein sequences annotated with functional information. In this publication we describe enhancements made to our data processing pipeline and to our website to adapt to an ever-increasing information content. The number of sequences in UniProtKB has risen to over 227 million and we are working towards including a reference proteome for each taxonomic group. We continue to extract detailed annotations from the literature to update or create reviewed entries, while unreviewed entries are supplemented with annotations provided by automated systems using a variety of machine-learning techniques. In addition, the scientific community continues their contributions of publications and annotations to UniProt entries of their interest. Finally, we describe our new website (https://www.uniprot.org/), designed to enhance our users’ experience and make our data easily accessible to the research community. This interface includes access to AlphaFold structures for more than 85% of all entries as well as improved visualisations for subcellular localisation of proteins.","container-title":"Nucleic Acids Research","DOI":"10.1093/nar/gkac1052","ISSN":"0305-1048, 1362-4962","issue":"D1","language":"en","license":"https://creativecommons.org/licenses/by/4.0/","page":"D523-D531","source":"DOI.org (Crossref)","title":"UniProt: The universal protein knowledgebase in 2023","title-short":"UniProt","volume":"51","author":[{"literal":"The UniProt Consortium"},{"family":"Bateman","given":"Alex"},{"family":"Martin","given":"Maria-Jesus"},{"family":"Orchard","given":"Sandra"},{"family":"Magrane","given":"Michele"},{"family":"Ahmad","given":"Shadab"},{"family":"Alpi","given":"Emanuele"},{"family":"Bowler-Barnett","given":"Emily H"},{"family":"Britto","given":"Ramona"},{"family":"Bye-A-Jee","given":"Hema"},{"family":"Cukura","given":"Austra"},{"family":"Denny","given":"Paul"},{"family":"Dogan","given":"Tunca"},{"family":"Ebenezer","given":"ThankGod"},{"family":"Fan","given":"Jun"},{"family":"Garmiri","given":"Penelope"},{"family":"Da Costa Gonzales","given":"Leonardo Jose"},{"family":"Hatton-Ellis","given":"Emma"},{"family":"Hussein","given":"Abdulrahman"},{"family":"Ignatchenko","given":"Alexandr"},{"family":"Insana","given":"Giuseppe"},{"family":"Ishtiaq","given":"Rizwan"},{"family":"Joshi","given":"Vishal"},{"family":"Jyothi","given":"Dushyanth"},{"family":"Kandasaamy","given":"Swaathi"},{"family":"Lock","given":"Antonia"},{"family":"Luciani","given":"Aurelien"},{"family":"Lugaric","given":"Marija"},{"family":"Luo","given":"Jie"},{"family":"Lussi","given":"Yvonne"},{"family":"MacDougall","given":"Alistair"},{"family":"Madeira","given":"Fabio"},{"family":"Mahmoudy","given":"Mahdi"},{"family":"Mishra","given":"Alok"},{"family":"Moulang","given":"Katie"},{"family":"Nightingale","given":"Andrew"},{"family":"Pundir","given":"Sangya"},{"family":"Qi","given":"Guoying"},{"family":"Raj","given":"Shriya"},{"family":"Raposo","given":"Pedro"},{"family":"Rice","given":"Daniel L"},{"family":"Saidi","given":"Rabie"},{"family":"Santos","given":"Rafael"},{"family":"Speretta","given":"Elena"},{"family":"Stephenson","given":"James"},{"family":"Totoo","given":"Prabhat"},{"family":"Turner","given":"Edward"},{"family":"Tyagi","given":"Nidhi"},{"family":"Vasudev","given":"Preethi"},{"family":"Warner","given":"Kate"},{"family":"Watkins","given":"Xavier"},{"family":"Zaru","given":"Rossana"},{"family":"Zellner","given":"Hermann"},{"family":"Bridge","given":"Alan J"},{"family":"Aimo","given":"Lucila"},{"family":"Argoud-Puy","given":"Ghislaine"},{"family":"Auchincloss","given":"Andrea H"},{"family":"Axelsen","given":"Kristian B"},{"family":"Bansal","given":"Parit"},{"family":"Baratin","given":"Delphine"},{"family":"Batista Neto","given":"Teresa M"},{"family":"Blatter","given":"Marie-Claude"},{"family":"Bolleman","given":"Jerven T"},{"family":"Boutet","given":"Emmanuel"},{"family":"Breuza","given":"Lionel"},{"family":"Gil","given":"Blanca Cabrera"},{"family":"Casals-Casas","given":"Cristina"},{"family":"Echioukh","given":"Kamal Chikh"},{"family":"Coudert","given":"Elisabeth"},{"family":"Cuche","given":"Beatrice"},{"family":"De Castro","given":"Edouard"},{"family":"Estreicher","given":"Anne"},{"family":"Famiglietti","given":"Maria L"},{"family":"Feuermann","given":"Marc"},{"family":"Gasteiger","given":"Elisabeth"},{"family":"Gaudet","given":"Pascale"},{"family":"Gehant","given":"Sebastien"},{"family":"Gerritsen","given":"Vivienne"},{"family":"Gos","given":"Arnaud"},{"family":"Gruaz","given":"Nadine"},{"family":"Hulo","given":"Chantal"},{"family":"Hyka-Nouspikel","given":"Nevila"},{"family":"Jungo","given":"Florence"},{"family":"Kerhornou","given":"Arnaud"},{"family":"Le Mercier","given":"Philippe"},{"family":"Lieberherr","given":"Damien"},{"family":"Masson","given":"Patrick"},{"family":"Morgat","given":"Anne"},{"family":"Muthukrishnan","given":"Venkatesh"},{"family":"Paesano","given":"Salvo"},{"family":"Pedruzzi","given":"Ivo"},{"family":"Pilbout","given":"Sandrine"},{"family":"Pourcel","given":"Lucille"},{"family":"Poux","given":"Sylvain"},{"family":"Pozzato","given":"Monica"},{"family":"Pruess","given":"Manuela"},{"family":"Redaschi","given":"Nicole"},{"family":"Rivoire","given":"Catherine"},{"family":"Sigrist","given":"Christian J A"},{"family":"Sonesson","given":"Karin"},{"family":"Sundaram","given":"Shyamala"},{"family":"Wu","given":"Cathy H"},{"family":"Arighi","given":"Cecilia N"},{"family":"Arminski","given":"Leslie"},{"family":"Chen","given":"Chuming"},{"family":"Chen","given":"Yongxing"},{"family":"Huang","given":"Hongzhan"},{"family":"Laiho","given":"Kati"},{"family":"McGarvey","given":"Peter"},{"family":"Natale","given":"Darren A"},{"family":"Ross","given":"Karen"},{"family":"Vinayaka","given":"C R"},{"family":"Wang","given":"Qinghua"},{"family":"Wang","given":"Yuqi"},{"family":"Zhang","given":"Jian"}],"issued":{"date-parts":[["2023",1,6]]}}}],"schema":"https://github.com/citation-style-language/schema/raw/master/csl-citation.json"} </w:instrText>
      </w:r>
      <w:r>
        <w:rPr>
          <w:sz w:val="21"/>
          <w:szCs w:val="21"/>
          <w:vertAlign w:val="superscript"/>
        </w:rPr>
        <w:fldChar w:fldCharType="separate"/>
      </w:r>
      <w:r>
        <w:rPr>
          <w:sz w:val="21"/>
          <w:szCs w:val="21"/>
          <w:vertAlign w:val="superscript"/>
        </w:rPr>
        <w:t>[</w:t>
      </w:r>
      <w:r>
        <w:rPr>
          <w:rFonts w:hint="eastAsia"/>
          <w:sz w:val="21"/>
          <w:szCs w:val="21"/>
          <w:vertAlign w:val="superscript"/>
          <w:lang w:val="en-US" w:eastAsia="zh-CN"/>
        </w:rPr>
        <w:t>31</w:t>
      </w:r>
      <w:r>
        <w:rPr>
          <w:sz w:val="21"/>
          <w:szCs w:val="21"/>
          <w:vertAlign w:val="superscript"/>
        </w:rPr>
        <w:t>]</w:t>
      </w:r>
      <w:r>
        <w:rPr>
          <w:sz w:val="21"/>
          <w:szCs w:val="21"/>
          <w:vertAlign w:val="superscript"/>
        </w:rPr>
        <w:fldChar w:fldCharType="end"/>
      </w:r>
      <w:r>
        <w:rPr>
          <w:rFonts w:hint="eastAsia"/>
          <w:sz w:val="21"/>
          <w:szCs w:val="21"/>
        </w:rPr>
        <w:t>。</w:t>
      </w:r>
    </w:p>
    <w:p w14:paraId="28B9713B">
      <w:pPr>
        <w:keepNext w:val="0"/>
        <w:keepLines w:val="0"/>
        <w:pageBreakBefore w:val="0"/>
        <w:kinsoku/>
        <w:overflowPunct/>
        <w:topLinePunct w:val="0"/>
        <w:autoSpaceDE/>
        <w:autoSpaceDN/>
        <w:bidi w:val="0"/>
        <w:adjustRightInd/>
        <w:spacing w:line="360" w:lineRule="auto"/>
        <w:ind w:firstLine="480" w:firstLineChars="200"/>
        <w:textAlignment w:val="auto"/>
        <w:rPr>
          <w:rFonts w:hint="eastAsia"/>
          <w:sz w:val="24"/>
          <w:szCs w:val="24"/>
        </w:rPr>
      </w:pPr>
      <w:r>
        <w:rPr>
          <w:rFonts w:hint="eastAsia"/>
          <w:sz w:val="24"/>
          <w:szCs w:val="24"/>
        </w:rPr>
        <w:t>研究发现，</w:t>
      </w:r>
      <w:r>
        <w:rPr>
          <w:rFonts w:hint="eastAsia"/>
          <w:sz w:val="24"/>
          <w:szCs w:val="24"/>
          <w:lang w:eastAsia="zh-CN"/>
        </w:rPr>
        <w:t>TRIM13</w:t>
      </w:r>
      <w:r>
        <w:rPr>
          <w:rFonts w:hint="eastAsia"/>
          <w:sz w:val="24"/>
          <w:szCs w:val="24"/>
        </w:rPr>
        <w:t>可以与泛素结合接头蛋白p62相互作用从而调节自噬通量，这是因为p62 C端含有结合泛素的UBA结构域，使其既可以结合K48连接的泛素链，也可以结合K63连接的泛素链，但对K63链具有更高的亲和力。虽然</w:t>
      </w:r>
      <w:r>
        <w:rPr>
          <w:rFonts w:hint="eastAsia"/>
          <w:sz w:val="24"/>
          <w:szCs w:val="24"/>
          <w:lang w:eastAsia="zh-CN"/>
        </w:rPr>
        <w:t>TRIM13</w:t>
      </w:r>
      <w:r>
        <w:rPr>
          <w:rFonts w:hint="eastAsia"/>
          <w:sz w:val="24"/>
          <w:szCs w:val="24"/>
        </w:rPr>
        <w:t>不含LIR结构域，但是p62含有LIR结构域，使得</w:t>
      </w:r>
      <w:r>
        <w:rPr>
          <w:rFonts w:hint="eastAsia"/>
          <w:sz w:val="24"/>
          <w:szCs w:val="24"/>
          <w:lang w:eastAsia="zh-CN"/>
        </w:rPr>
        <w:t>TRIM13</w:t>
      </w:r>
      <w:r>
        <w:rPr>
          <w:rFonts w:hint="eastAsia"/>
          <w:sz w:val="24"/>
          <w:szCs w:val="24"/>
        </w:rPr>
        <w:t>与p62结合后将LC3-Ⅱ阳性的自噬体招募到泛素-p62修饰的内质网并启动内质网自噬</w:t>
      </w:r>
      <w:r>
        <w:rPr>
          <w:rFonts w:hint="eastAsia"/>
          <w:sz w:val="24"/>
          <w:szCs w:val="24"/>
          <w:vertAlign w:val="superscript"/>
        </w:rPr>
        <w:fldChar w:fldCharType="begin"/>
      </w:r>
      <w:r>
        <w:rPr>
          <w:rFonts w:hint="eastAsia"/>
          <w:sz w:val="24"/>
          <w:szCs w:val="24"/>
          <w:vertAlign w:val="superscript"/>
        </w:rPr>
        <w:instrText xml:space="preserve"> ADDIN ZOTERO_ITEM CSL_CITATION {"citationID":"G0kvNNVP","properties":{"formattedCitation":"\\super [24]\\nosupersub{}","plainCitation":"[24]","noteIndex":0},"citationItems":[{"id":1257,"uris":["http://zotero.org/users/5543336/items/FWJ7RZCL"],"itemData":{"id":1257,"type":"article-journal","abstract":"Autophagy is one of the cellular adaptive processes that provide protection against many pathological conditions like infection, cancer, neurodegeneration, and aging. Recent evidences suggest that ubiquitination plays an important role in degradation of proteins or defective organelle either through proteasome or autophagy. In this study, we describe the role of TRIM13, ER resident ubiquitin E3 ligase in induction of autophagy and its role during ER stress. The ectopic expression of TRIM13 in HEK-293 cells induces autophagy. Domain mapping showed that coiled-coil (CC) domain is required for induction of autophagy. TRIM13 is stabilized during ER stress, interacts with p62/SQSTM1 and co-localizes with DFCP1. TRIM13 regulates initiation of autophagy during ER stress and decreases the clonogenic ability of the cells. This study for the first time demonstrates the role of TRIM13 in induction of autophagy which may play an important role in regulation of ER stress and may act as tumor suppressor.","container-title":"Biochimica Et Biophysica Acta","DOI":"10.1016/j.bbamcr.2011.11.015","ISSN":"0006-3002","issue":"2","journalAbbreviation":"Biochimica Et Biophysica Acta","language":"eng","note":"PMID: 22178386\nabstractTranslation: 自噬是细胞适应性过程之一，可针对感染、癌症、神经变性和衰老等许多病理状况提供保护。最近的证据表明，泛素化通过蛋白酶体或自噬在蛋白质或缺陷细胞器的降解中起着重要作用。在这项研究中，我们描述了 ER 常驻泛素 E3 连接酶 TRIM13 在诱导自噬中的作用及其在 ER 应激中的作用。TRIM13在HEK-293细胞中的异位表达诱导自噬。结构域映射表明，诱导自噬需要螺旋线圈（CC）结构域。TRIM13在ER应力下稳定，与p62 / SQSTM1相互作用并与DFCP1共定位。TRIM13调节ER应激期间自噬的启动并降低细胞的克隆生成能力。这项研究首次证明了TRIM13在诱导自噬中的作用，自噬可能在ER应激的调节中起重要作用，并可能作为肿瘤抑制因子。\ntitleTranslation: TRIM13 调节 ER 应激诱导的细胞自噬和克隆形成能力","page":"316-326","source":"PubMed","title":"TRIM13 regulates ER stress induced autophagy and clonogenic ability of the cells","volume":"1823","author":[{"family":"Tomar","given":"Dhanendra"},{"family":"Singh","given":"Rochika"},{"family":"Singh","given":"Arun Kumar"},{"family":"Pandya","given":"Chirayu D."},{"family":"Singh","given":"Rajesh"}],"issued":{"date-parts":[["2012",2]]},"citation-key":"tomarTRIM13RegulatesER2012"}}],"schema":"https://github.com/citation-style-language/schema/raw/master/csl-citation.json"} </w:instrText>
      </w:r>
      <w:r>
        <w:rPr>
          <w:rFonts w:hint="eastAsia"/>
          <w:sz w:val="24"/>
          <w:szCs w:val="24"/>
          <w:vertAlign w:val="superscript"/>
        </w:rPr>
        <w:fldChar w:fldCharType="separate"/>
      </w:r>
      <w:r>
        <w:rPr>
          <w:rFonts w:hint="eastAsia"/>
          <w:sz w:val="24"/>
          <w:szCs w:val="24"/>
          <w:vertAlign w:val="superscript"/>
        </w:rPr>
        <w:t>[</w:t>
      </w:r>
      <w:r>
        <w:rPr>
          <w:rFonts w:hint="eastAsia"/>
          <w:sz w:val="24"/>
          <w:szCs w:val="24"/>
          <w:vertAlign w:val="superscript"/>
          <w:lang w:val="en-US" w:eastAsia="zh-CN"/>
        </w:rPr>
        <w:t>32</w:t>
      </w:r>
      <w:r>
        <w:rPr>
          <w:rFonts w:hint="eastAsia"/>
          <w:sz w:val="24"/>
          <w:szCs w:val="24"/>
          <w:vertAlign w:val="superscript"/>
        </w:rPr>
        <w:t>]</w:t>
      </w:r>
      <w:r>
        <w:rPr>
          <w:rFonts w:hint="eastAsia"/>
          <w:sz w:val="24"/>
          <w:szCs w:val="24"/>
          <w:vertAlign w:val="superscript"/>
        </w:rPr>
        <w:fldChar w:fldCharType="end"/>
      </w:r>
      <w:r>
        <w:rPr>
          <w:rFonts w:hint="eastAsia"/>
          <w:sz w:val="24"/>
          <w:szCs w:val="24"/>
        </w:rPr>
        <w:t>（图2）。</w:t>
      </w:r>
    </w:p>
    <w:p w14:paraId="66CAAF9B">
      <w:pPr>
        <w:keepNext w:val="0"/>
        <w:keepLines w:val="0"/>
        <w:pageBreakBefore w:val="0"/>
        <w:kinsoku/>
        <w:overflowPunct/>
        <w:topLinePunct w:val="0"/>
        <w:autoSpaceDE/>
        <w:autoSpaceDN/>
        <w:bidi w:val="0"/>
        <w:adjustRightInd/>
        <w:spacing w:line="360" w:lineRule="auto"/>
        <w:jc w:val="center"/>
        <w:textAlignment w:val="auto"/>
      </w:pPr>
      <w:r>
        <w:drawing>
          <wp:inline distT="0" distB="0" distL="0" distR="0">
            <wp:extent cx="4942840" cy="2266315"/>
            <wp:effectExtent l="0" t="0" r="0" b="0"/>
            <wp:docPr id="21171545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10473" name="图片 6"/>
                    <pic:cNvPicPr>
                      <a:picLocks noChangeAspect="1"/>
                    </pic:cNvPicPr>
                  </pic:nvPicPr>
                  <pic:blipFill>
                    <a:blip xmlns:r="http://schemas.openxmlformats.org/officeDocument/2006/relationships" r:embed="rId5"/>
                    <a:stretch>
                      <a:fillRect/>
                    </a:stretch>
                  </pic:blipFill>
                  <pic:spPr>
                    <a:xfrm>
                      <a:off x="0" y="0"/>
                      <a:ext cx="4942840" cy="2266315"/>
                    </a:xfrm>
                    <a:prstGeom prst="rect">
                      <a:avLst/>
                    </a:prstGeom>
                  </pic:spPr>
                </pic:pic>
              </a:graphicData>
            </a:graphic>
          </wp:inline>
        </w:drawing>
      </w:r>
    </w:p>
    <w:p w14:paraId="08BFC054">
      <w:pPr>
        <w:keepNext w:val="0"/>
        <w:keepLines w:val="0"/>
        <w:pageBreakBefore w:val="0"/>
        <w:kinsoku/>
        <w:overflowPunct/>
        <w:topLinePunct w:val="0"/>
        <w:autoSpaceDE/>
        <w:autoSpaceDN/>
        <w:bidi w:val="0"/>
        <w:adjustRightInd/>
        <w:spacing w:line="360" w:lineRule="auto"/>
        <w:jc w:val="center"/>
        <w:textAlignment w:val="auto"/>
        <w:rPr>
          <w:rFonts w:hint="eastAsia"/>
          <w:sz w:val="21"/>
          <w:szCs w:val="21"/>
        </w:rPr>
      </w:pPr>
      <w:r>
        <w:rPr>
          <w:rFonts w:hint="eastAsia"/>
          <w:sz w:val="21"/>
          <w:szCs w:val="21"/>
        </w:rPr>
        <w:t>图2 TRIM13参与内质网自噬</w:t>
      </w:r>
    </w:p>
    <w:p w14:paraId="26A8EBD3">
      <w:pPr>
        <w:keepNext w:val="0"/>
        <w:keepLines w:val="0"/>
        <w:pageBreakBefore w:val="0"/>
        <w:kinsoku/>
        <w:overflowPunct/>
        <w:topLinePunct w:val="0"/>
        <w:autoSpaceDE/>
        <w:autoSpaceDN/>
        <w:bidi w:val="0"/>
        <w:adjustRightInd/>
        <w:spacing w:line="360" w:lineRule="auto"/>
        <w:jc w:val="center"/>
        <w:textAlignment w:val="auto"/>
        <w:rPr>
          <w:rFonts w:hint="eastAsia"/>
          <w:sz w:val="21"/>
          <w:szCs w:val="21"/>
        </w:rPr>
      </w:pPr>
      <w:r>
        <w:rPr>
          <w:rFonts w:hint="eastAsia"/>
          <w:sz w:val="21"/>
          <w:szCs w:val="21"/>
        </w:rPr>
        <w:t>TRIM13作为非经典的内质网自噬受体，通过K63泛素化与SQSTM1/p62结合从而招募LC3，进而引发自噬过程。ER：内质网；UBA：泛素结合结构域；LC3：微管相关蛋白1A/1B-轻链3；LIR：LC3相互作用结构域；SQSTM1/p62：螯合体1。</w:t>
      </w:r>
    </w:p>
    <w:p w14:paraId="6D74FE82">
      <w:pPr>
        <w:keepNext w:val="0"/>
        <w:keepLines w:val="0"/>
        <w:pageBreakBefore w:val="0"/>
        <w:kinsoku/>
        <w:overflowPunct/>
        <w:topLinePunct w:val="0"/>
        <w:autoSpaceDE/>
        <w:autoSpaceDN/>
        <w:bidi w:val="0"/>
        <w:adjustRightInd/>
        <w:spacing w:line="360" w:lineRule="auto"/>
        <w:ind w:firstLine="480" w:firstLineChars="200"/>
        <w:textAlignment w:val="auto"/>
        <w:rPr>
          <w:rFonts w:hint="eastAsia"/>
          <w:sz w:val="21"/>
          <w:szCs w:val="21"/>
        </w:rPr>
      </w:pPr>
      <w:r>
        <w:rPr>
          <w:rFonts w:hint="eastAsia"/>
          <w:sz w:val="24"/>
          <w:szCs w:val="24"/>
        </w:rPr>
        <w:t>另有研究发现，</w:t>
      </w:r>
      <w:r>
        <w:rPr>
          <w:rFonts w:hint="eastAsia"/>
          <w:sz w:val="24"/>
          <w:szCs w:val="24"/>
          <w:lang w:eastAsia="zh-CN"/>
        </w:rPr>
        <w:t>TRIM13</w:t>
      </w:r>
      <w:r>
        <w:rPr>
          <w:rFonts w:hint="eastAsia"/>
          <w:sz w:val="24"/>
          <w:szCs w:val="24"/>
        </w:rPr>
        <w:t>还可以与Beclin-1和液泡蛋白分选34（vacuolar protein sorting 34，VPS34）相互作用</w:t>
      </w:r>
      <w:r>
        <w:rPr>
          <w:rFonts w:hint="eastAsia"/>
          <w:sz w:val="24"/>
          <w:szCs w:val="24"/>
          <w:vertAlign w:val="superscript"/>
        </w:rPr>
        <w:fldChar w:fldCharType="begin"/>
      </w:r>
      <w:r>
        <w:rPr>
          <w:rFonts w:hint="eastAsia"/>
          <w:sz w:val="24"/>
          <w:szCs w:val="24"/>
          <w:vertAlign w:val="superscript"/>
        </w:rPr>
        <w:instrText xml:space="preserve"> ADDIN ZOTERO_ITEM CSL_CITATION {"citationID":"hrGz1jgy","properties":{"formattedCitation":"\\super [26]\\nosupersub{}","plainCitation":"[26]","noteIndex":0},"citationItems":[{"id":1359,"uris":["http://zotero.org/users/5543336/items/FHK8N43H"],"itemData":{"id":1359,"type":"article-journal","abstract":"The endoplasmic reticulum (ER) is susceptible to wear-and-tear and proteotoxic stress, necessitating its turnover. Here, we show that the N-degron pathway mediates ER-phagy. This autophagic degradation initiates when the transmembrane E3 ligase TRIM13 (also known as RFP2) is ubiquitinated via the lysine 63 (K63) linkage. K63-ubiquitinated TRIM13 recruits p62 (also known as sequestosome-1), whose complex undergoes oligomerization. The oligomerization is induced when the ZZ domain of p62 is bound by the N-terminal arginine (Nt-Arg) of arginylated substrates. Upon activation by the Nt-Arg, oligomerized TRIM13p62 complexes are separated along with the ER compartments and targeted to autophagosomes, leading to lysosomal degradation. When protein aggregates accumulate within the ER lumen, degradation-resistant autophagic cargoes are co-segregated by ER membranes for lysosomal degradation. We developed synthetic ligands to the p62 ZZ domain that enhance ER-phagy for ER protein quality control and alleviate ER stresses. Our results elucidate the biochemical mechanisms and pharmaceutical means that regulate ER homeostasis.","container-title":"Molecular Cell","DOI":"10.1016/j.molcel.2019.06.028","ISSN":"10972765","issue":"5","journalAbbreviation":"Mol. Cell","language":"en","note":"JCR分区: Q1\n中科院分区升级版: 生物学1区\n影响因子: 16.0","page":"1058-1072.e9","source":"DOI.org (Crossref)","title":"The N-Degron Pathway Mediates ER-phagy","volume":"75","author":[{"family":"Ji","given":"Chang Hoon"},{"family":"Kim","given":"Hee Yeon"},{"family":"Heo","given":"Ah Jung"},{"family":"Lee","given":"Su Hyun"},{"family":"Lee","given":"Min Ju"},{"family":"Kim","given":"Su Bin"},{"family":"Srinivasrao","given":"Ganipisetti"},{"family":"Mun","given":"Su Ran"},{"family":"Cha-Molstad","given":"Hyunjoo"},{"family":"Ciechanover","given":"Aaron"},{"family":"Choi","given":"Cheol Yong"},{"family":"Lee","given":"Hee Gu"},{"family":"Kim","given":"Bo Yeon"},{"family":"Kwon","given":"Yong Tae"}],"issued":{"date-parts":[["2019",9]]},"citation-key":"jiNDegronPathwayMediates2019"}}],"schema":"https://github.com/citation-style-language/schema/raw/master/csl-citation.json"} </w:instrText>
      </w:r>
      <w:r>
        <w:rPr>
          <w:rFonts w:hint="eastAsia"/>
          <w:sz w:val="24"/>
          <w:szCs w:val="24"/>
          <w:vertAlign w:val="superscript"/>
        </w:rPr>
        <w:fldChar w:fldCharType="separate"/>
      </w:r>
      <w:r>
        <w:rPr>
          <w:rFonts w:hint="eastAsia"/>
          <w:sz w:val="24"/>
          <w:szCs w:val="24"/>
          <w:vertAlign w:val="superscript"/>
        </w:rPr>
        <w:t>[</w:t>
      </w:r>
      <w:r>
        <w:rPr>
          <w:rFonts w:hint="eastAsia"/>
          <w:sz w:val="24"/>
          <w:szCs w:val="24"/>
          <w:vertAlign w:val="superscript"/>
          <w:lang w:val="en-US" w:eastAsia="zh-CN"/>
        </w:rPr>
        <w:t>33</w:t>
      </w:r>
      <w:r>
        <w:rPr>
          <w:rFonts w:hint="eastAsia"/>
          <w:sz w:val="24"/>
          <w:szCs w:val="24"/>
          <w:vertAlign w:val="superscript"/>
        </w:rPr>
        <w:t>]</w:t>
      </w:r>
      <w:r>
        <w:rPr>
          <w:rFonts w:hint="eastAsia"/>
          <w:sz w:val="24"/>
          <w:szCs w:val="24"/>
          <w:vertAlign w:val="superscript"/>
        </w:rPr>
        <w:fldChar w:fldCharType="end"/>
      </w:r>
      <w:r>
        <w:rPr>
          <w:rFonts w:hint="eastAsia"/>
          <w:sz w:val="24"/>
          <w:szCs w:val="24"/>
        </w:rPr>
        <w:t>，而Beclin-1和VPS34及VPS15、ATG14一起作为磷脂酰肌醇3-激酶（PI3K）复合物的成员参与自噬的形成的成核阶段</w:t>
      </w:r>
      <w:r>
        <w:rPr>
          <w:rFonts w:hint="eastAsia"/>
          <w:sz w:val="24"/>
          <w:szCs w:val="24"/>
          <w:vertAlign w:val="superscript"/>
        </w:rPr>
        <w:fldChar w:fldCharType="begin"/>
      </w:r>
      <w:r>
        <w:rPr>
          <w:rFonts w:hint="eastAsia"/>
          <w:sz w:val="24"/>
          <w:szCs w:val="24"/>
          <w:vertAlign w:val="superscript"/>
        </w:rPr>
        <w:instrText xml:space="preserve"> ADDIN ZOTERO_ITEM CSL_CITATION {"citationID":"ixSQ1moT","properties":{"formattedCitation":"\\super [25]\\nosupersub{}","plainCitation":"[25]","noteIndex":0},"citationItems":[{"id":1495,"uris":["http://zotero.org/users/5543336/items/628UTABD"],"itemData":{"id":1495,"type":"article-journal","abstract":"The emerging evidences suggest that endoplasmic (ER) stress is involved in onset of many pathological conditions like cancer and neurodegeneration. The persistent ER stress results in misfolded protein aggregates, which are degraded through the process of autophagy or lead to cell death through activation of caspases. The regulation of crosstalk of autophagy and cell death during ER stress is emerging. Ubiquitination plays regulatory role in crosstalk of autophagy and cell death. In the current study, we describe the role of TRIM13, RING E3 ubiquitin ligase, in regulation of ER stress induced cell death. The expression of TRIM13 sensitizes cells to ER stress induced death. TRIM13 induced autophagy is essential for ER stress induced caspase activation and cell death. TRIM13 induces K63 linked poly-ubiquitination of caspase-8, which results in its stabilization and activation during ER stress. TRIM13 regulates translocation of caspase-8 to autophagosome and its fusion with lysosome during ER stress. This study first time demonstrated the role of TRIM13 as novel regulator of caspase-8 activation and cell death during ER stress.","container-title":"Biochimica Et Biophysica Acta","DOI":"10.1016/j.bbamcr.2013.08.021","ISSN":"0006-3002","issue":"12","journalAbbreviation":"Biochimica Et Biophysica Acta","language":"eng","note":"PMID: 24021263","page":"3134-3144","source":"PubMed","title":"TRIM13 regulates caspase-8 ubiquitination, translocation to autophagosomes and activation during ER stress induced cell death","volume":"1833","author":[{"family":"Tomar","given":"Dhanendra"},{"family":"Prajapati","given":"Paresh"},{"family":"Sripada","given":"Lakshmi"},{"family":"Singh","given":"Kritarth"},{"family":"Singh","given":"Rochika"},{"family":"Singh","given":"Arun Kumar"},{"family":"Singh","given":"Rajesh"}],"issued":{"date-parts":[["2013",12]]},"citation-key":"tomarTRIM13RegulatesCaspase82013"}}],"schema":"https://github.com/citation-style-language/schema/raw/master/csl-citation.json"} </w:instrText>
      </w:r>
      <w:r>
        <w:rPr>
          <w:rFonts w:hint="eastAsia"/>
          <w:sz w:val="24"/>
          <w:szCs w:val="24"/>
          <w:vertAlign w:val="superscript"/>
        </w:rPr>
        <w:fldChar w:fldCharType="separate"/>
      </w:r>
      <w:r>
        <w:rPr>
          <w:rFonts w:hint="eastAsia"/>
          <w:sz w:val="24"/>
          <w:szCs w:val="24"/>
          <w:vertAlign w:val="superscript"/>
        </w:rPr>
        <w:t>[</w:t>
      </w:r>
      <w:r>
        <w:rPr>
          <w:rFonts w:hint="eastAsia"/>
          <w:sz w:val="24"/>
          <w:szCs w:val="24"/>
          <w:vertAlign w:val="superscript"/>
          <w:lang w:val="en-US" w:eastAsia="zh-CN"/>
        </w:rPr>
        <w:t>34</w:t>
      </w:r>
      <w:r>
        <w:rPr>
          <w:rFonts w:hint="eastAsia"/>
          <w:sz w:val="24"/>
          <w:szCs w:val="24"/>
          <w:vertAlign w:val="superscript"/>
        </w:rPr>
        <w:t>]</w:t>
      </w:r>
      <w:r>
        <w:rPr>
          <w:rFonts w:hint="eastAsia"/>
          <w:sz w:val="24"/>
          <w:szCs w:val="24"/>
          <w:vertAlign w:val="superscript"/>
        </w:rPr>
        <w:fldChar w:fldCharType="end"/>
      </w:r>
      <w:r>
        <w:rPr>
          <w:rFonts w:hint="eastAsia"/>
          <w:sz w:val="24"/>
          <w:szCs w:val="24"/>
        </w:rPr>
        <w:t>。在ER应激条件下，</w:t>
      </w:r>
      <w:r>
        <w:rPr>
          <w:rFonts w:hint="eastAsia"/>
          <w:sz w:val="24"/>
          <w:szCs w:val="24"/>
          <w:lang w:eastAsia="zh-CN"/>
        </w:rPr>
        <w:t>TRIM13</w:t>
      </w:r>
      <w:r>
        <w:rPr>
          <w:rFonts w:hint="eastAsia"/>
          <w:sz w:val="24"/>
          <w:szCs w:val="24"/>
        </w:rPr>
        <w:t>还通过与p62和双 FYVE蛋白1（DFCP1）的强相互作用促进自噬体生物发生</w:t>
      </w:r>
      <w:r>
        <w:rPr>
          <w:rFonts w:hint="eastAsia"/>
          <w:sz w:val="24"/>
          <w:szCs w:val="24"/>
          <w:vertAlign w:val="superscript"/>
        </w:rPr>
        <w:fldChar w:fldCharType="begin"/>
      </w:r>
      <w:r>
        <w:rPr>
          <w:rFonts w:hint="eastAsia"/>
          <w:sz w:val="24"/>
          <w:szCs w:val="24"/>
          <w:vertAlign w:val="superscript"/>
        </w:rPr>
        <w:instrText xml:space="preserve"> ADDIN ZOTERO_ITEM CSL_CITATION {"citationID":"74WnQUHn","properties":{"formattedCitation":"\\super [26]\\nosupersub{}","plainCitation":"[26]","noteIndex":0},"citationItems":[{"id":1359,"uris":["http://zotero.org/users/5543336/items/FHK8N43H"],"itemData":{"id":1359,"type":"article-journal","abstract":"The endoplasmic reticulum (ER) is susceptible to wear-and-tear and proteotoxic stress, necessitating its turnover. Here, we show that the N-degron pathway mediates ER-phagy. This autophagic degradation initiates when the transmembrane E3 ligase TRIM13 (also known as RFP2) is ubiquitinated via the lysine 63 (K63) linkage. K63-ubiquitinated TRIM13 recruits p62 (also known as sequestosome-1), whose complex undergoes oligomerization. The oligomerization is induced when the ZZ domain of p62 is bound by the N-terminal arginine (Nt-Arg) of arginylated substrates. Upon activation by the Nt-Arg, oligomerized TRIM13p62 complexes are separated along with the ER compartments and targeted to autophagosomes, leading to lysosomal degradation. When protein aggregates accumulate within the ER lumen, degradation-resistant autophagic cargoes are co-segregated by ER membranes for lysosomal degradation. We developed synthetic ligands to the p62 ZZ domain that enhance ER-phagy for ER protein quality control and alleviate ER stresses. Our results elucidate the biochemical mechanisms and pharmaceutical means that regulate ER homeostasis.","container-title":"Molecular Cell","DOI":"10.1016/j.molcel.2019.06.028","ISSN":"10972765","issue":"5","journalAbbreviation":"Mol. Cell","language":"en","note":"JCR分区: Q1\n中科院分区升级版: 生物学1区\n影响因子: 16.0","page":"1058-1072.e9","source":"DOI.org (Crossref)","title":"The N-Degron Pathway Mediates ER-phagy","volume":"75","author":[{"family":"Ji","given":"Chang Hoon"},{"family":"Kim","given":"Hee Yeon"},{"family":"Heo","given":"Ah Jung"},{"family":"Lee","given":"Su Hyun"},{"family":"Lee","given":"Min Ju"},{"family":"Kim","given":"Su Bin"},{"family":"Srinivasrao","given":"Ganipisetti"},{"family":"Mun","given":"Su Ran"},{"family":"Cha-Molstad","given":"Hyunjoo"},{"family":"Ciechanover","given":"Aaron"},{"family":"Choi","given":"Cheol Yong"},{"family":"Lee","given":"Hee Gu"},{"family":"Kim","given":"Bo Yeon"},{"family":"Kwon","given":"Yong Tae"}],"issued":{"date-parts":[["2019",9]]},"citation-key":"jiNDegronPathwayMediates2019"}}],"schema":"https://github.com/citation-style-language/schema/raw/master/csl-citation.json"} </w:instrText>
      </w:r>
      <w:r>
        <w:rPr>
          <w:rFonts w:hint="eastAsia"/>
          <w:sz w:val="24"/>
          <w:szCs w:val="24"/>
          <w:vertAlign w:val="superscript"/>
        </w:rPr>
        <w:fldChar w:fldCharType="separate"/>
      </w:r>
      <w:r>
        <w:rPr>
          <w:rFonts w:hint="eastAsia"/>
          <w:sz w:val="24"/>
          <w:szCs w:val="24"/>
          <w:vertAlign w:val="superscript"/>
        </w:rPr>
        <w:t>[</w:t>
      </w:r>
      <w:r>
        <w:rPr>
          <w:rFonts w:hint="eastAsia"/>
          <w:sz w:val="24"/>
          <w:szCs w:val="24"/>
          <w:vertAlign w:val="superscript"/>
          <w:lang w:val="en-US" w:eastAsia="zh-CN"/>
        </w:rPr>
        <w:t>34</w:t>
      </w:r>
      <w:r>
        <w:rPr>
          <w:rFonts w:hint="eastAsia"/>
          <w:sz w:val="24"/>
          <w:szCs w:val="24"/>
          <w:vertAlign w:val="superscript"/>
        </w:rPr>
        <w:t>]</w:t>
      </w:r>
      <w:r>
        <w:rPr>
          <w:rFonts w:hint="eastAsia"/>
          <w:sz w:val="24"/>
          <w:szCs w:val="24"/>
          <w:vertAlign w:val="superscript"/>
        </w:rPr>
        <w:fldChar w:fldCharType="end"/>
      </w:r>
      <w:r>
        <w:rPr>
          <w:rFonts w:hint="eastAsia"/>
          <w:sz w:val="24"/>
          <w:szCs w:val="24"/>
        </w:rPr>
        <w:t>，因此，</w:t>
      </w:r>
      <w:r>
        <w:rPr>
          <w:rFonts w:hint="eastAsia"/>
          <w:sz w:val="24"/>
          <w:szCs w:val="24"/>
          <w:lang w:eastAsia="zh-CN"/>
        </w:rPr>
        <w:t>TRIM13</w:t>
      </w:r>
      <w:r>
        <w:rPr>
          <w:rFonts w:hint="eastAsia"/>
          <w:sz w:val="24"/>
          <w:szCs w:val="24"/>
        </w:rPr>
        <w:t>在自噬体的形成过程中也发挥作用。</w:t>
      </w:r>
    </w:p>
    <w:p w14:paraId="1306AC73">
      <w:pPr>
        <w:keepNext w:val="0"/>
        <w:keepLines w:val="0"/>
        <w:pageBreakBefore w:val="0"/>
        <w:kinsoku/>
        <w:overflowPunct/>
        <w:topLinePunct w:val="0"/>
        <w:autoSpaceDE/>
        <w:autoSpaceDN/>
        <w:bidi w:val="0"/>
        <w:adjustRightInd/>
        <w:spacing w:line="360" w:lineRule="auto"/>
        <w:ind w:firstLine="480" w:firstLineChars="200"/>
        <w:jc w:val="both"/>
        <w:textAlignment w:val="auto"/>
        <w:rPr>
          <w:sz w:val="24"/>
          <w:szCs w:val="24"/>
        </w:rPr>
      </w:pPr>
      <w:r>
        <w:rPr>
          <w:sz w:val="24"/>
          <w:szCs w:val="24"/>
        </w:rPr>
        <w:t>基于以上分析和预实验结果，我们提出本项目的科学假设：失血性休克早期，</w:t>
      </w:r>
      <w:r>
        <w:rPr>
          <w:rFonts w:hint="eastAsia"/>
          <w:sz w:val="24"/>
          <w:szCs w:val="24"/>
        </w:rPr>
        <w:t>TRIM13</w:t>
      </w:r>
      <w:r>
        <w:rPr>
          <w:sz w:val="24"/>
          <w:szCs w:val="24"/>
        </w:rPr>
        <w:t>介导的DC</w:t>
      </w:r>
      <w:r>
        <w:rPr>
          <w:rFonts w:hint="eastAsia"/>
          <w:sz w:val="24"/>
          <w:szCs w:val="24"/>
        </w:rPr>
        <w:t>内质网</w:t>
      </w:r>
      <w:r>
        <w:rPr>
          <w:sz w:val="24"/>
          <w:szCs w:val="24"/>
        </w:rPr>
        <w:t>自噬明显增强，参与DC细胞的</w:t>
      </w:r>
      <w:r>
        <w:rPr>
          <w:rFonts w:hint="eastAsia"/>
          <w:sz w:val="24"/>
          <w:szCs w:val="24"/>
          <w:lang w:val="en-US" w:eastAsia="zh-CN"/>
        </w:rPr>
        <w:t>过度</w:t>
      </w:r>
      <w:r>
        <w:rPr>
          <w:sz w:val="24"/>
          <w:szCs w:val="24"/>
        </w:rPr>
        <w:t>活化过程；失血性休克如持续存在诱导TIPE2表达上调从而</w:t>
      </w:r>
      <w:r>
        <w:rPr>
          <w:rFonts w:hint="eastAsia"/>
          <w:sz w:val="24"/>
          <w:szCs w:val="24"/>
          <w:lang w:val="en-US" w:eastAsia="zh-CN"/>
        </w:rPr>
        <w:t>正</w:t>
      </w:r>
      <w:r>
        <w:rPr>
          <w:sz w:val="24"/>
          <w:szCs w:val="24"/>
        </w:rPr>
        <w:t>向调</w:t>
      </w:r>
      <w:r>
        <w:rPr>
          <w:rFonts w:hint="eastAsia"/>
          <w:sz w:val="24"/>
          <w:szCs w:val="24"/>
          <w:lang w:val="en-US" w:eastAsia="zh-CN"/>
        </w:rPr>
        <w:t>控</w:t>
      </w:r>
      <w:r>
        <w:rPr>
          <w:sz w:val="24"/>
          <w:szCs w:val="24"/>
        </w:rPr>
        <w:t>DC细胞</w:t>
      </w:r>
      <w:r>
        <w:rPr>
          <w:rFonts w:hint="eastAsia"/>
          <w:sz w:val="24"/>
          <w:szCs w:val="24"/>
        </w:rPr>
        <w:t>内质网</w:t>
      </w:r>
      <w:r>
        <w:rPr>
          <w:sz w:val="24"/>
          <w:szCs w:val="24"/>
        </w:rPr>
        <w:t>自噬活性，是DC免疫功能障碍的重要原因，TIPE2调控</w:t>
      </w:r>
      <w:r>
        <w:rPr>
          <w:rFonts w:hint="eastAsia"/>
          <w:sz w:val="24"/>
          <w:szCs w:val="24"/>
        </w:rPr>
        <w:t>TRIM13介导的内质网</w:t>
      </w:r>
      <w:r>
        <w:rPr>
          <w:sz w:val="24"/>
          <w:szCs w:val="24"/>
        </w:rPr>
        <w:t>自噬可改善失血性休克后DC免疫功能紊乱（详见图</w:t>
      </w:r>
      <w:r>
        <w:rPr>
          <w:rFonts w:hint="eastAsia"/>
          <w:sz w:val="24"/>
          <w:szCs w:val="24"/>
          <w:lang w:val="en-US" w:eastAsia="zh-CN"/>
        </w:rPr>
        <w:t>3</w:t>
      </w:r>
      <w:r>
        <w:rPr>
          <w:sz w:val="24"/>
          <w:szCs w:val="24"/>
        </w:rPr>
        <w:t>）。本课题以</w:t>
      </w:r>
      <w:r>
        <w:rPr>
          <w:rFonts w:hint="eastAsia"/>
          <w:sz w:val="24"/>
          <w:szCs w:val="24"/>
        </w:rPr>
        <w:t>TRIM13介导的内质网</w:t>
      </w:r>
      <w:r>
        <w:rPr>
          <w:sz w:val="24"/>
          <w:szCs w:val="24"/>
        </w:rPr>
        <w:t>自噬与失血性休克时DC免疫功能变化为切入点，应用构建的DC细胞特异性</w:t>
      </w:r>
      <w:r>
        <w:rPr>
          <w:rFonts w:hint="eastAsia"/>
          <w:sz w:val="24"/>
          <w:szCs w:val="24"/>
        </w:rPr>
        <w:t>T</w:t>
      </w:r>
      <w:r>
        <w:rPr>
          <w:rFonts w:hint="eastAsia"/>
          <w:sz w:val="24"/>
          <w:szCs w:val="24"/>
          <w:lang w:val="en-US" w:eastAsia="zh-CN"/>
        </w:rPr>
        <w:t>rim</w:t>
      </w:r>
      <w:r>
        <w:rPr>
          <w:rFonts w:hint="eastAsia"/>
          <w:sz w:val="24"/>
          <w:szCs w:val="24"/>
        </w:rPr>
        <w:t>13条件基因敲除小鼠、TIPE2</w:t>
      </w:r>
      <w:r>
        <w:rPr>
          <w:sz w:val="24"/>
          <w:szCs w:val="24"/>
        </w:rPr>
        <w:t>基因敲除小鼠</w:t>
      </w:r>
      <w:r>
        <w:rPr>
          <w:rFonts w:hint="eastAsia"/>
          <w:sz w:val="24"/>
          <w:szCs w:val="24"/>
        </w:rPr>
        <w:t>和TIPE2基因敲入小鼠</w:t>
      </w:r>
      <w:r>
        <w:rPr>
          <w:sz w:val="24"/>
          <w:szCs w:val="24"/>
        </w:rPr>
        <w:t>，深入研究</w:t>
      </w:r>
      <w:r>
        <w:rPr>
          <w:rFonts w:hint="eastAsia"/>
          <w:sz w:val="24"/>
          <w:szCs w:val="24"/>
        </w:rPr>
        <w:t>TRIM13介导的内质网</w:t>
      </w:r>
      <w:r>
        <w:rPr>
          <w:sz w:val="24"/>
          <w:szCs w:val="24"/>
        </w:rPr>
        <w:t>自噬在失血性休克后树突状细胞免疫功能紊乱中的地位及作用，探寻</w:t>
      </w:r>
      <w:r>
        <w:rPr>
          <w:rFonts w:hint="eastAsia"/>
          <w:sz w:val="24"/>
          <w:szCs w:val="24"/>
          <w:lang w:val="en-US" w:eastAsia="zh-CN"/>
        </w:rPr>
        <w:t>TIPE2</w:t>
      </w:r>
      <w:r>
        <w:rPr>
          <w:sz w:val="24"/>
          <w:szCs w:val="24"/>
        </w:rPr>
        <w:t>调控</w:t>
      </w:r>
      <w:r>
        <w:rPr>
          <w:rFonts w:hint="eastAsia"/>
          <w:sz w:val="24"/>
          <w:szCs w:val="24"/>
        </w:rPr>
        <w:t>TRIM13介导内质网</w:t>
      </w:r>
      <w:r>
        <w:rPr>
          <w:sz w:val="24"/>
          <w:szCs w:val="24"/>
        </w:rPr>
        <w:t>自噬</w:t>
      </w:r>
      <w:r>
        <w:rPr>
          <w:rFonts w:hint="eastAsia"/>
          <w:sz w:val="24"/>
          <w:szCs w:val="24"/>
        </w:rPr>
        <w:t>的关键信号机制</w:t>
      </w:r>
      <w:r>
        <w:rPr>
          <w:sz w:val="24"/>
          <w:szCs w:val="24"/>
        </w:rPr>
        <w:t>，为改善失血性休克</w:t>
      </w:r>
      <w:r>
        <w:rPr>
          <w:rFonts w:hint="eastAsia"/>
          <w:sz w:val="24"/>
          <w:szCs w:val="24"/>
        </w:rPr>
        <w:t>后树突状细胞</w:t>
      </w:r>
      <w:r>
        <w:rPr>
          <w:sz w:val="24"/>
          <w:szCs w:val="24"/>
        </w:rPr>
        <w:t>免疫功能紊乱提供有效的调控措施和干预靶点，为明确失血性休克后免疫应答失控提供重要的免疫学理论基础，具有重要的科学意义及潜在应用价值。</w:t>
      </w:r>
    </w:p>
    <w:p w14:paraId="1CFC7379">
      <w:pPr>
        <w:keepNext w:val="0"/>
        <w:keepLines w:val="0"/>
        <w:pageBreakBefore w:val="0"/>
        <w:kinsoku/>
        <w:overflowPunct/>
        <w:topLinePunct w:val="0"/>
        <w:autoSpaceDE/>
        <w:autoSpaceDN/>
        <w:bidi w:val="0"/>
        <w:adjustRightInd/>
        <w:spacing w:line="360" w:lineRule="auto"/>
        <w:jc w:val="center"/>
        <w:textAlignment w:val="auto"/>
        <w:rPr>
          <w:rFonts w:hint="eastAsia"/>
          <w:sz w:val="24"/>
          <w:szCs w:val="24"/>
        </w:rPr>
      </w:pPr>
      <w:r>
        <w:rPr>
          <w:rFonts w:hint="eastAsia"/>
          <w:sz w:val="24"/>
          <w:szCs w:val="24"/>
        </w:rPr>
        <w:drawing>
          <wp:inline distT="0" distB="0" distL="114300" distR="114300">
            <wp:extent cx="1912620" cy="3277235"/>
            <wp:effectExtent l="0" t="0" r="11430" b="18415"/>
            <wp:docPr id="3" name="图片 3" descr="16d21332a280d2899b877c422cfa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46038" name="图片 3" descr="16d21332a280d2899b877c422cfab23"/>
                    <pic:cNvPicPr>
                      <a:picLocks noChangeAspect="1"/>
                    </pic:cNvPicPr>
                  </pic:nvPicPr>
                  <pic:blipFill>
                    <a:blip xmlns:r="http://schemas.openxmlformats.org/officeDocument/2006/relationships" r:embed="rId6"/>
                    <a:srcRect t="20628" r="22672" b="4685"/>
                    <a:stretch>
                      <a:fillRect/>
                    </a:stretch>
                  </pic:blipFill>
                  <pic:spPr>
                    <a:xfrm>
                      <a:off x="0" y="0"/>
                      <a:ext cx="1912620" cy="3277235"/>
                    </a:xfrm>
                    <a:prstGeom prst="rect">
                      <a:avLst/>
                    </a:prstGeom>
                  </pic:spPr>
                </pic:pic>
              </a:graphicData>
            </a:graphic>
          </wp:inline>
        </w:drawing>
      </w:r>
    </w:p>
    <w:p w14:paraId="2500CBA6">
      <w:pPr>
        <w:keepNext w:val="0"/>
        <w:keepLines w:val="0"/>
        <w:pageBreakBefore w:val="0"/>
        <w:kinsoku/>
        <w:overflowPunct/>
        <w:topLinePunct w:val="0"/>
        <w:autoSpaceDE/>
        <w:autoSpaceDN/>
        <w:bidi w:val="0"/>
        <w:adjustRightInd/>
        <w:spacing w:line="360" w:lineRule="auto"/>
        <w:jc w:val="center"/>
        <w:textAlignment w:val="auto"/>
        <w:rPr>
          <w:rFonts w:hint="eastAsia"/>
          <w:b/>
          <w:bCs/>
          <w:sz w:val="24"/>
          <w:szCs w:val="24"/>
        </w:rPr>
      </w:pPr>
      <w:r>
        <w:rPr>
          <w:sz w:val="24"/>
          <w:szCs w:val="24"/>
        </w:rPr>
        <w:t>图</w:t>
      </w:r>
      <w:r>
        <w:rPr>
          <w:rFonts w:hint="eastAsia"/>
          <w:sz w:val="24"/>
          <w:szCs w:val="24"/>
        </w:rPr>
        <w:t>3 TIPE2调控</w:t>
      </w:r>
      <w:r>
        <w:rPr>
          <w:rFonts w:hint="eastAsia"/>
          <w:sz w:val="24"/>
          <w:szCs w:val="24"/>
          <w:lang w:eastAsia="zh-CN"/>
        </w:rPr>
        <w:t>TRIM13</w:t>
      </w:r>
      <w:r>
        <w:rPr>
          <w:rFonts w:hint="eastAsia"/>
          <w:sz w:val="24"/>
          <w:szCs w:val="24"/>
        </w:rPr>
        <w:t>介导的内质网</w:t>
      </w:r>
      <w:r>
        <w:rPr>
          <w:sz w:val="24"/>
          <w:szCs w:val="24"/>
        </w:rPr>
        <w:t>自噬在</w:t>
      </w:r>
      <w:r>
        <w:rPr>
          <w:rFonts w:hint="eastAsia"/>
          <w:sz w:val="24"/>
          <w:szCs w:val="24"/>
        </w:rPr>
        <w:t>失血性休克诱导</w:t>
      </w:r>
      <w:r>
        <w:rPr>
          <w:sz w:val="24"/>
          <w:szCs w:val="24"/>
        </w:rPr>
        <w:t>DC功能障碍中的</w:t>
      </w:r>
      <w:r>
        <w:rPr>
          <w:rFonts w:hint="eastAsia"/>
          <w:sz w:val="24"/>
          <w:szCs w:val="24"/>
        </w:rPr>
        <w:t>机制</w:t>
      </w:r>
      <w:r>
        <w:rPr>
          <w:sz w:val="24"/>
          <w:szCs w:val="24"/>
        </w:rPr>
        <w:t>示意图</w:t>
      </w:r>
    </w:p>
    <w:p w14:paraId="3E4BA69B">
      <w:pPr>
        <w:keepNext w:val="0"/>
        <w:keepLines w:val="0"/>
        <w:pageBreakBefore w:val="0"/>
        <w:numPr>
          <w:ilvl w:val="255"/>
          <w:numId w:val="0"/>
        </w:numPr>
        <w:kinsoku/>
        <w:wordWrap w:val="0"/>
        <w:overflowPunct/>
        <w:topLinePunct w:val="0"/>
        <w:autoSpaceDE/>
        <w:autoSpaceDN/>
        <w:bidi w:val="0"/>
        <w:adjustRightInd/>
        <w:spacing w:line="360" w:lineRule="auto"/>
        <w:ind w:firstLine="560" w:firstLineChars="200"/>
        <w:textAlignment w:val="auto"/>
        <w:rPr>
          <w:rFonts w:ascii="楷体" w:eastAsia="楷体" w:hAnsi="楷体" w:cs="楷体"/>
        </w:rPr>
      </w:pPr>
      <w:r>
        <w:rPr>
          <w:rFonts w:ascii="楷体" w:eastAsia="楷体" w:hAnsi="楷体" w:cs="楷体" w:hint="eastAsia"/>
        </w:rPr>
        <w:t>2.本项目的研究意义（需结合科学研究发展趋势来论述科学意义；或结合国民经济和社会发展中迫切需要解决的关键科技问题来论述其应用前景）</w:t>
      </w:r>
    </w:p>
    <w:p w14:paraId="573CFBAC">
      <w:pPr>
        <w:keepNext w:val="0"/>
        <w:keepLines w:val="0"/>
        <w:pageBreakBefore w:val="0"/>
        <w:kinsoku/>
        <w:overflowPunct/>
        <w:topLinePunct w:val="0"/>
        <w:autoSpaceDE/>
        <w:autoSpaceDN/>
        <w:bidi w:val="0"/>
        <w:adjustRightInd/>
        <w:spacing w:line="360" w:lineRule="auto"/>
        <w:ind w:firstLine="480" w:firstLineChars="200"/>
        <w:jc w:val="both"/>
        <w:textAlignment w:val="auto"/>
        <w:rPr>
          <w:rFonts w:eastAsia="宋体" w:hint="default"/>
          <w:sz w:val="24"/>
          <w:szCs w:val="24"/>
          <w:lang w:val="en-US" w:eastAsia="zh-CN"/>
        </w:rPr>
      </w:pPr>
      <w:r>
        <w:rPr>
          <w:rFonts w:hint="eastAsia"/>
          <w:sz w:val="24"/>
          <w:szCs w:val="24"/>
        </w:rPr>
        <w:t>失血性休克是全球危重病医学领域的重大难题，其高死亡率和高治疗成本给社会带来了巨大的医疗负担。失血性休克作为一种严重的临床并发症，其病理生理机制复杂，尤其是免疫功能紊乱在其进展为脓毒症休克、多器官功能障碍综合征（MODS）甚至死亡的过程中</w:t>
      </w:r>
      <w:r>
        <w:rPr>
          <w:rFonts w:hint="eastAsia"/>
          <w:sz w:val="24"/>
          <w:szCs w:val="24"/>
          <w:lang w:val="en-US" w:eastAsia="zh-CN"/>
        </w:rPr>
        <w:t>发挥</w:t>
      </w:r>
      <w:r>
        <w:rPr>
          <w:rFonts w:hint="eastAsia"/>
          <w:sz w:val="24"/>
          <w:szCs w:val="24"/>
        </w:rPr>
        <w:t>关键作用。树突状细胞在免疫调控中居于核心地位，其功能紊乱与失血性休克后的免疫抑制或免疫麻痹密切相关。肿瘤坏死因子α诱导蛋白8样分子2（TIPE2）作为维持免疫稳态的重要调控蛋白，其高表达与失血性休克后DC免疫功能紊乱密切相关，进而加剧失血性休克后的免疫抑制。我们最新研究发现，TIPE2的低表达能够通过抑制内质网选择性自噬，显著改善失血性休克后DC的免疫功能紊乱，但其关键作用与调控机制尚不清楚。本项目以内质网选择性自噬为研究切入点，应用TIPE2基因敲除或基因敲入小鼠制备失血性休克模型，深入解析TIPE2调控内质网自噬在改善失血性休克后DC免疫功能中的重要作用。三重基序蛋白13（Trim13）作为非经典内质网自噬受体深度参与内质网功能的调控，但其与TIPE2的相互作用及其在内质网自噬中的作用尚不明确。本研究应用树突状细胞特异性Trim13基因条件敲除小鼠，进一步揭示TIPE2通过调控T</w:t>
      </w:r>
      <w:r>
        <w:rPr>
          <w:rFonts w:hint="eastAsia"/>
          <w:sz w:val="24"/>
          <w:szCs w:val="24"/>
          <w:lang w:val="en-US" w:eastAsia="zh-CN"/>
        </w:rPr>
        <w:t>RIM</w:t>
      </w:r>
      <w:r>
        <w:rPr>
          <w:rFonts w:hint="eastAsia"/>
          <w:sz w:val="24"/>
          <w:szCs w:val="24"/>
        </w:rPr>
        <w:t>13介导的内质网自噬改善失血性休克后DC免疫功能紊乱的分子机制，对于揭示失血性休克后DC免疫功能紊乱的机制及调控路径具有重要意义</w:t>
      </w:r>
      <w:r>
        <w:rPr>
          <w:rFonts w:hint="eastAsia"/>
          <w:sz w:val="24"/>
          <w:szCs w:val="24"/>
          <w:lang w:eastAsia="zh-CN"/>
        </w:rPr>
        <w:t>，</w:t>
      </w:r>
      <w:r>
        <w:rPr>
          <w:rFonts w:hint="eastAsia"/>
          <w:sz w:val="24"/>
          <w:szCs w:val="24"/>
          <w:lang w:val="en-US" w:eastAsia="zh-CN"/>
        </w:rPr>
        <w:t>可为失血性休克的防治提供新的调控靶点和策略。</w:t>
      </w:r>
    </w:p>
    <w:p w14:paraId="14ABD71C">
      <w:pPr>
        <w:keepNext w:val="0"/>
        <w:keepLines w:val="0"/>
        <w:pageBreakBefore w:val="0"/>
        <w:numPr>
          <w:ilvl w:val="0"/>
          <w:numId w:val="0"/>
        </w:numPr>
        <w:kinsoku/>
        <w:wordWrap w:val="0"/>
        <w:overflowPunct/>
        <w:topLinePunct w:val="0"/>
        <w:autoSpaceDE/>
        <w:autoSpaceDN/>
        <w:bidi w:val="0"/>
        <w:adjustRightInd/>
        <w:spacing w:line="360" w:lineRule="auto"/>
        <w:ind w:firstLine="560" w:firstLineChars="200"/>
        <w:textAlignment w:val="auto"/>
        <w:rPr>
          <w:rFonts w:ascii="楷体" w:eastAsia="楷体" w:hAnsi="楷体" w:cs="楷体" w:hint="eastAsia"/>
        </w:rPr>
      </w:pPr>
      <w:r>
        <w:rPr>
          <w:rFonts w:ascii="楷体" w:eastAsia="楷体" w:hAnsi="楷体" w:cs="楷体" w:hint="eastAsia"/>
          <w:lang w:val="en-US" w:eastAsia="zh-CN"/>
        </w:rPr>
        <w:t>3.</w:t>
      </w:r>
      <w:r>
        <w:rPr>
          <w:rFonts w:ascii="楷体" w:eastAsia="楷体" w:hAnsi="楷体" w:cs="楷体" w:hint="eastAsia"/>
        </w:rPr>
        <w:t>主要参考文献目录（参考文献格式应符合学术期刊投稿要求，并应在立论依据正文中标注）</w:t>
      </w:r>
    </w:p>
    <w:p w14:paraId="68536EDA">
      <w:pPr>
        <w:keepNext w:val="0"/>
        <w:keepLines w:val="0"/>
        <w:pageBreakBefore w:val="0"/>
        <w:numPr>
          <w:ilvl w:val="0"/>
          <w:numId w:val="1"/>
        </w:numPr>
        <w:kinsoku/>
        <w:overflowPunct/>
        <w:topLinePunct w:val="0"/>
        <w:autoSpaceDE/>
        <w:autoSpaceDN/>
        <w:bidi w:val="0"/>
        <w:adjustRightInd/>
        <w:spacing w:line="360" w:lineRule="auto"/>
        <w:textAlignment w:val="auto"/>
        <w:rPr>
          <w:rFonts w:eastAsia="等线"/>
          <w:sz w:val="20"/>
        </w:rPr>
      </w:pPr>
      <w:r>
        <w:rPr>
          <w:rFonts w:eastAsia="等线"/>
          <w:sz w:val="20"/>
        </w:rPr>
        <w:t>Meza Monge K, Ardon-Lopez A, Pratap A, Idrovo JP</w:t>
      </w:r>
      <w:r>
        <w:rPr>
          <w:rFonts w:eastAsia="等线" w:hint="eastAsia"/>
          <w:sz w:val="20"/>
          <w:lang w:val="en-US" w:eastAsia="zh-CN"/>
        </w:rPr>
        <w:t xml:space="preserve">. </w:t>
      </w:r>
      <w:r>
        <w:rPr>
          <w:rFonts w:eastAsia="等线"/>
          <w:sz w:val="20"/>
        </w:rPr>
        <w:t>Targeting Inflammation After Hemorrhagic Shock as a Molecular and Experimental Journey to Improve Outcomes: A Review</w:t>
      </w:r>
      <w:r>
        <w:rPr>
          <w:rFonts w:eastAsia="等线" w:hint="eastAsia"/>
          <w:sz w:val="20"/>
          <w:lang w:val="en-US" w:eastAsia="zh-CN"/>
        </w:rPr>
        <w:t xml:space="preserve"> </w:t>
      </w:r>
      <w:r>
        <w:rPr>
          <w:rFonts w:eastAsia="等线"/>
          <w:sz w:val="20"/>
        </w:rPr>
        <w:t>[J]. Cureus, 202</w:t>
      </w:r>
      <w:r>
        <w:rPr>
          <w:rFonts w:eastAsia="等线" w:hint="eastAsia"/>
          <w:sz w:val="20"/>
          <w:lang w:val="en-US" w:eastAsia="zh-CN"/>
        </w:rPr>
        <w:t>5</w:t>
      </w:r>
      <w:r>
        <w:rPr>
          <w:rFonts w:eastAsia="等线"/>
          <w:sz w:val="20"/>
        </w:rPr>
        <w:t>, 17(1):e77776.</w:t>
      </w:r>
    </w:p>
    <w:p w14:paraId="470F568D">
      <w:pPr>
        <w:keepNext w:val="0"/>
        <w:keepLines w:val="0"/>
        <w:pageBreakBefore w:val="0"/>
        <w:numPr>
          <w:ilvl w:val="0"/>
          <w:numId w:val="1"/>
        </w:numPr>
        <w:kinsoku/>
        <w:overflowPunct/>
        <w:topLinePunct w:val="0"/>
        <w:autoSpaceDE/>
        <w:autoSpaceDN/>
        <w:bidi w:val="0"/>
        <w:adjustRightInd/>
        <w:spacing w:line="360" w:lineRule="auto"/>
        <w:textAlignment w:val="auto"/>
        <w:rPr>
          <w:rFonts w:eastAsia="等线"/>
          <w:sz w:val="20"/>
        </w:rPr>
      </w:pPr>
      <w:r>
        <w:rPr>
          <w:rFonts w:eastAsia="等线"/>
          <w:sz w:val="20"/>
          <w:lang w:val="en-US" w:eastAsia="zh-CN"/>
        </w:rPr>
        <w:t>Pantalone D, Bergamini C, Martellucci J, et al. The Role of DAMPS in Burns and Hemorrhagic Shock Immune Response: Pathophysiology and Clinical Issues. Review [J]. International Journal of Molecular Sciences, 2021, 22(13): 1-12</w:t>
      </w:r>
    </w:p>
    <w:p w14:paraId="6DB04A73">
      <w:pPr>
        <w:keepNext w:val="0"/>
        <w:keepLines w:val="0"/>
        <w:pageBreakBefore w:val="0"/>
        <w:kinsoku/>
        <w:overflowPunct/>
        <w:topLinePunct w:val="0"/>
        <w:autoSpaceDE/>
        <w:autoSpaceDN/>
        <w:bidi w:val="0"/>
        <w:adjustRightInd/>
        <w:spacing w:line="360" w:lineRule="auto"/>
        <w:textAlignment w:val="auto"/>
        <w:rPr>
          <w:rFonts w:eastAsia="等线" w:hint="default"/>
          <w:sz w:val="20"/>
          <w:lang w:val="en-US" w:eastAsia="zh-CN"/>
        </w:rPr>
      </w:pPr>
      <w:r>
        <w:rPr>
          <w:rFonts w:eastAsia="等线"/>
          <w:sz w:val="20"/>
        </w:rPr>
        <w:t>[</w:t>
      </w:r>
      <w:r>
        <w:rPr>
          <w:rFonts w:eastAsia="等线" w:hint="eastAsia"/>
          <w:sz w:val="20"/>
          <w:lang w:val="en-US" w:eastAsia="zh-CN"/>
        </w:rPr>
        <w:t>3</w:t>
      </w:r>
      <w:r>
        <w:rPr>
          <w:rFonts w:eastAsia="等线"/>
          <w:sz w:val="20"/>
        </w:rPr>
        <w:t>]</w:t>
      </w:r>
      <w:r>
        <w:rPr>
          <w:rFonts w:eastAsia="等线" w:hint="eastAsia"/>
          <w:sz w:val="20"/>
          <w:lang w:val="en-US" w:eastAsia="zh-CN"/>
        </w:rPr>
        <w:t xml:space="preserve"> </w:t>
      </w:r>
      <w:r>
        <w:rPr>
          <w:rFonts w:eastAsia="等线"/>
          <w:sz w:val="20"/>
        </w:rPr>
        <w:t>Sun</w:t>
      </w:r>
      <w:r>
        <w:rPr>
          <w:rFonts w:eastAsia="等线" w:hint="eastAsia"/>
          <w:sz w:val="20"/>
          <w:lang w:val="en-US" w:eastAsia="zh-CN"/>
        </w:rPr>
        <w:t xml:space="preserve"> </w:t>
      </w:r>
      <w:r>
        <w:rPr>
          <w:rFonts w:eastAsia="等线"/>
          <w:sz w:val="20"/>
        </w:rPr>
        <w:t>Q</w:t>
      </w:r>
      <w:r>
        <w:rPr>
          <w:rFonts w:eastAsia="等线" w:hint="eastAsia"/>
          <w:sz w:val="20"/>
          <w:lang w:val="en-US" w:eastAsia="zh-CN"/>
        </w:rPr>
        <w:t xml:space="preserve">, </w:t>
      </w:r>
      <w:r>
        <w:rPr>
          <w:rFonts w:eastAsia="等线"/>
          <w:sz w:val="20"/>
        </w:rPr>
        <w:t>Zhang</w:t>
      </w:r>
      <w:r>
        <w:rPr>
          <w:rFonts w:eastAsia="等线" w:hint="eastAsia"/>
          <w:sz w:val="20"/>
          <w:lang w:val="en-US" w:eastAsia="zh-CN"/>
        </w:rPr>
        <w:t xml:space="preserve"> </w:t>
      </w:r>
      <w:r>
        <w:rPr>
          <w:rFonts w:eastAsia="等线"/>
          <w:sz w:val="20"/>
        </w:rPr>
        <w:t>H,</w:t>
      </w:r>
      <w:r>
        <w:rPr>
          <w:rFonts w:eastAsia="等线" w:hint="eastAsia"/>
          <w:sz w:val="20"/>
          <w:lang w:val="en-US" w:eastAsia="zh-CN"/>
        </w:rPr>
        <w:t xml:space="preserve"> </w:t>
      </w:r>
      <w:r>
        <w:rPr>
          <w:rFonts w:eastAsia="等线"/>
          <w:sz w:val="20"/>
        </w:rPr>
        <w:t>Du</w:t>
      </w:r>
      <w:r>
        <w:rPr>
          <w:rFonts w:eastAsia="等线" w:hint="eastAsia"/>
          <w:sz w:val="20"/>
          <w:lang w:val="en-US" w:eastAsia="zh-CN"/>
        </w:rPr>
        <w:t xml:space="preserve"> </w:t>
      </w:r>
      <w:r>
        <w:rPr>
          <w:rFonts w:eastAsia="等线"/>
          <w:sz w:val="20"/>
        </w:rPr>
        <w:t>HB, Zhao</w:t>
      </w:r>
      <w:r>
        <w:rPr>
          <w:rFonts w:eastAsia="等线" w:hint="eastAsia"/>
          <w:sz w:val="20"/>
          <w:lang w:val="en-US" w:eastAsia="zh-CN"/>
        </w:rPr>
        <w:t xml:space="preserve"> </w:t>
      </w:r>
      <w:r>
        <w:rPr>
          <w:rFonts w:eastAsia="等线"/>
          <w:sz w:val="20"/>
        </w:rPr>
        <w:t>ZA, Li</w:t>
      </w:r>
      <w:r>
        <w:rPr>
          <w:rFonts w:eastAsia="等线" w:hint="eastAsia"/>
          <w:sz w:val="20"/>
          <w:lang w:val="en-US" w:eastAsia="zh-CN"/>
        </w:rPr>
        <w:t xml:space="preserve"> </w:t>
      </w:r>
      <w:r>
        <w:rPr>
          <w:rFonts w:eastAsia="等线"/>
          <w:sz w:val="20"/>
        </w:rPr>
        <w:t>CJ, Chen</w:t>
      </w:r>
      <w:r>
        <w:rPr>
          <w:rFonts w:eastAsia="等线" w:hint="eastAsia"/>
          <w:sz w:val="20"/>
          <w:lang w:val="en-US" w:eastAsia="zh-CN"/>
        </w:rPr>
        <w:t xml:space="preserve"> </w:t>
      </w:r>
      <w:r>
        <w:rPr>
          <w:rFonts w:eastAsia="等线"/>
          <w:sz w:val="20"/>
        </w:rPr>
        <w:t>SJ, Li</w:t>
      </w:r>
      <w:r>
        <w:rPr>
          <w:rFonts w:eastAsia="等线" w:hint="eastAsia"/>
          <w:sz w:val="20"/>
          <w:lang w:val="en-US" w:eastAsia="zh-CN"/>
        </w:rPr>
        <w:t xml:space="preserve"> </w:t>
      </w:r>
      <w:r>
        <w:rPr>
          <w:rFonts w:eastAsia="等线"/>
          <w:sz w:val="20"/>
        </w:rPr>
        <w:t>YM, Zhang</w:t>
      </w:r>
      <w:r>
        <w:rPr>
          <w:rFonts w:eastAsia="等线" w:hint="eastAsia"/>
          <w:sz w:val="20"/>
          <w:lang w:val="en-US" w:eastAsia="zh-CN"/>
        </w:rPr>
        <w:t xml:space="preserve"> </w:t>
      </w:r>
      <w:r>
        <w:rPr>
          <w:rFonts w:eastAsia="等线"/>
          <w:sz w:val="20"/>
        </w:rPr>
        <w:t>SL, Liu</w:t>
      </w:r>
      <w:r>
        <w:rPr>
          <w:rFonts w:eastAsia="等线" w:hint="eastAsia"/>
          <w:sz w:val="20"/>
          <w:lang w:val="en-US" w:eastAsia="zh-CN"/>
        </w:rPr>
        <w:t xml:space="preserve"> </w:t>
      </w:r>
      <w:r>
        <w:rPr>
          <w:rFonts w:eastAsia="等线"/>
          <w:sz w:val="20"/>
        </w:rPr>
        <w:t>JC, Niu</w:t>
      </w:r>
      <w:r>
        <w:rPr>
          <w:rFonts w:eastAsia="等线" w:hint="eastAsia"/>
          <w:sz w:val="20"/>
          <w:lang w:val="en-US" w:eastAsia="zh-CN"/>
        </w:rPr>
        <w:t xml:space="preserve"> </w:t>
      </w:r>
      <w:r>
        <w:rPr>
          <w:rFonts w:eastAsia="等线"/>
          <w:sz w:val="20"/>
        </w:rPr>
        <w:t>CY, Zhao</w:t>
      </w:r>
      <w:r>
        <w:rPr>
          <w:rFonts w:eastAsia="等线" w:hint="eastAsia"/>
          <w:sz w:val="20"/>
          <w:lang w:val="en-US" w:eastAsia="zh-CN"/>
        </w:rPr>
        <w:t xml:space="preserve"> </w:t>
      </w:r>
      <w:r>
        <w:rPr>
          <w:rFonts w:eastAsia="等线"/>
          <w:sz w:val="20"/>
        </w:rPr>
        <w:t xml:space="preserve">ZG. </w:t>
      </w:r>
      <w:r>
        <w:rPr>
          <w:rFonts w:eastAsia="等线" w:hint="default"/>
          <w:sz w:val="20"/>
        </w:rPr>
        <w:t>E</w:t>
      </w:r>
      <w:r>
        <w:rPr>
          <w:rFonts w:eastAsia="等线" w:hint="eastAsia"/>
          <w:sz w:val="20"/>
          <w:lang w:val="en-US" w:eastAsia="zh-CN"/>
        </w:rPr>
        <w:t>strogen alleviates posthemorrhagic shock mesenteric shock mesenteric lymph-mediated lung injury through autophagy inhibition. Shock</w:t>
      </w:r>
      <w:r>
        <w:rPr>
          <w:rFonts w:eastAsia="等线"/>
          <w:sz w:val="20"/>
        </w:rPr>
        <w:t xml:space="preserve"> [J]</w:t>
      </w:r>
      <w:r>
        <w:rPr>
          <w:rFonts w:eastAsia="等线" w:hint="eastAsia"/>
          <w:sz w:val="20"/>
          <w:lang w:val="en-US" w:eastAsia="zh-CN"/>
        </w:rPr>
        <w:t>. 2023, 59(5):754-762</w:t>
      </w:r>
    </w:p>
    <w:p w14:paraId="53C16F43">
      <w:pPr>
        <w:keepNext w:val="0"/>
        <w:keepLines w:val="0"/>
        <w:pageBreakBefore w:val="0"/>
        <w:kinsoku/>
        <w:overflowPunct/>
        <w:topLinePunct w:val="0"/>
        <w:autoSpaceDE/>
        <w:autoSpaceDN/>
        <w:bidi w:val="0"/>
        <w:adjustRightInd/>
        <w:spacing w:line="360" w:lineRule="auto"/>
        <w:textAlignment w:val="auto"/>
        <w:rPr>
          <w:rFonts w:eastAsia="等线"/>
          <w:sz w:val="20"/>
        </w:rPr>
      </w:pPr>
      <w:r>
        <w:rPr>
          <w:rFonts w:eastAsia="等线" w:hint="eastAsia"/>
          <w:sz w:val="20"/>
        </w:rPr>
        <w:t>[</w:t>
      </w:r>
      <w:r>
        <w:rPr>
          <w:rFonts w:eastAsia="等线" w:hint="eastAsia"/>
          <w:sz w:val="20"/>
          <w:lang w:val="en-US" w:eastAsia="zh-CN"/>
        </w:rPr>
        <w:t>4</w:t>
      </w:r>
      <w:r>
        <w:rPr>
          <w:rFonts w:eastAsia="等线" w:hint="eastAsia"/>
          <w:sz w:val="20"/>
        </w:rPr>
        <w:t xml:space="preserve">] </w:t>
      </w:r>
      <w:r>
        <w:rPr>
          <w:rFonts w:eastAsia="等线"/>
          <w:sz w:val="20"/>
        </w:rPr>
        <w:t>WCULEK SK, CUETO FJ, MUJAL AM, MELERO L, KRUMMEL MF, SANCHO D. Dendritic cells in cancer immunology and immunotherapy [J]. Nat Rev Immunol, 2020, 20(1): 7-24.</w:t>
      </w:r>
    </w:p>
    <w:p w14:paraId="50D7A0E2">
      <w:pPr>
        <w:keepNext w:val="0"/>
        <w:keepLines w:val="0"/>
        <w:pageBreakBefore w:val="0"/>
        <w:numPr>
          <w:ilvl w:val="0"/>
          <w:numId w:val="0"/>
        </w:numPr>
        <w:kinsoku/>
        <w:overflowPunct/>
        <w:topLinePunct w:val="0"/>
        <w:autoSpaceDE/>
        <w:autoSpaceDN/>
        <w:bidi w:val="0"/>
        <w:adjustRightInd/>
        <w:spacing w:line="360" w:lineRule="auto"/>
        <w:ind w:leftChars="0"/>
        <w:textAlignment w:val="auto"/>
        <w:rPr>
          <w:rFonts w:eastAsia="等线"/>
          <w:sz w:val="20"/>
        </w:rPr>
      </w:pPr>
      <w:r>
        <w:rPr>
          <w:rFonts w:eastAsia="等线" w:hint="eastAsia"/>
          <w:sz w:val="20"/>
          <w:lang w:val="en-US" w:eastAsia="zh-CN"/>
        </w:rPr>
        <w:t xml:space="preserve">[5] </w:t>
      </w:r>
      <w:r>
        <w:rPr>
          <w:rFonts w:eastAsia="等线"/>
          <w:sz w:val="20"/>
        </w:rPr>
        <w:t>KUO K, PALMER L. Pathophysiology of hemorrhagic shock [J]. J Vet Emerg Crit Care (San Antonio), 2022, 32(S1): 22-31.</w:t>
      </w:r>
    </w:p>
    <w:p w14:paraId="3E290DB0">
      <w:pPr>
        <w:keepNext w:val="0"/>
        <w:keepLines w:val="0"/>
        <w:pageBreakBefore w:val="0"/>
        <w:kinsoku/>
        <w:overflowPunct/>
        <w:topLinePunct w:val="0"/>
        <w:autoSpaceDE/>
        <w:autoSpaceDN/>
        <w:bidi w:val="0"/>
        <w:adjustRightInd/>
        <w:spacing w:line="360" w:lineRule="auto"/>
        <w:textAlignment w:val="auto"/>
        <w:rPr>
          <w:rFonts w:eastAsia="等线"/>
          <w:sz w:val="20"/>
        </w:rPr>
      </w:pPr>
      <w:r>
        <w:rPr>
          <w:rFonts w:eastAsia="等线"/>
          <w:sz w:val="20"/>
        </w:rPr>
        <w:t>[</w:t>
      </w:r>
      <w:r>
        <w:rPr>
          <w:rFonts w:eastAsia="等线" w:hint="eastAsia"/>
          <w:sz w:val="20"/>
          <w:lang w:val="en-US" w:eastAsia="zh-CN"/>
        </w:rPr>
        <w:t>6</w:t>
      </w:r>
      <w:r>
        <w:rPr>
          <w:rFonts w:eastAsia="等线"/>
          <w:sz w:val="20"/>
        </w:rPr>
        <w:t>] MANSON J, HOFFMAN R, CHEN SH, RAMADAN MH, BILLIAR TR. Innate-Like Lymphocytes Are Immediate Participants in the Hyper-Acute Immune Response to Trauma and Hemorrhagic Shock [J]. Front Immunol, 2019, 10:1501.</w:t>
      </w:r>
    </w:p>
    <w:p w14:paraId="47FEFFD0">
      <w:pPr>
        <w:keepNext w:val="0"/>
        <w:keepLines w:val="0"/>
        <w:pageBreakBefore w:val="0"/>
        <w:kinsoku/>
        <w:overflowPunct/>
        <w:topLinePunct w:val="0"/>
        <w:autoSpaceDE/>
        <w:autoSpaceDN/>
        <w:bidi w:val="0"/>
        <w:adjustRightInd/>
        <w:spacing w:line="360" w:lineRule="auto"/>
        <w:textAlignment w:val="auto"/>
        <w:rPr>
          <w:rFonts w:eastAsia="等线"/>
          <w:sz w:val="20"/>
        </w:rPr>
      </w:pPr>
      <w:r>
        <w:rPr>
          <w:rFonts w:eastAsia="等线"/>
          <w:sz w:val="20"/>
        </w:rPr>
        <w:t>[</w:t>
      </w:r>
      <w:r>
        <w:rPr>
          <w:rFonts w:eastAsia="等线" w:hint="eastAsia"/>
          <w:sz w:val="20"/>
          <w:lang w:val="en-US" w:eastAsia="zh-CN"/>
        </w:rPr>
        <w:t>7</w:t>
      </w:r>
      <w:r>
        <w:rPr>
          <w:rFonts w:eastAsia="等线"/>
          <w:sz w:val="20"/>
        </w:rPr>
        <w:t>] LI Y, DU HB, JIANG LN, WANG C, YIN M, ZHANG LM, ZHANG H, ZHAO ZA, LIU ZK, NIU CY, ZHAO ZG. Stellate Ganglion Block Improves the Proliferation and Function of Splenic CD4</w:t>
      </w:r>
      <w:r>
        <w:rPr>
          <w:rFonts w:eastAsia="等线"/>
          <w:sz w:val="20"/>
          <w:vertAlign w:val="superscript"/>
        </w:rPr>
        <w:t>+</w:t>
      </w:r>
      <w:r>
        <w:rPr>
          <w:rFonts w:eastAsia="等线"/>
          <w:sz w:val="20"/>
        </w:rPr>
        <w:t> T Cells Through Inhibition of Posthemorrhagic Shock Mesenteric Lymph-Mediated Autophagy [J]. Inflammation, 2021, 44(6): 2543-2553.</w:t>
      </w:r>
    </w:p>
    <w:p w14:paraId="1CA8B777">
      <w:pPr>
        <w:keepNext w:val="0"/>
        <w:keepLines w:val="0"/>
        <w:pageBreakBefore w:val="0"/>
        <w:kinsoku/>
        <w:overflowPunct/>
        <w:topLinePunct w:val="0"/>
        <w:autoSpaceDE/>
        <w:autoSpaceDN/>
        <w:bidi w:val="0"/>
        <w:adjustRightInd/>
        <w:spacing w:line="360" w:lineRule="auto"/>
        <w:textAlignment w:val="auto"/>
        <w:rPr>
          <w:rFonts w:eastAsia="等线"/>
          <w:sz w:val="20"/>
        </w:rPr>
      </w:pPr>
      <w:r>
        <w:rPr>
          <w:rFonts w:eastAsia="等线" w:hint="eastAsia"/>
          <w:sz w:val="20"/>
        </w:rPr>
        <w:t>[</w:t>
      </w:r>
      <w:r>
        <w:rPr>
          <w:rFonts w:eastAsia="等线" w:hint="eastAsia"/>
          <w:sz w:val="20"/>
          <w:lang w:val="en-US" w:eastAsia="zh-CN"/>
        </w:rPr>
        <w:t>8</w:t>
      </w:r>
      <w:r>
        <w:rPr>
          <w:rFonts w:eastAsia="等线" w:hint="eastAsia"/>
          <w:sz w:val="20"/>
        </w:rPr>
        <w:t>] LIU H</w:t>
      </w:r>
      <w:r>
        <w:rPr>
          <w:rFonts w:eastAsia="等线"/>
          <w:sz w:val="20"/>
        </w:rPr>
        <w:t xml:space="preserve">, </w:t>
      </w:r>
      <w:r>
        <w:rPr>
          <w:rFonts w:eastAsia="等线" w:hint="eastAsia"/>
          <w:sz w:val="20"/>
        </w:rPr>
        <w:t>L</w:t>
      </w:r>
      <w:r>
        <w:rPr>
          <w:rFonts w:eastAsia="等线"/>
          <w:sz w:val="20"/>
        </w:rPr>
        <w:t xml:space="preserve">I </w:t>
      </w:r>
      <w:r>
        <w:rPr>
          <w:rFonts w:eastAsia="等线" w:hint="eastAsia"/>
          <w:sz w:val="20"/>
        </w:rPr>
        <w:t>JF</w:t>
      </w:r>
      <w:r>
        <w:rPr>
          <w:rFonts w:eastAsia="等线"/>
          <w:sz w:val="20"/>
        </w:rPr>
        <w:t>, ZHANG LM,</w:t>
      </w:r>
      <w:r>
        <w:rPr>
          <w:rFonts w:eastAsia="等线" w:hint="eastAsia"/>
          <w:sz w:val="20"/>
        </w:rPr>
        <w:t xml:space="preserve"> WANG HH, WANG XQ, </w:t>
      </w:r>
      <w:r>
        <w:rPr>
          <w:rFonts w:eastAsia="等线"/>
          <w:sz w:val="20"/>
        </w:rPr>
        <w:t xml:space="preserve">LIU GQ, </w:t>
      </w:r>
      <w:r>
        <w:rPr>
          <w:rFonts w:eastAsia="等线" w:hint="eastAsia"/>
          <w:sz w:val="20"/>
        </w:rPr>
        <w:t>DU HB</w:t>
      </w:r>
      <w:r>
        <w:rPr>
          <w:rFonts w:eastAsia="等线"/>
          <w:sz w:val="20"/>
        </w:rPr>
        <w:t>,</w:t>
      </w:r>
      <w:r>
        <w:rPr>
          <w:rFonts w:eastAsia="等线" w:hint="eastAsia"/>
          <w:sz w:val="20"/>
        </w:rPr>
        <w:t xml:space="preserve"> JIN YJ, XING LQ,</w:t>
      </w:r>
      <w:r>
        <w:rPr>
          <w:rFonts w:eastAsia="等线"/>
          <w:sz w:val="20"/>
        </w:rPr>
        <w:t xml:space="preserve"> ZHAO ZG, NIU CY. Posthemorrhagic Shock Mesenteric Lymph </w:t>
      </w:r>
      <w:r>
        <w:rPr>
          <w:rFonts w:eastAsia="等线" w:hint="eastAsia"/>
          <w:sz w:val="20"/>
        </w:rPr>
        <w:t xml:space="preserve">impairs spelenic dendritic cell function in mice. </w:t>
      </w:r>
      <w:r>
        <w:rPr>
          <w:rFonts w:eastAsia="等线"/>
          <w:sz w:val="20"/>
        </w:rPr>
        <w:t xml:space="preserve"> [J]. </w:t>
      </w:r>
      <w:r>
        <w:rPr>
          <w:rFonts w:eastAsia="等线" w:hint="eastAsia"/>
          <w:sz w:val="20"/>
        </w:rPr>
        <w:t>Shock</w:t>
      </w:r>
      <w:r>
        <w:rPr>
          <w:rFonts w:eastAsia="等线"/>
          <w:sz w:val="20"/>
        </w:rPr>
        <w:t>, 202</w:t>
      </w:r>
      <w:r>
        <w:rPr>
          <w:rFonts w:eastAsia="等线" w:hint="eastAsia"/>
          <w:sz w:val="20"/>
          <w:lang w:val="en-US" w:eastAsia="zh-CN"/>
        </w:rPr>
        <w:t>3</w:t>
      </w:r>
      <w:r>
        <w:rPr>
          <w:rFonts w:eastAsia="等线"/>
          <w:sz w:val="20"/>
        </w:rPr>
        <w:t xml:space="preserve">, </w:t>
      </w:r>
      <w:r>
        <w:rPr>
          <w:rFonts w:eastAsia="等线" w:hint="eastAsia"/>
          <w:sz w:val="20"/>
        </w:rPr>
        <w:t>59(2)</w:t>
      </w:r>
      <w:r>
        <w:rPr>
          <w:rFonts w:eastAsia="等线"/>
          <w:sz w:val="20"/>
        </w:rPr>
        <w:t>: 2</w:t>
      </w:r>
      <w:r>
        <w:rPr>
          <w:rFonts w:eastAsia="等线" w:hint="eastAsia"/>
          <w:sz w:val="20"/>
        </w:rPr>
        <w:t>56</w:t>
      </w:r>
      <w:r>
        <w:rPr>
          <w:rFonts w:eastAsia="等线"/>
          <w:sz w:val="20"/>
        </w:rPr>
        <w:t>-2</w:t>
      </w:r>
      <w:r>
        <w:rPr>
          <w:rFonts w:eastAsia="等线" w:hint="eastAsia"/>
          <w:sz w:val="20"/>
        </w:rPr>
        <w:t>66</w:t>
      </w:r>
      <w:r>
        <w:rPr>
          <w:rFonts w:eastAsia="等线"/>
          <w:sz w:val="20"/>
        </w:rPr>
        <w:t>.</w:t>
      </w:r>
    </w:p>
    <w:p w14:paraId="7E7054F4">
      <w:pPr>
        <w:keepNext w:val="0"/>
        <w:keepLines w:val="0"/>
        <w:pageBreakBefore w:val="0"/>
        <w:kinsoku/>
        <w:overflowPunct/>
        <w:topLinePunct w:val="0"/>
        <w:autoSpaceDE/>
        <w:autoSpaceDN/>
        <w:bidi w:val="0"/>
        <w:adjustRightInd/>
        <w:spacing w:line="360" w:lineRule="auto"/>
        <w:textAlignment w:val="auto"/>
        <w:rPr>
          <w:rFonts w:eastAsia="等线"/>
          <w:sz w:val="20"/>
        </w:rPr>
      </w:pPr>
      <w:r>
        <w:rPr>
          <w:rFonts w:eastAsia="等线" w:hint="eastAsia"/>
          <w:sz w:val="20"/>
        </w:rPr>
        <w:t>[</w:t>
      </w:r>
      <w:r>
        <w:rPr>
          <w:rFonts w:eastAsia="等线" w:hint="eastAsia"/>
          <w:sz w:val="20"/>
          <w:lang w:val="en-US" w:eastAsia="zh-CN"/>
        </w:rPr>
        <w:t>9</w:t>
      </w:r>
      <w:r>
        <w:rPr>
          <w:rFonts w:eastAsia="等线" w:hint="eastAsia"/>
          <w:sz w:val="20"/>
        </w:rPr>
        <w:t>] K</w:t>
      </w:r>
      <w:r>
        <w:rPr>
          <w:rFonts w:eastAsia="等线"/>
          <w:sz w:val="20"/>
        </w:rPr>
        <w:t>AWASAKI</w:t>
      </w:r>
      <w:r>
        <w:rPr>
          <w:rFonts w:eastAsia="等线" w:hint="eastAsia"/>
          <w:sz w:val="20"/>
        </w:rPr>
        <w:t xml:space="preserve"> T, C</w:t>
      </w:r>
      <w:r>
        <w:rPr>
          <w:rFonts w:eastAsia="等线"/>
          <w:sz w:val="20"/>
        </w:rPr>
        <w:t>HOUDHRY</w:t>
      </w:r>
      <w:r>
        <w:rPr>
          <w:rFonts w:eastAsia="等线" w:hint="eastAsia"/>
          <w:sz w:val="20"/>
        </w:rPr>
        <w:t xml:space="preserve"> MA, S</w:t>
      </w:r>
      <w:r>
        <w:rPr>
          <w:rFonts w:eastAsia="等线"/>
          <w:sz w:val="20"/>
        </w:rPr>
        <w:t>UZUKI</w:t>
      </w:r>
      <w:r>
        <w:rPr>
          <w:rFonts w:eastAsia="等线" w:hint="eastAsia"/>
          <w:sz w:val="20"/>
        </w:rPr>
        <w:t xml:space="preserve"> T, SCHWACHA MG, BLAND KI, CHAUDRY IH. 17beta-Estradiol's salutary effects on splenic dendritic cell functions following trauma-hemorrhage are mediated via estrogen receptor-alpha [J].</w:t>
      </w:r>
      <w:r>
        <w:rPr>
          <w:rFonts w:eastAsia="等线"/>
          <w:sz w:val="20"/>
        </w:rPr>
        <w:t xml:space="preserve"> Mol Immunol</w:t>
      </w:r>
      <w:r>
        <w:rPr>
          <w:rFonts w:eastAsia="等线" w:hint="eastAsia"/>
          <w:sz w:val="20"/>
        </w:rPr>
        <w:t>, 2008, 45(2): 376-385.</w:t>
      </w:r>
    </w:p>
    <w:p w14:paraId="3678088E">
      <w:pPr>
        <w:keepNext w:val="0"/>
        <w:keepLines w:val="0"/>
        <w:pageBreakBefore w:val="0"/>
        <w:kinsoku/>
        <w:overflowPunct/>
        <w:topLinePunct w:val="0"/>
        <w:autoSpaceDE/>
        <w:autoSpaceDN/>
        <w:bidi w:val="0"/>
        <w:adjustRightInd/>
        <w:spacing w:line="360" w:lineRule="auto"/>
        <w:textAlignment w:val="auto"/>
        <w:rPr>
          <w:rFonts w:eastAsia="等线"/>
          <w:sz w:val="20"/>
        </w:rPr>
      </w:pPr>
      <w:r>
        <w:rPr>
          <w:rFonts w:eastAsia="等线" w:hint="eastAsia"/>
          <w:sz w:val="20"/>
        </w:rPr>
        <w:t>[</w:t>
      </w:r>
      <w:r>
        <w:rPr>
          <w:rFonts w:eastAsia="等线" w:hint="eastAsia"/>
          <w:sz w:val="20"/>
          <w:lang w:val="en-US" w:eastAsia="zh-CN"/>
        </w:rPr>
        <w:t>10</w:t>
      </w:r>
      <w:r>
        <w:rPr>
          <w:rFonts w:eastAsia="等线" w:hint="eastAsia"/>
          <w:sz w:val="20"/>
        </w:rPr>
        <w:t>]</w:t>
      </w:r>
      <w:r>
        <w:rPr>
          <w:rFonts w:eastAsia="等线" w:hint="eastAsia"/>
          <w:sz w:val="20"/>
        </w:rPr>
        <w:tab/>
      </w:r>
      <w:r>
        <w:rPr>
          <w:rFonts w:eastAsia="等线" w:hint="eastAsia"/>
          <w:sz w:val="20"/>
        </w:rPr>
        <w:t>Z</w:t>
      </w:r>
      <w:r>
        <w:rPr>
          <w:rFonts w:eastAsia="等线"/>
          <w:sz w:val="20"/>
        </w:rPr>
        <w:t>HANG</w:t>
      </w:r>
      <w:r>
        <w:rPr>
          <w:rFonts w:eastAsia="等线" w:hint="eastAsia"/>
          <w:sz w:val="20"/>
        </w:rPr>
        <w:t xml:space="preserve"> L, L</w:t>
      </w:r>
      <w:r>
        <w:rPr>
          <w:rFonts w:eastAsia="等线"/>
          <w:sz w:val="20"/>
        </w:rPr>
        <w:t>IU</w:t>
      </w:r>
      <w:r>
        <w:rPr>
          <w:rFonts w:eastAsia="等线" w:hint="eastAsia"/>
          <w:sz w:val="20"/>
        </w:rPr>
        <w:t xml:space="preserve"> R, L</w:t>
      </w:r>
      <w:r>
        <w:rPr>
          <w:rFonts w:eastAsia="等线"/>
          <w:sz w:val="20"/>
        </w:rPr>
        <w:t>UAN</w:t>
      </w:r>
      <w:r>
        <w:rPr>
          <w:rFonts w:eastAsia="等线" w:hint="eastAsia"/>
          <w:sz w:val="20"/>
        </w:rPr>
        <w:t xml:space="preserve"> YY, YAO YM. Tumor Necrosis Factor-</w:t>
      </w:r>
      <w:r>
        <w:rPr>
          <w:rFonts w:eastAsia="等线"/>
          <w:sz w:val="20"/>
        </w:rPr>
        <w:t xml:space="preserve">α </w:t>
      </w:r>
      <w:r>
        <w:rPr>
          <w:rFonts w:eastAsia="等线" w:hint="eastAsia"/>
          <w:sz w:val="20"/>
        </w:rPr>
        <w:t xml:space="preserve">Induced Protein 8: Pathophysiology, Clinical Significance, and Regulatory Mechanism [J]. </w:t>
      </w:r>
      <w:r>
        <w:rPr>
          <w:rFonts w:eastAsia="等线"/>
          <w:sz w:val="20"/>
        </w:rPr>
        <w:t>Int J Biol Sci</w:t>
      </w:r>
      <w:r>
        <w:rPr>
          <w:rFonts w:eastAsia="等线" w:hint="eastAsia"/>
          <w:sz w:val="20"/>
        </w:rPr>
        <w:t>, 2018, 14(4): 398-405.</w:t>
      </w:r>
    </w:p>
    <w:p w14:paraId="35ED096D">
      <w:pPr>
        <w:keepNext w:val="0"/>
        <w:keepLines w:val="0"/>
        <w:pageBreakBefore w:val="0"/>
        <w:kinsoku/>
        <w:overflowPunct/>
        <w:topLinePunct w:val="0"/>
        <w:autoSpaceDE/>
        <w:autoSpaceDN/>
        <w:bidi w:val="0"/>
        <w:adjustRightInd/>
        <w:spacing w:line="360" w:lineRule="auto"/>
        <w:textAlignment w:val="auto"/>
        <w:rPr>
          <w:rFonts w:eastAsia="等线"/>
          <w:sz w:val="20"/>
        </w:rPr>
      </w:pPr>
      <w:r>
        <w:rPr>
          <w:rFonts w:eastAsia="等线" w:hint="eastAsia"/>
          <w:sz w:val="20"/>
        </w:rPr>
        <w:t>[1</w:t>
      </w:r>
      <w:r>
        <w:rPr>
          <w:rFonts w:eastAsia="等线" w:hint="eastAsia"/>
          <w:sz w:val="20"/>
          <w:lang w:val="en-US" w:eastAsia="zh-CN"/>
        </w:rPr>
        <w:t>1</w:t>
      </w:r>
      <w:r>
        <w:rPr>
          <w:rFonts w:eastAsia="等线" w:hint="eastAsia"/>
          <w:sz w:val="20"/>
        </w:rPr>
        <w:t>]</w:t>
      </w:r>
      <w:r>
        <w:rPr>
          <w:rFonts w:eastAsia="等线" w:hint="eastAsia"/>
          <w:sz w:val="20"/>
        </w:rPr>
        <w:tab/>
      </w:r>
      <w:r>
        <w:rPr>
          <w:rFonts w:eastAsia="等线" w:hint="eastAsia"/>
          <w:sz w:val="20"/>
        </w:rPr>
        <w:t>T</w:t>
      </w:r>
      <w:r>
        <w:rPr>
          <w:rFonts w:eastAsia="等线"/>
          <w:sz w:val="20"/>
        </w:rPr>
        <w:t>IAN</w:t>
      </w:r>
      <w:r>
        <w:rPr>
          <w:rFonts w:eastAsia="等线" w:hint="eastAsia"/>
          <w:sz w:val="20"/>
        </w:rPr>
        <w:t xml:space="preserve"> ZZ, S</w:t>
      </w:r>
      <w:r>
        <w:rPr>
          <w:rFonts w:eastAsia="等线"/>
          <w:sz w:val="20"/>
        </w:rPr>
        <w:t>HOFER</w:t>
      </w:r>
      <w:r>
        <w:rPr>
          <w:rFonts w:eastAsia="等线" w:hint="eastAsia"/>
          <w:sz w:val="20"/>
        </w:rPr>
        <w:t xml:space="preserve"> FS, YAO LT, SUN HH, ZHANG HT, QIN L, CHEN YH, ZHANG YJ. TNFAIP8 family gene expressions in the mouse tail intervertebral disc injury model [J]. JOR Spine, 2020, 3(2): e1093.</w:t>
      </w:r>
    </w:p>
    <w:p w14:paraId="618F6C45">
      <w:pPr>
        <w:keepNext w:val="0"/>
        <w:keepLines w:val="0"/>
        <w:pageBreakBefore w:val="0"/>
        <w:kinsoku/>
        <w:overflowPunct/>
        <w:topLinePunct w:val="0"/>
        <w:autoSpaceDE/>
        <w:autoSpaceDN/>
        <w:bidi w:val="0"/>
        <w:adjustRightInd/>
        <w:spacing w:line="360" w:lineRule="auto"/>
        <w:textAlignment w:val="auto"/>
        <w:rPr>
          <w:rFonts w:eastAsia="等线"/>
          <w:sz w:val="20"/>
        </w:rPr>
      </w:pPr>
      <w:r>
        <w:rPr>
          <w:rFonts w:eastAsia="等线" w:hint="eastAsia"/>
          <w:sz w:val="20"/>
        </w:rPr>
        <w:t>[1</w:t>
      </w:r>
      <w:r>
        <w:rPr>
          <w:rFonts w:eastAsia="等线" w:hint="eastAsia"/>
          <w:sz w:val="20"/>
          <w:lang w:val="en-US" w:eastAsia="zh-CN"/>
        </w:rPr>
        <w:t>2</w:t>
      </w:r>
      <w:r>
        <w:rPr>
          <w:rFonts w:eastAsia="等线" w:hint="eastAsia"/>
          <w:sz w:val="20"/>
        </w:rPr>
        <w:t>]</w:t>
      </w:r>
      <w:r>
        <w:rPr>
          <w:rFonts w:eastAsia="等线" w:hint="eastAsia"/>
          <w:sz w:val="20"/>
        </w:rPr>
        <w:tab/>
      </w:r>
      <w:r>
        <w:rPr>
          <w:rFonts w:eastAsia="等线" w:hint="eastAsia"/>
          <w:sz w:val="20"/>
        </w:rPr>
        <w:t>S</w:t>
      </w:r>
      <w:r>
        <w:rPr>
          <w:rFonts w:eastAsia="等线"/>
          <w:sz w:val="20"/>
        </w:rPr>
        <w:t>UN</w:t>
      </w:r>
      <w:r>
        <w:rPr>
          <w:rFonts w:eastAsia="等线" w:hint="eastAsia"/>
          <w:sz w:val="20"/>
        </w:rPr>
        <w:t xml:space="preserve"> HH, Z</w:t>
      </w:r>
      <w:r>
        <w:rPr>
          <w:rFonts w:eastAsia="等线"/>
          <w:sz w:val="20"/>
        </w:rPr>
        <w:t>HUANG</w:t>
      </w:r>
      <w:r>
        <w:rPr>
          <w:rFonts w:eastAsia="等线" w:hint="eastAsia"/>
          <w:sz w:val="20"/>
        </w:rPr>
        <w:t xml:space="preserve"> G,H C</w:t>
      </w:r>
      <w:r>
        <w:rPr>
          <w:rFonts w:eastAsia="等线"/>
          <w:sz w:val="20"/>
        </w:rPr>
        <w:t>HAI</w:t>
      </w:r>
      <w:r>
        <w:rPr>
          <w:rFonts w:eastAsia="等线" w:hint="eastAsia"/>
          <w:sz w:val="20"/>
        </w:rPr>
        <w:t xml:space="preserve"> LH, WANG ZJ, JOHNSON D, MA YF, CHEN YH. TIPE2 controls innate immunity to RNA by targeting the phosphatidylinositol 3-kinase-Rac pathway [J]. </w:t>
      </w:r>
      <w:r>
        <w:rPr>
          <w:rFonts w:eastAsia="等线"/>
          <w:sz w:val="20"/>
        </w:rPr>
        <w:t>J Immunol</w:t>
      </w:r>
      <w:r>
        <w:rPr>
          <w:rFonts w:eastAsia="等线" w:hint="eastAsia"/>
          <w:sz w:val="20"/>
        </w:rPr>
        <w:t>, 2012, 189(6): 2768-2773.</w:t>
      </w:r>
    </w:p>
    <w:p w14:paraId="56396C74">
      <w:pPr>
        <w:keepNext w:val="0"/>
        <w:keepLines w:val="0"/>
        <w:pageBreakBefore w:val="0"/>
        <w:kinsoku/>
        <w:overflowPunct/>
        <w:topLinePunct w:val="0"/>
        <w:autoSpaceDE/>
        <w:autoSpaceDN/>
        <w:bidi w:val="0"/>
        <w:adjustRightInd/>
        <w:spacing w:line="360" w:lineRule="auto"/>
        <w:textAlignment w:val="auto"/>
        <w:rPr>
          <w:rFonts w:eastAsia="等线" w:hint="eastAsia"/>
          <w:sz w:val="20"/>
        </w:rPr>
      </w:pPr>
      <w:bookmarkStart w:id="64" w:name="_Hlk128427225"/>
      <w:r>
        <w:rPr>
          <w:rFonts w:eastAsia="等线" w:hint="eastAsia"/>
          <w:sz w:val="20"/>
        </w:rPr>
        <w:t>[1</w:t>
      </w:r>
      <w:r>
        <w:rPr>
          <w:rFonts w:eastAsia="等线" w:hint="eastAsia"/>
          <w:sz w:val="20"/>
          <w:lang w:val="en-US" w:eastAsia="zh-CN"/>
        </w:rPr>
        <w:t>3</w:t>
      </w:r>
      <w:r>
        <w:rPr>
          <w:rFonts w:eastAsia="等线" w:hint="eastAsia"/>
          <w:sz w:val="20"/>
        </w:rPr>
        <w:t>]</w:t>
      </w:r>
      <w:r>
        <w:rPr>
          <w:rFonts w:eastAsia="等线" w:hint="eastAsia"/>
          <w:sz w:val="20"/>
        </w:rPr>
        <w:tab/>
      </w:r>
      <w:r>
        <w:rPr>
          <w:rFonts w:eastAsia="等线" w:hint="eastAsia"/>
          <w:sz w:val="20"/>
        </w:rPr>
        <w:t>L</w:t>
      </w:r>
      <w:r>
        <w:rPr>
          <w:rFonts w:eastAsia="等线"/>
          <w:sz w:val="20"/>
        </w:rPr>
        <w:t>UAN</w:t>
      </w:r>
      <w:r>
        <w:rPr>
          <w:rFonts w:eastAsia="等线" w:hint="eastAsia"/>
          <w:sz w:val="20"/>
        </w:rPr>
        <w:t xml:space="preserve"> YY, Y</w:t>
      </w:r>
      <w:r>
        <w:rPr>
          <w:rFonts w:eastAsia="等线"/>
          <w:sz w:val="20"/>
        </w:rPr>
        <w:t>AO</w:t>
      </w:r>
      <w:r>
        <w:rPr>
          <w:rFonts w:eastAsia="等线" w:hint="eastAsia"/>
          <w:sz w:val="20"/>
        </w:rPr>
        <w:t xml:space="preserve"> RQ, Tong S, DONG N, SHENG ZY, YAO YM. Effect of tumor necrosis factor-α induced protein 8 like-2 on immune function of dendritic cells in mice following acute insults [J]. Oncotarget, 2016, 7(21):30178-30192.</w:t>
      </w:r>
    </w:p>
    <w:p w14:paraId="088D11A8">
      <w:pPr>
        <w:keepNext w:val="0"/>
        <w:keepLines w:val="0"/>
        <w:pageBreakBefore w:val="0"/>
        <w:kinsoku/>
        <w:overflowPunct/>
        <w:topLinePunct w:val="0"/>
        <w:autoSpaceDE/>
        <w:autoSpaceDN/>
        <w:bidi w:val="0"/>
        <w:adjustRightInd/>
        <w:spacing w:line="360" w:lineRule="auto"/>
        <w:textAlignment w:val="auto"/>
        <w:rPr>
          <w:rFonts w:eastAsia="等线" w:hint="eastAsia"/>
          <w:sz w:val="20"/>
        </w:rPr>
      </w:pPr>
      <w:r>
        <w:rPr>
          <w:rFonts w:eastAsia="等线" w:hint="eastAsia"/>
          <w:sz w:val="20"/>
        </w:rPr>
        <w:t>[</w:t>
      </w:r>
      <w:r>
        <w:rPr>
          <w:rFonts w:eastAsia="等线" w:hint="eastAsia"/>
          <w:sz w:val="20"/>
          <w:lang w:val="en-US" w:eastAsia="zh-CN"/>
        </w:rPr>
        <w:t>14</w:t>
      </w:r>
      <w:r>
        <w:rPr>
          <w:rFonts w:eastAsia="等线" w:hint="eastAsia"/>
          <w:sz w:val="20"/>
        </w:rPr>
        <w:t>]</w:t>
      </w:r>
      <w:r>
        <w:rPr>
          <w:rFonts w:eastAsia="等线" w:hint="eastAsia"/>
          <w:sz w:val="20"/>
        </w:rPr>
        <w:tab/>
      </w:r>
      <w:r>
        <w:rPr>
          <w:rFonts w:eastAsia="等线" w:hint="eastAsia"/>
          <w:sz w:val="20"/>
        </w:rPr>
        <w:t>LIU SQ, REN C, YAO RQ, WU Y, LUAN YY, DONG N, YAO YM. TNF-alpha-induced protein 8-like 2 negatively regulates the immune function of dendritic cells by suppressing autophagy via the TAK1/JNK pathway in septic mice [J]. Cell Death Dis, 2021, 12(11): 1032.</w:t>
      </w:r>
    </w:p>
    <w:p w14:paraId="6C27E7F7">
      <w:pPr>
        <w:keepNext w:val="0"/>
        <w:keepLines w:val="0"/>
        <w:pageBreakBefore w:val="0"/>
        <w:kinsoku/>
        <w:overflowPunct/>
        <w:topLinePunct w:val="0"/>
        <w:autoSpaceDE/>
        <w:autoSpaceDN/>
        <w:bidi w:val="0"/>
        <w:adjustRightInd/>
        <w:spacing w:line="360" w:lineRule="auto"/>
        <w:textAlignment w:val="auto"/>
        <w:rPr>
          <w:rFonts w:eastAsia="等线" w:hint="eastAsia"/>
          <w:sz w:val="20"/>
          <w:lang w:val="en-US" w:eastAsia="zh-CN"/>
        </w:rPr>
      </w:pPr>
      <w:r>
        <w:rPr>
          <w:rFonts w:eastAsia="等线" w:hint="eastAsia"/>
          <w:sz w:val="20"/>
          <w:lang w:val="en-US" w:eastAsia="zh-CN"/>
        </w:rPr>
        <w:t xml:space="preserve">[15] Chino H, Mizushima N. ER-Phagy: Quality and Quantity Control of the Endoplasmic Reticulum by Autophagy. Cold Spring Harb Perspect Biol </w:t>
      </w:r>
      <w:r>
        <w:rPr>
          <w:rFonts w:eastAsia="等线" w:hint="eastAsia"/>
          <w:sz w:val="20"/>
        </w:rPr>
        <w:t>[J].</w:t>
      </w:r>
      <w:r>
        <w:rPr>
          <w:rFonts w:eastAsia="等线" w:hint="eastAsia"/>
          <w:sz w:val="20"/>
          <w:lang w:val="en-US" w:eastAsia="zh-CN"/>
        </w:rPr>
        <w:t xml:space="preserve"> 2023, 15(1):a041256.</w:t>
      </w:r>
    </w:p>
    <w:p w14:paraId="5B141EA2">
      <w:pPr>
        <w:keepNext w:val="0"/>
        <w:keepLines w:val="0"/>
        <w:pageBreakBefore w:val="0"/>
        <w:kinsoku/>
        <w:overflowPunct/>
        <w:topLinePunct w:val="0"/>
        <w:autoSpaceDE/>
        <w:autoSpaceDN/>
        <w:bidi w:val="0"/>
        <w:adjustRightInd/>
        <w:spacing w:line="360" w:lineRule="auto"/>
        <w:textAlignment w:val="auto"/>
        <w:rPr>
          <w:rFonts w:eastAsia="等线" w:hint="default"/>
          <w:sz w:val="20"/>
          <w:lang w:val="en-US" w:eastAsia="zh-CN"/>
        </w:rPr>
      </w:pPr>
      <w:r>
        <w:rPr>
          <w:rFonts w:eastAsia="等线" w:hint="eastAsia"/>
          <w:sz w:val="20"/>
          <w:lang w:val="en-US" w:eastAsia="zh-CN"/>
        </w:rPr>
        <w:t>[16] González A, Covarrubias-Pinto A, Bhaskara RM, Glogger M, Kuncha SK, Xavier A, Seemann E, Misra M, Hoffmann ME, Bräuning B, Balakrishnan A, Qualmann B, Dötsch V, Schulman BA, Kessels MM, Hübner CA, Heilemann M, Hummer G, Dikić I. Ubiquitination regulates ER-phagy and remodelling of endoplasmic reticulum. Nature. 2023, 618(7964):394-401.</w:t>
      </w:r>
    </w:p>
    <w:bookmarkEnd w:id="64"/>
    <w:p w14:paraId="21C3DBB0">
      <w:pPr>
        <w:keepNext w:val="0"/>
        <w:keepLines w:val="0"/>
        <w:pageBreakBefore w:val="0"/>
        <w:kinsoku/>
        <w:overflowPunct/>
        <w:topLinePunct w:val="0"/>
        <w:autoSpaceDE/>
        <w:autoSpaceDN/>
        <w:bidi w:val="0"/>
        <w:adjustRightInd/>
        <w:spacing w:line="360" w:lineRule="auto"/>
        <w:textAlignment w:val="auto"/>
        <w:rPr>
          <w:rFonts w:eastAsia="等线"/>
          <w:sz w:val="20"/>
        </w:rPr>
      </w:pPr>
      <w:r>
        <w:rPr>
          <w:rFonts w:eastAsia="等线"/>
          <w:sz w:val="20"/>
        </w:rPr>
        <w:fldChar w:fldCharType="begin"/>
      </w:r>
      <w:r>
        <w:rPr>
          <w:rFonts w:eastAsia="等线"/>
          <w:sz w:val="20"/>
        </w:rPr>
        <w:instrText xml:space="preserve"> ADDIN EN.REFLIST </w:instrText>
      </w:r>
      <w:r>
        <w:rPr>
          <w:rFonts w:eastAsia="等线"/>
          <w:sz w:val="20"/>
        </w:rPr>
        <w:fldChar w:fldCharType="separate"/>
      </w:r>
      <w:r>
        <w:rPr>
          <w:rFonts w:eastAsia="等线"/>
          <w:sz w:val="20"/>
        </w:rPr>
        <w:t>[</w:t>
      </w:r>
      <w:r>
        <w:rPr>
          <w:rFonts w:eastAsia="等线" w:hint="eastAsia"/>
          <w:sz w:val="20"/>
          <w:lang w:val="en-US" w:eastAsia="zh-CN"/>
        </w:rPr>
        <w:t>17</w:t>
      </w:r>
      <w:r>
        <w:rPr>
          <w:rFonts w:eastAsia="等线"/>
          <w:sz w:val="20"/>
        </w:rPr>
        <w:t>]</w:t>
      </w:r>
      <w:r>
        <w:rPr>
          <w:rFonts w:eastAsia="等线"/>
          <w:sz w:val="20"/>
        </w:rPr>
        <w:tab/>
      </w:r>
      <w:r>
        <w:rPr>
          <w:rFonts w:eastAsia="等线"/>
          <w:sz w:val="20"/>
        </w:rPr>
        <w:t>Mochida K, Nakatogawa H. ER‐phagy: selective autophagy of the endoplasmic reticulum [J]. EMBO reports, 2022, 23(8)</w:t>
      </w:r>
      <w:r>
        <w:rPr>
          <w:rFonts w:eastAsia="等线" w:hint="eastAsia"/>
          <w:sz w:val="20"/>
        </w:rPr>
        <w:t>：e55192</w:t>
      </w:r>
      <w:r>
        <w:rPr>
          <w:rFonts w:eastAsia="等线"/>
          <w:sz w:val="20"/>
        </w:rPr>
        <w:t>.</w:t>
      </w:r>
    </w:p>
    <w:p w14:paraId="66E8F8A7">
      <w:pPr>
        <w:keepNext w:val="0"/>
        <w:keepLines w:val="0"/>
        <w:pageBreakBefore w:val="0"/>
        <w:kinsoku/>
        <w:overflowPunct/>
        <w:topLinePunct w:val="0"/>
        <w:autoSpaceDE/>
        <w:autoSpaceDN/>
        <w:bidi w:val="0"/>
        <w:adjustRightInd/>
        <w:spacing w:line="360" w:lineRule="auto"/>
        <w:textAlignment w:val="auto"/>
        <w:rPr>
          <w:rFonts w:eastAsia="等线" w:hint="default"/>
          <w:sz w:val="20"/>
          <w:lang w:val="en-US" w:eastAsia="zh-CN"/>
        </w:rPr>
      </w:pPr>
      <w:r>
        <w:rPr>
          <w:rFonts w:eastAsia="等线" w:hint="eastAsia"/>
          <w:sz w:val="20"/>
          <w:lang w:val="en-US" w:eastAsia="zh-CN"/>
        </w:rPr>
        <w:t xml:space="preserve">[18] Hoyer MJ, Capitanio C, Smith IR, Paoli JC, Bieber A, Jiang Y, Paulo JA, Gonzalez-Lozano MA, Baumeister W, Wilfling F, Schulman BA, Harper JW. </w:t>
      </w:r>
      <w:hyperlink r:id="rId7" w:history="1">
        <w:r>
          <w:rPr>
            <w:rFonts w:eastAsia="等线" w:hint="eastAsia"/>
            <w:sz w:val="20"/>
            <w:lang w:val="en-US" w:eastAsia="zh-CN"/>
          </w:rPr>
          <w:t>Combinatorial selective ER-phagy remodels the ER during neurogenesis.</w:t>
        </w:r>
      </w:hyperlink>
      <w:r>
        <w:rPr>
          <w:rFonts w:eastAsia="等线" w:hint="eastAsia"/>
          <w:sz w:val="20"/>
          <w:lang w:val="en-US" w:eastAsia="zh-CN"/>
        </w:rPr>
        <w:t xml:space="preserve"> Nat Cell Biol. 2024, 26(3):378-392. </w:t>
      </w:r>
    </w:p>
    <w:p w14:paraId="494563C3">
      <w:pPr>
        <w:keepNext w:val="0"/>
        <w:keepLines w:val="0"/>
        <w:pageBreakBefore w:val="0"/>
        <w:kinsoku/>
        <w:overflowPunct/>
        <w:topLinePunct w:val="0"/>
        <w:autoSpaceDE/>
        <w:autoSpaceDN/>
        <w:bidi w:val="0"/>
        <w:adjustRightInd/>
        <w:spacing w:line="360" w:lineRule="auto"/>
        <w:textAlignment w:val="auto"/>
        <w:rPr>
          <w:rFonts w:eastAsia="等线"/>
          <w:sz w:val="20"/>
        </w:rPr>
      </w:pPr>
      <w:r>
        <w:rPr>
          <w:rFonts w:eastAsia="等线"/>
          <w:sz w:val="20"/>
        </w:rPr>
        <w:t>[</w:t>
      </w:r>
      <w:r>
        <w:rPr>
          <w:rFonts w:eastAsia="等线" w:hint="eastAsia"/>
          <w:sz w:val="20"/>
          <w:lang w:val="en-US" w:eastAsia="zh-CN"/>
        </w:rPr>
        <w:t>19</w:t>
      </w:r>
      <w:r>
        <w:rPr>
          <w:rFonts w:eastAsia="等线"/>
          <w:sz w:val="20"/>
        </w:rPr>
        <w:t>]</w:t>
      </w:r>
      <w:r>
        <w:rPr>
          <w:rFonts w:eastAsia="等线"/>
          <w:sz w:val="20"/>
        </w:rPr>
        <w:tab/>
      </w:r>
      <w:r>
        <w:rPr>
          <w:rFonts w:eastAsia="等线"/>
          <w:sz w:val="20"/>
        </w:rPr>
        <w:t>Ferro-Novick S, Reggiori F, Brodsky J L. ER-Phagy, ER Homeostasis, and ER Quality Control: Implications for Disease [J]. Trends in Biochemical Sciences, 2021, 46(8): 630-639.</w:t>
      </w:r>
    </w:p>
    <w:p w14:paraId="5542FA2D">
      <w:pPr>
        <w:keepNext w:val="0"/>
        <w:keepLines w:val="0"/>
        <w:pageBreakBefore w:val="0"/>
        <w:kinsoku/>
        <w:overflowPunct/>
        <w:topLinePunct w:val="0"/>
        <w:autoSpaceDE/>
        <w:autoSpaceDN/>
        <w:bidi w:val="0"/>
        <w:adjustRightInd/>
        <w:spacing w:line="360" w:lineRule="auto"/>
        <w:textAlignment w:val="auto"/>
        <w:rPr>
          <w:rFonts w:eastAsia="等线"/>
          <w:sz w:val="20"/>
        </w:rPr>
      </w:pPr>
      <w:r>
        <w:rPr>
          <w:rFonts w:eastAsia="等线"/>
          <w:sz w:val="20"/>
        </w:rPr>
        <w:t>[</w:t>
      </w:r>
      <w:r>
        <w:rPr>
          <w:rFonts w:eastAsia="等线" w:hint="eastAsia"/>
          <w:sz w:val="20"/>
          <w:lang w:val="en-US" w:eastAsia="zh-CN"/>
        </w:rPr>
        <w:t>20</w:t>
      </w:r>
      <w:r>
        <w:rPr>
          <w:rFonts w:eastAsia="等线"/>
          <w:sz w:val="20"/>
        </w:rPr>
        <w:t>]</w:t>
      </w:r>
      <w:r>
        <w:rPr>
          <w:rFonts w:eastAsia="等线"/>
          <w:sz w:val="20"/>
        </w:rPr>
        <w:tab/>
      </w:r>
      <w:r>
        <w:rPr>
          <w:rFonts w:eastAsia="等线"/>
          <w:sz w:val="20"/>
        </w:rPr>
        <w:t>Hill M A, Sykes A M, Mellick G D. ER‐phagy in neurodegeneration [J]. Journal of Neuroscience Research, 2023, 101(10): 1611-1623.</w:t>
      </w:r>
    </w:p>
    <w:p w14:paraId="72CE8EE5">
      <w:pPr>
        <w:keepNext w:val="0"/>
        <w:keepLines w:val="0"/>
        <w:pageBreakBefore w:val="0"/>
        <w:kinsoku/>
        <w:overflowPunct/>
        <w:topLinePunct w:val="0"/>
        <w:autoSpaceDE/>
        <w:autoSpaceDN/>
        <w:bidi w:val="0"/>
        <w:adjustRightInd/>
        <w:spacing w:line="360" w:lineRule="auto"/>
        <w:textAlignment w:val="auto"/>
        <w:rPr>
          <w:rFonts w:eastAsia="等线" w:hint="default"/>
          <w:sz w:val="20"/>
          <w:lang w:val="en-US" w:eastAsia="zh-CN"/>
        </w:rPr>
      </w:pPr>
      <w:r>
        <w:rPr>
          <w:rFonts w:eastAsia="等线" w:hint="eastAsia"/>
          <w:sz w:val="20"/>
          <w:lang w:val="en-US" w:eastAsia="zh-CN"/>
        </w:rPr>
        <w:t>[21] He X, He H, Hou Z, Wang Z, Shi Q, Zhou T, Wu Y, Qin Y, Wang J, Cai Z, Cui J, Jin S. ER-phagy restrains inflammatory responses through its receptor UBAC2. EMBO J. 2024, 43(21):5057-5084.</w:t>
      </w:r>
    </w:p>
    <w:p w14:paraId="11B23328">
      <w:pPr>
        <w:keepNext w:val="0"/>
        <w:keepLines w:val="0"/>
        <w:pageBreakBefore w:val="0"/>
        <w:kinsoku/>
        <w:overflowPunct/>
        <w:topLinePunct w:val="0"/>
        <w:autoSpaceDE/>
        <w:autoSpaceDN/>
        <w:bidi w:val="0"/>
        <w:adjustRightInd/>
        <w:spacing w:line="360" w:lineRule="auto"/>
        <w:textAlignment w:val="auto"/>
        <w:rPr>
          <w:rFonts w:eastAsia="等线"/>
          <w:sz w:val="20"/>
        </w:rPr>
      </w:pPr>
      <w:r>
        <w:rPr>
          <w:rFonts w:eastAsia="等线" w:hint="eastAsia"/>
          <w:sz w:val="20"/>
          <w:lang w:val="en-US" w:eastAsia="zh-CN"/>
        </w:rPr>
        <w:t xml:space="preserve">[22] </w:t>
      </w:r>
      <w:r>
        <w:rPr>
          <w:rFonts w:eastAsia="等线"/>
          <w:sz w:val="20"/>
        </w:rPr>
        <w:t>Yu B, Zhou Y, He J. TRIM13 inhibits cell proliferation and induces autophagy in lung adenocarcinoma by regulating KEAP1/NRF2 pathway. Cell Cycle (Georgetown, Tex.), 2023, 22(12): 1496-1513</w:t>
      </w:r>
    </w:p>
    <w:p w14:paraId="2240A4A1">
      <w:pPr>
        <w:keepNext w:val="0"/>
        <w:keepLines w:val="0"/>
        <w:pageBreakBefore w:val="0"/>
        <w:kinsoku/>
        <w:overflowPunct/>
        <w:topLinePunct w:val="0"/>
        <w:autoSpaceDE/>
        <w:autoSpaceDN/>
        <w:bidi w:val="0"/>
        <w:adjustRightInd/>
        <w:spacing w:line="360" w:lineRule="auto"/>
        <w:textAlignment w:val="auto"/>
        <w:rPr>
          <w:rFonts w:eastAsia="等线" w:hint="eastAsia"/>
          <w:sz w:val="20"/>
          <w:lang w:val="en-US" w:eastAsia="zh-CN"/>
        </w:rPr>
      </w:pPr>
      <w:r>
        <w:rPr>
          <w:rFonts w:eastAsia="等线" w:hint="eastAsia"/>
          <w:sz w:val="20"/>
          <w:lang w:val="en-US" w:eastAsia="zh-CN"/>
        </w:rPr>
        <w:t>[23] Palma A, Reggio A. Signaling Regulation of FAM134-Dependent ER-Phagy in Cells. J Cell Physiol, 2025, 240(1):e31492</w:t>
      </w:r>
    </w:p>
    <w:p w14:paraId="3D98393E">
      <w:pPr>
        <w:keepNext w:val="0"/>
        <w:keepLines w:val="0"/>
        <w:pageBreakBefore w:val="0"/>
        <w:kinsoku/>
        <w:overflowPunct/>
        <w:topLinePunct w:val="0"/>
        <w:autoSpaceDE/>
        <w:autoSpaceDN/>
        <w:bidi w:val="0"/>
        <w:adjustRightInd/>
        <w:spacing w:line="360" w:lineRule="auto"/>
        <w:textAlignment w:val="auto"/>
        <w:rPr>
          <w:rFonts w:eastAsia="等线" w:hint="eastAsia"/>
          <w:sz w:val="20"/>
          <w:lang w:val="en-US" w:eastAsia="zh-CN"/>
        </w:rPr>
      </w:pPr>
      <w:r>
        <w:rPr>
          <w:rFonts w:eastAsia="等线" w:hint="eastAsia"/>
          <w:sz w:val="20"/>
          <w:lang w:val="en-US" w:eastAsia="zh-CN"/>
        </w:rPr>
        <w:t>[24] Reggiori F, Molinari M. ER-phagy: mechanisms, regulation, and diseases connected to the lysosomal clearance of the endoplasmic reticulum. Physiol Rev, 2022, 102(3):1393-1448.</w:t>
      </w:r>
    </w:p>
    <w:p w14:paraId="4F707FB6">
      <w:pPr>
        <w:keepNext w:val="0"/>
        <w:keepLines w:val="0"/>
        <w:pageBreakBefore w:val="0"/>
        <w:kinsoku/>
        <w:overflowPunct/>
        <w:topLinePunct w:val="0"/>
        <w:autoSpaceDE/>
        <w:autoSpaceDN/>
        <w:bidi w:val="0"/>
        <w:adjustRightInd/>
        <w:spacing w:line="360" w:lineRule="auto"/>
        <w:textAlignment w:val="auto"/>
        <w:rPr>
          <w:rFonts w:eastAsia="等线" w:hint="eastAsia"/>
          <w:sz w:val="20"/>
          <w:lang w:val="en-US" w:eastAsia="zh-CN"/>
        </w:rPr>
      </w:pPr>
      <w:r>
        <w:rPr>
          <w:rFonts w:eastAsia="等线" w:hint="eastAsia"/>
          <w:sz w:val="20"/>
          <w:lang w:val="en-US" w:eastAsia="zh-CN"/>
        </w:rPr>
        <w:t>[25] Iavarone F, Di Lorenzo G, Settembre C. Regulatory events controlling ER-phagy. Curr Opin Cell Biol, 2022, 76:102084.</w:t>
      </w:r>
    </w:p>
    <w:p w14:paraId="2BC74634">
      <w:pPr>
        <w:keepNext w:val="0"/>
        <w:keepLines w:val="0"/>
        <w:pageBreakBefore w:val="0"/>
        <w:kinsoku/>
        <w:overflowPunct/>
        <w:topLinePunct w:val="0"/>
        <w:autoSpaceDE/>
        <w:autoSpaceDN/>
        <w:bidi w:val="0"/>
        <w:adjustRightInd/>
        <w:spacing w:line="360" w:lineRule="auto"/>
        <w:textAlignment w:val="auto"/>
        <w:rPr>
          <w:rFonts w:eastAsia="等线"/>
          <w:sz w:val="20"/>
        </w:rPr>
      </w:pPr>
      <w:r>
        <w:rPr>
          <w:rFonts w:eastAsia="等线" w:hint="eastAsia"/>
          <w:sz w:val="20"/>
          <w:lang w:val="en-US" w:eastAsia="zh-CN"/>
        </w:rPr>
        <w:t xml:space="preserve">[26] </w:t>
      </w:r>
      <w:r>
        <w:rPr>
          <w:rFonts w:eastAsia="等线"/>
          <w:sz w:val="20"/>
        </w:rPr>
        <w:t>Xu L, Wu Q, Zhou X, et al. TRIM13 inhibited cell proliferation and induced cell apoptosis by regulating NF-κB pathway in non-small-cell lung carcinoma cells. Gene, 2019, 715: 144015</w:t>
      </w:r>
    </w:p>
    <w:p w14:paraId="409DF3BB">
      <w:pPr>
        <w:keepNext w:val="0"/>
        <w:keepLines w:val="0"/>
        <w:pageBreakBefore w:val="0"/>
        <w:kinsoku/>
        <w:overflowPunct/>
        <w:topLinePunct w:val="0"/>
        <w:autoSpaceDE/>
        <w:autoSpaceDN/>
        <w:bidi w:val="0"/>
        <w:adjustRightInd/>
        <w:spacing w:line="360" w:lineRule="auto"/>
        <w:textAlignment w:val="auto"/>
        <w:rPr>
          <w:rFonts w:eastAsia="等线" w:hint="eastAsia"/>
          <w:sz w:val="20"/>
        </w:rPr>
      </w:pPr>
      <w:r>
        <w:rPr>
          <w:rFonts w:eastAsia="等线" w:hint="eastAsia"/>
          <w:sz w:val="20"/>
        </w:rPr>
        <w:t>[</w:t>
      </w:r>
      <w:r>
        <w:rPr>
          <w:rFonts w:eastAsia="等线" w:hint="eastAsia"/>
          <w:sz w:val="20"/>
          <w:lang w:val="en-US" w:eastAsia="zh-CN"/>
        </w:rPr>
        <w:t>27</w:t>
      </w:r>
      <w:r>
        <w:rPr>
          <w:rFonts w:eastAsia="等线" w:hint="eastAsia"/>
          <w:sz w:val="20"/>
        </w:rPr>
        <w:t>]</w:t>
      </w:r>
      <w:r>
        <w:rPr>
          <w:rFonts w:eastAsia="等线" w:hint="eastAsia"/>
          <w:sz w:val="20"/>
        </w:rPr>
        <w:tab/>
      </w:r>
      <w:r>
        <w:rPr>
          <w:rFonts w:eastAsia="等线" w:hint="eastAsia"/>
          <w:sz w:val="20"/>
        </w:rPr>
        <w:t>GU ZZ, CUI XH, SUN PD, WANG XD. Regulatory Roles of Tumor Necrosis Factor-alpha-Induced Protein 8 Like-Protein 2 in Inflammation, Immunity and Cancers: A Review [J]. Cancer Manag Res, 2020, 12:12735-</w:t>
      </w:r>
      <w:r>
        <w:rPr>
          <w:rFonts w:eastAsia="等线"/>
          <w:sz w:val="20"/>
        </w:rPr>
        <w:t>127</w:t>
      </w:r>
      <w:r>
        <w:rPr>
          <w:rFonts w:eastAsia="等线" w:hint="eastAsia"/>
          <w:sz w:val="20"/>
        </w:rPr>
        <w:t>46.</w:t>
      </w:r>
    </w:p>
    <w:p w14:paraId="330B82AC">
      <w:pPr>
        <w:keepNext w:val="0"/>
        <w:keepLines w:val="0"/>
        <w:pageBreakBefore w:val="0"/>
        <w:kinsoku/>
        <w:overflowPunct/>
        <w:topLinePunct w:val="0"/>
        <w:autoSpaceDE/>
        <w:autoSpaceDN/>
        <w:bidi w:val="0"/>
        <w:adjustRightInd/>
        <w:spacing w:line="360" w:lineRule="auto"/>
        <w:textAlignment w:val="auto"/>
        <w:rPr>
          <w:rFonts w:eastAsia="等线" w:hint="eastAsia"/>
          <w:sz w:val="20"/>
        </w:rPr>
      </w:pPr>
      <w:r>
        <w:rPr>
          <w:rFonts w:eastAsia="等线" w:hint="eastAsia"/>
          <w:sz w:val="20"/>
        </w:rPr>
        <w:t>[</w:t>
      </w:r>
      <w:r>
        <w:rPr>
          <w:rFonts w:eastAsia="等线" w:hint="eastAsia"/>
          <w:sz w:val="20"/>
          <w:lang w:val="en-US" w:eastAsia="zh-CN"/>
        </w:rPr>
        <w:t>28</w:t>
      </w:r>
      <w:r>
        <w:rPr>
          <w:rFonts w:eastAsia="等线" w:hint="eastAsia"/>
          <w:sz w:val="20"/>
        </w:rPr>
        <w:t>] Zhang L, Afolabi L O, Wan X, et al. Emerging Roles of Tripartite Motif-Containing Family Proteins (TRIMs) in Eliminating Misfolded Proteins [J]. Front Cell Dev Biol, 2020, 8: 802.</w:t>
      </w:r>
    </w:p>
    <w:p w14:paraId="0F794F6C">
      <w:pPr>
        <w:keepNext w:val="0"/>
        <w:keepLines w:val="0"/>
        <w:pageBreakBefore w:val="0"/>
        <w:numPr>
          <w:ilvl w:val="0"/>
          <w:numId w:val="0"/>
        </w:numPr>
        <w:kinsoku/>
        <w:overflowPunct/>
        <w:topLinePunct w:val="0"/>
        <w:autoSpaceDE/>
        <w:autoSpaceDN/>
        <w:bidi w:val="0"/>
        <w:adjustRightInd/>
        <w:spacing w:line="360" w:lineRule="auto"/>
        <w:textAlignment w:val="auto"/>
        <w:rPr>
          <w:rFonts w:eastAsia="等线"/>
          <w:sz w:val="20"/>
        </w:rPr>
      </w:pPr>
      <w:r>
        <w:rPr>
          <w:rFonts w:eastAsia="等线" w:hint="eastAsia"/>
          <w:sz w:val="20"/>
          <w:lang w:val="en-US" w:eastAsia="zh-CN"/>
        </w:rPr>
        <w:t xml:space="preserve">[29] </w:t>
      </w:r>
      <w:r>
        <w:rPr>
          <w:rFonts w:eastAsia="等线"/>
          <w:sz w:val="20"/>
        </w:rPr>
        <w:t>Xiang Y, Li C, Wang Z, Li</w:t>
      </w:r>
      <w:r>
        <w:rPr>
          <w:rFonts w:eastAsia="等线" w:hint="eastAsia"/>
          <w:sz w:val="20"/>
          <w:lang w:val="en-US" w:eastAsia="zh-CN"/>
        </w:rPr>
        <w:t xml:space="preserve"> </w:t>
      </w:r>
      <w:r>
        <w:rPr>
          <w:rFonts w:eastAsia="等线"/>
          <w:sz w:val="20"/>
        </w:rPr>
        <w:t>C</w:t>
      </w:r>
      <w:r>
        <w:rPr>
          <w:rFonts w:eastAsia="等线" w:hint="eastAsia"/>
          <w:sz w:val="20"/>
          <w:lang w:val="en-US" w:eastAsia="zh-CN"/>
        </w:rPr>
        <w:t>T</w:t>
      </w:r>
      <w:r>
        <w:rPr>
          <w:rFonts w:eastAsia="等线"/>
          <w:sz w:val="20"/>
        </w:rPr>
        <w:t>, Wang</w:t>
      </w:r>
      <w:r>
        <w:rPr>
          <w:rFonts w:eastAsia="等线" w:hint="eastAsia"/>
          <w:sz w:val="20"/>
          <w:lang w:val="en-US" w:eastAsia="zh-CN"/>
        </w:rPr>
        <w:t xml:space="preserve"> </w:t>
      </w:r>
      <w:r>
        <w:rPr>
          <w:rFonts w:eastAsia="等线"/>
          <w:sz w:val="20"/>
        </w:rPr>
        <w:t>Z</w:t>
      </w:r>
      <w:r>
        <w:rPr>
          <w:rFonts w:eastAsia="等线" w:hint="eastAsia"/>
          <w:sz w:val="20"/>
          <w:lang w:val="en-US" w:eastAsia="zh-CN"/>
        </w:rPr>
        <w:t>Y</w:t>
      </w:r>
      <w:r>
        <w:rPr>
          <w:rFonts w:eastAsia="等线"/>
          <w:sz w:val="20"/>
        </w:rPr>
        <w:t>, Feng</w:t>
      </w:r>
      <w:r>
        <w:rPr>
          <w:rFonts w:eastAsia="等线" w:hint="eastAsia"/>
          <w:sz w:val="20"/>
          <w:lang w:val="en-US" w:eastAsia="zh-CN"/>
        </w:rPr>
        <w:t xml:space="preserve"> </w:t>
      </w:r>
      <w:r>
        <w:rPr>
          <w:rFonts w:eastAsia="等线"/>
          <w:sz w:val="20"/>
        </w:rPr>
        <w:t>J</w:t>
      </w:r>
      <w:r>
        <w:rPr>
          <w:rFonts w:eastAsia="等线" w:hint="eastAsia"/>
          <w:sz w:val="20"/>
          <w:lang w:val="en-US" w:eastAsia="zh-CN"/>
        </w:rPr>
        <w:t>G</w:t>
      </w:r>
      <w:r>
        <w:rPr>
          <w:rFonts w:eastAsia="等线"/>
          <w:sz w:val="20"/>
        </w:rPr>
        <w:t>, Zhang</w:t>
      </w:r>
      <w:r>
        <w:rPr>
          <w:rFonts w:eastAsia="等线" w:hint="eastAsia"/>
          <w:sz w:val="20"/>
          <w:lang w:val="en-US" w:eastAsia="zh-CN"/>
        </w:rPr>
        <w:t xml:space="preserve"> </w:t>
      </w:r>
      <w:r>
        <w:rPr>
          <w:rFonts w:eastAsia="等线"/>
          <w:sz w:val="20"/>
        </w:rPr>
        <w:t>J</w:t>
      </w:r>
      <w:r>
        <w:rPr>
          <w:rFonts w:eastAsia="等线" w:hint="eastAsia"/>
          <w:sz w:val="20"/>
          <w:lang w:val="en-US" w:eastAsia="zh-CN"/>
        </w:rPr>
        <w:t>Q</w:t>
      </w:r>
      <w:r>
        <w:rPr>
          <w:rFonts w:eastAsia="等线"/>
          <w:sz w:val="20"/>
        </w:rPr>
        <w:t>, Yang</w:t>
      </w:r>
      <w:r>
        <w:rPr>
          <w:rFonts w:eastAsia="等线" w:hint="eastAsia"/>
          <w:sz w:val="20"/>
          <w:lang w:val="en-US" w:eastAsia="zh-CN"/>
        </w:rPr>
        <w:t xml:space="preserve"> </w:t>
      </w:r>
      <w:r>
        <w:rPr>
          <w:rFonts w:eastAsia="等线"/>
          <w:sz w:val="20"/>
        </w:rPr>
        <w:t>Y, Zhou</w:t>
      </w:r>
      <w:r>
        <w:rPr>
          <w:rFonts w:eastAsia="等线" w:hint="eastAsia"/>
          <w:sz w:val="20"/>
          <w:lang w:val="en-US" w:eastAsia="zh-CN"/>
        </w:rPr>
        <w:t xml:space="preserve"> </w:t>
      </w:r>
      <w:r>
        <w:rPr>
          <w:rFonts w:eastAsia="等线"/>
          <w:sz w:val="20"/>
        </w:rPr>
        <w:t>J</w:t>
      </w:r>
      <w:r>
        <w:rPr>
          <w:rFonts w:eastAsia="等线" w:hint="eastAsia"/>
          <w:sz w:val="20"/>
          <w:lang w:val="en-US" w:eastAsia="zh-CN"/>
        </w:rPr>
        <w:t>B,</w:t>
      </w:r>
      <w:r>
        <w:rPr>
          <w:rFonts w:eastAsia="等线"/>
          <w:sz w:val="20"/>
        </w:rPr>
        <w:t> Zhang</w:t>
      </w:r>
      <w:r>
        <w:rPr>
          <w:rFonts w:eastAsia="等线" w:hint="eastAsia"/>
          <w:sz w:val="20"/>
          <w:lang w:val="en-US" w:eastAsia="zh-CN"/>
        </w:rPr>
        <w:t xml:space="preserve"> </w:t>
      </w:r>
      <w:r>
        <w:rPr>
          <w:rFonts w:eastAsia="等线"/>
          <w:sz w:val="20"/>
        </w:rPr>
        <w:t>J</w:t>
      </w:r>
      <w:r>
        <w:rPr>
          <w:rFonts w:eastAsia="等线" w:hint="eastAsia"/>
          <w:sz w:val="20"/>
          <w:lang w:val="en-US" w:eastAsia="zh-CN"/>
        </w:rPr>
        <w:t>Q</w:t>
      </w:r>
      <w:r>
        <w:rPr>
          <w:rFonts w:eastAsia="等线"/>
          <w:sz w:val="20"/>
        </w:rPr>
        <w:t>. TRIM13 reduces damage to alveolar epithelial cells in COPD by inhibiting endoplasmic reticulum stress-induced ER-phagy. Lung, 2024</w:t>
      </w:r>
      <w:r>
        <w:rPr>
          <w:rFonts w:eastAsia="等线" w:hint="eastAsia"/>
          <w:sz w:val="20"/>
          <w:lang w:val="en-US" w:eastAsia="zh-CN"/>
        </w:rPr>
        <w:t xml:space="preserve">, </w:t>
      </w:r>
      <w:r>
        <w:rPr>
          <w:rFonts w:eastAsia="等线"/>
          <w:sz w:val="20"/>
        </w:rPr>
        <w:t>202(6):821-830.</w:t>
      </w:r>
    </w:p>
    <w:p w14:paraId="54BAC41E">
      <w:pPr>
        <w:keepNext w:val="0"/>
        <w:keepLines w:val="0"/>
        <w:pageBreakBefore w:val="0"/>
        <w:numPr>
          <w:ilvl w:val="0"/>
          <w:numId w:val="0"/>
        </w:numPr>
        <w:kinsoku/>
        <w:overflowPunct/>
        <w:topLinePunct w:val="0"/>
        <w:autoSpaceDE/>
        <w:autoSpaceDN/>
        <w:bidi w:val="0"/>
        <w:adjustRightInd/>
        <w:spacing w:line="360" w:lineRule="auto"/>
        <w:textAlignment w:val="auto"/>
        <w:rPr>
          <w:rFonts w:eastAsia="等线" w:hint="eastAsia"/>
          <w:sz w:val="20"/>
          <w:lang w:val="en-US" w:eastAsia="zh-CN"/>
        </w:rPr>
      </w:pPr>
      <w:r>
        <w:rPr>
          <w:rFonts w:eastAsia="等线" w:hint="eastAsia"/>
          <w:sz w:val="20"/>
        </w:rPr>
        <w:t>[</w:t>
      </w:r>
      <w:r>
        <w:rPr>
          <w:rFonts w:eastAsia="等线" w:hint="eastAsia"/>
          <w:sz w:val="20"/>
          <w:lang w:val="en-US" w:eastAsia="zh-CN"/>
        </w:rPr>
        <w:t>30</w:t>
      </w:r>
      <w:r>
        <w:rPr>
          <w:rFonts w:eastAsia="等线" w:hint="eastAsia"/>
          <w:sz w:val="20"/>
        </w:rPr>
        <w:t>]</w:t>
      </w:r>
      <w:r>
        <w:rPr>
          <w:rFonts w:eastAsia="等线" w:hint="eastAsia"/>
          <w:sz w:val="20"/>
        </w:rPr>
        <w:tab/>
      </w:r>
      <w:r>
        <w:rPr>
          <w:rFonts w:eastAsia="等线" w:hint="eastAsia"/>
          <w:sz w:val="20"/>
        </w:rPr>
        <w:t xml:space="preserve">Abramson J, Adler J, Dunger J, et al. Accurate structure prediction of biomolecular interactions with AlphaFold 3. </w:t>
      </w:r>
      <w:r>
        <w:rPr>
          <w:rFonts w:eastAsia="等线" w:hint="eastAsia"/>
          <w:sz w:val="20"/>
          <w:lang w:val="en-US" w:eastAsia="zh-CN"/>
        </w:rPr>
        <w:t>Nature, 2024, 630(8016):493-500.</w:t>
      </w:r>
    </w:p>
    <w:p w14:paraId="6DAEB4B1">
      <w:pPr>
        <w:keepNext w:val="0"/>
        <w:keepLines w:val="0"/>
        <w:pageBreakBefore w:val="0"/>
        <w:numPr>
          <w:ilvl w:val="0"/>
          <w:numId w:val="0"/>
        </w:numPr>
        <w:kinsoku/>
        <w:overflowPunct/>
        <w:topLinePunct w:val="0"/>
        <w:autoSpaceDE/>
        <w:autoSpaceDN/>
        <w:bidi w:val="0"/>
        <w:adjustRightInd/>
        <w:spacing w:line="360" w:lineRule="auto"/>
        <w:textAlignment w:val="auto"/>
        <w:rPr>
          <w:rFonts w:eastAsia="等线" w:hint="eastAsia"/>
          <w:sz w:val="20"/>
        </w:rPr>
      </w:pPr>
      <w:r>
        <w:rPr>
          <w:rFonts w:eastAsia="等线" w:hint="eastAsia"/>
          <w:sz w:val="20"/>
        </w:rPr>
        <w:t>[</w:t>
      </w:r>
      <w:r>
        <w:rPr>
          <w:rFonts w:eastAsia="等线" w:hint="eastAsia"/>
          <w:sz w:val="20"/>
          <w:lang w:val="en-US" w:eastAsia="zh-CN"/>
        </w:rPr>
        <w:t>31</w:t>
      </w:r>
      <w:r>
        <w:rPr>
          <w:rFonts w:eastAsia="等线" w:hint="eastAsia"/>
          <w:sz w:val="20"/>
        </w:rPr>
        <w:t>]</w:t>
      </w:r>
      <w:r>
        <w:rPr>
          <w:rFonts w:eastAsia="等线" w:hint="eastAsia"/>
          <w:sz w:val="20"/>
        </w:rPr>
        <w:tab/>
      </w:r>
      <w:r>
        <w:rPr>
          <w:rFonts w:eastAsia="等线" w:hint="eastAsia"/>
          <w:sz w:val="20"/>
        </w:rPr>
        <w:t>UniProt Consortium. UniProt: The universal protein knowledgebase in 2023. Nucleic Acids Research, 2023, 51(D1): D523-D531</w:t>
      </w:r>
    </w:p>
    <w:p w14:paraId="1A95C1C7">
      <w:pPr>
        <w:keepNext w:val="0"/>
        <w:keepLines w:val="0"/>
        <w:pageBreakBefore w:val="0"/>
        <w:kinsoku/>
        <w:overflowPunct/>
        <w:topLinePunct w:val="0"/>
        <w:autoSpaceDE/>
        <w:autoSpaceDN/>
        <w:bidi w:val="0"/>
        <w:adjustRightInd/>
        <w:spacing w:line="360" w:lineRule="auto"/>
        <w:textAlignment w:val="auto"/>
        <w:rPr>
          <w:rFonts w:eastAsia="等线"/>
          <w:sz w:val="20"/>
        </w:rPr>
      </w:pPr>
      <w:r>
        <w:rPr>
          <w:rFonts w:eastAsia="等线" w:hint="eastAsia"/>
          <w:sz w:val="20"/>
        </w:rPr>
        <w:t>[</w:t>
      </w:r>
      <w:r>
        <w:rPr>
          <w:rFonts w:eastAsia="等线" w:hint="eastAsia"/>
          <w:sz w:val="20"/>
          <w:lang w:val="en-US" w:eastAsia="zh-CN"/>
        </w:rPr>
        <w:t>32</w:t>
      </w:r>
      <w:r>
        <w:rPr>
          <w:rFonts w:eastAsia="等线" w:hint="eastAsia"/>
          <w:sz w:val="20"/>
        </w:rPr>
        <w:t>] Tomar D, Singh R, Singh AK, Pandya CD, Singh R. TRIM13 regulates ER stress induced autophagy and clonogenic ability of the cells. Biochim Biophys Acta. 2012;1823(2):316-326.</w:t>
      </w:r>
    </w:p>
    <w:p w14:paraId="2BB8B1F8">
      <w:pPr>
        <w:keepNext w:val="0"/>
        <w:keepLines w:val="0"/>
        <w:pageBreakBefore w:val="0"/>
        <w:kinsoku/>
        <w:overflowPunct/>
        <w:topLinePunct w:val="0"/>
        <w:autoSpaceDE/>
        <w:autoSpaceDN/>
        <w:bidi w:val="0"/>
        <w:adjustRightInd/>
        <w:spacing w:line="360" w:lineRule="auto"/>
        <w:textAlignment w:val="auto"/>
        <w:rPr>
          <w:rFonts w:eastAsia="等线"/>
          <w:sz w:val="20"/>
        </w:rPr>
      </w:pPr>
      <w:r>
        <w:rPr>
          <w:rFonts w:eastAsia="等线" w:hint="eastAsia"/>
          <w:sz w:val="20"/>
        </w:rPr>
        <w:t>[</w:t>
      </w:r>
      <w:r>
        <w:rPr>
          <w:rFonts w:eastAsia="等线" w:hint="eastAsia"/>
          <w:sz w:val="20"/>
          <w:lang w:val="en-US" w:eastAsia="zh-CN"/>
        </w:rPr>
        <w:t>33</w:t>
      </w:r>
      <w:r>
        <w:rPr>
          <w:rFonts w:eastAsia="等线" w:hint="eastAsia"/>
          <w:sz w:val="20"/>
        </w:rPr>
        <w:t>] Ji CH, Kim HY, Heo AJ, Lee SH, Lee MJ, Kim SB, Srinivasrao G, Mun SR, Cha-Molstad H, Ciechanover A, Choi CY, Lee HG, Kim BY, Kwon YT. The N-Degron Pathway Mediates ER-phagy. Mol Cell. 2019;75(5):1058-1072.e9.</w:t>
      </w:r>
    </w:p>
    <w:p w14:paraId="57262D9B">
      <w:pPr>
        <w:keepNext w:val="0"/>
        <w:keepLines w:val="0"/>
        <w:pageBreakBefore w:val="0"/>
        <w:kinsoku/>
        <w:overflowPunct/>
        <w:topLinePunct w:val="0"/>
        <w:autoSpaceDE/>
        <w:autoSpaceDN/>
        <w:bidi w:val="0"/>
        <w:adjustRightInd/>
        <w:spacing w:line="360" w:lineRule="auto"/>
        <w:textAlignment w:val="auto"/>
        <w:rPr>
          <w:rFonts w:ascii="楷体" w:eastAsia="楷体" w:hAnsi="楷体" w:cs="楷体"/>
        </w:rPr>
      </w:pPr>
      <w:r>
        <w:rPr>
          <w:rFonts w:eastAsia="等线" w:hint="eastAsia"/>
          <w:sz w:val="20"/>
        </w:rPr>
        <w:t>[</w:t>
      </w:r>
      <w:r>
        <w:rPr>
          <w:rFonts w:eastAsia="等线" w:hint="eastAsia"/>
          <w:sz w:val="20"/>
          <w:lang w:val="en-US" w:eastAsia="zh-CN"/>
        </w:rPr>
        <w:t>34</w:t>
      </w:r>
      <w:r>
        <w:rPr>
          <w:rFonts w:eastAsia="等线" w:hint="eastAsia"/>
          <w:sz w:val="20"/>
        </w:rPr>
        <w:t>] Tomar D, Prajapati P, Sripada L, Singh K, Singh R, Singh AK, Singh R. TRIM13 regulates caspase-8 ubiquitination, translocation to autophagosomes and activation during ER stress induced cell death. Biochim Biophys Acta. 2013;1833(12):3134-3144.</w:t>
      </w:r>
      <w:r>
        <w:rPr>
          <w:rFonts w:eastAsia="等线"/>
          <w:sz w:val="20"/>
        </w:rPr>
        <w:fldChar w:fldCharType="end"/>
      </w:r>
    </w:p>
    <w:p w14:paraId="4511387D">
      <w:pPr>
        <w:keepNext w:val="0"/>
        <w:keepLines w:val="0"/>
        <w:pageBreakBefore w:val="0"/>
        <w:widowControl w:val="0"/>
        <w:kinsoku/>
        <w:wordWrap w:val="0"/>
        <w:overflowPunct/>
        <w:topLinePunct w:val="0"/>
        <w:autoSpaceDE/>
        <w:autoSpaceDN/>
        <w:bidi w:val="0"/>
        <w:adjustRightInd/>
        <w:snapToGrid/>
        <w:spacing w:line="360" w:lineRule="auto"/>
        <w:ind w:firstLine="560" w:firstLineChars="200"/>
        <w:textAlignment w:val="auto"/>
        <w:outlineLvl w:val="0"/>
        <w:rPr>
          <w:rFonts w:ascii="楷体" w:eastAsia="楷体" w:hAnsi="楷体" w:cs="楷体"/>
          <w:b/>
        </w:rPr>
      </w:pPr>
      <w:r>
        <w:rPr>
          <w:rFonts w:ascii="楷体" w:eastAsia="楷体" w:hAnsi="楷体" w:cs="楷体" w:hint="eastAsia"/>
          <w:b/>
        </w:rPr>
        <w:t>二、</w:t>
      </w:r>
      <w:bookmarkStart w:id="65" w:name="bm_five"/>
      <w:r>
        <w:rPr>
          <w:rFonts w:ascii="楷体" w:eastAsia="楷体" w:hAnsi="楷体" w:cs="楷体" w:hint="eastAsia"/>
          <w:b/>
        </w:rPr>
        <w:t>研究内容、研究目标、拟解决的关键科学问题、创新点及预期成果</w:t>
      </w:r>
    </w:p>
    <w:p w14:paraId="4FA7ECA0">
      <w:pPr>
        <w:keepNext w:val="0"/>
        <w:keepLines w:val="0"/>
        <w:pageBreakBefore w:val="0"/>
        <w:widowControl w:val="0"/>
        <w:kinsoku/>
        <w:wordWrap w:val="0"/>
        <w:overflowPunct/>
        <w:topLinePunct w:val="0"/>
        <w:autoSpaceDE/>
        <w:autoSpaceDN/>
        <w:bidi w:val="0"/>
        <w:adjustRightInd/>
        <w:snapToGrid/>
        <w:spacing w:line="360" w:lineRule="auto"/>
        <w:ind w:firstLine="560" w:firstLineChars="200"/>
        <w:textAlignment w:val="auto"/>
        <w:rPr>
          <w:rFonts w:ascii="楷体" w:eastAsia="楷体" w:hAnsi="楷体" w:cs="楷体"/>
        </w:rPr>
      </w:pPr>
      <w:r>
        <w:rPr>
          <w:rFonts w:ascii="Times New Roman" w:eastAsia="楷体" w:hAnsi="Times New Roman" w:cs="Times New Roman" w:hint="default"/>
        </w:rPr>
        <w:t>1.</w:t>
      </w:r>
      <w:r>
        <w:rPr>
          <w:rFonts w:ascii="楷体" w:eastAsia="楷体" w:hAnsi="楷体" w:cs="楷体" w:hint="eastAsia"/>
        </w:rPr>
        <w:t>研究内容</w:t>
      </w:r>
    </w:p>
    <w:p w14:paraId="0630DD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rPr>
      </w:pPr>
      <w:r>
        <w:rPr>
          <w:rFonts w:hint="eastAsia"/>
          <w:sz w:val="24"/>
          <w:szCs w:val="24"/>
        </w:rPr>
        <w:t>本项目</w:t>
      </w:r>
      <w:r>
        <w:rPr>
          <w:rFonts w:hint="eastAsia"/>
          <w:sz w:val="24"/>
          <w:szCs w:val="24"/>
          <w:lang w:val="en-US" w:eastAsia="zh-CN"/>
        </w:rPr>
        <w:t>以DC为研究对象，</w:t>
      </w:r>
      <w:r>
        <w:rPr>
          <w:rFonts w:hint="eastAsia"/>
          <w:sz w:val="24"/>
          <w:szCs w:val="24"/>
        </w:rPr>
        <w:t>聚焦TIPE2，</w:t>
      </w:r>
      <w:r>
        <w:rPr>
          <w:rFonts w:hint="eastAsia"/>
          <w:sz w:val="24"/>
          <w:szCs w:val="24"/>
          <w:lang w:val="en-US" w:eastAsia="zh-CN"/>
        </w:rPr>
        <w:t>应用TIPE2基因敲除小鼠、TIPE2基因敲入小鼠、Trim13树突状细胞特异性条件性敲除小鼠，</w:t>
      </w:r>
      <w:r>
        <w:rPr>
          <w:rFonts w:hint="eastAsia"/>
          <w:sz w:val="24"/>
          <w:szCs w:val="24"/>
        </w:rPr>
        <w:t>探讨</w:t>
      </w:r>
      <w:r>
        <w:rPr>
          <w:rFonts w:hint="eastAsia"/>
          <w:sz w:val="24"/>
          <w:szCs w:val="24"/>
          <w:lang w:val="en-GB" w:eastAsia="zh-CN"/>
        </w:rPr>
        <w:t>TRIM13</w:t>
      </w:r>
      <w:r>
        <w:rPr>
          <w:rFonts w:hint="eastAsia"/>
          <w:sz w:val="24"/>
          <w:szCs w:val="24"/>
        </w:rPr>
        <w:t>介导的内质网自噬在失血性休克后树突状细胞功能中的变化规律及其对免疫功能的影响，从不同角度、多层次验证并分析TIPE2调控</w:t>
      </w:r>
      <w:r>
        <w:rPr>
          <w:rFonts w:hint="eastAsia"/>
          <w:sz w:val="24"/>
          <w:szCs w:val="24"/>
          <w:lang w:val="en-GB" w:eastAsia="zh-CN"/>
        </w:rPr>
        <w:t>TRIM13</w:t>
      </w:r>
      <w:r>
        <w:rPr>
          <w:rFonts w:hint="eastAsia"/>
          <w:sz w:val="24"/>
          <w:szCs w:val="24"/>
        </w:rPr>
        <w:t>介导的</w:t>
      </w:r>
      <w:r>
        <w:rPr>
          <w:rFonts w:hint="eastAsia"/>
          <w:sz w:val="24"/>
          <w:szCs w:val="24"/>
          <w:lang w:val="en-GB"/>
        </w:rPr>
        <w:t>内质网自噬</w:t>
      </w:r>
      <w:r>
        <w:rPr>
          <w:rFonts w:hint="eastAsia"/>
          <w:sz w:val="24"/>
          <w:szCs w:val="24"/>
        </w:rPr>
        <w:t>在失血性休克后树突状细胞免疫功能障碍中</w:t>
      </w:r>
      <w:r>
        <w:rPr>
          <w:rFonts w:hint="eastAsia"/>
          <w:sz w:val="24"/>
          <w:szCs w:val="24"/>
          <w:lang w:val="en-US" w:eastAsia="zh-CN"/>
        </w:rPr>
        <w:t>的</w:t>
      </w:r>
      <w:r>
        <w:rPr>
          <w:rFonts w:hint="eastAsia"/>
          <w:sz w:val="24"/>
          <w:szCs w:val="24"/>
        </w:rPr>
        <w:t>重要作用。</w:t>
      </w:r>
    </w:p>
    <w:p w14:paraId="1BAA23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bCs/>
          <w:sz w:val="24"/>
          <w:szCs w:val="24"/>
        </w:rPr>
      </w:pPr>
      <w:r>
        <w:rPr>
          <w:rFonts w:hint="eastAsia"/>
          <w:b/>
          <w:bCs/>
          <w:sz w:val="24"/>
          <w:szCs w:val="24"/>
          <w:lang w:val="en-US" w:eastAsia="zh-CN"/>
        </w:rPr>
        <w:t>1.1</w:t>
      </w:r>
      <w:r>
        <w:rPr>
          <w:rFonts w:hint="eastAsia"/>
          <w:b/>
          <w:bCs/>
          <w:sz w:val="24"/>
          <w:szCs w:val="24"/>
        </w:rPr>
        <w:t>内质网自噬在失血性休克诱导DC功能障碍中的作用</w:t>
      </w:r>
    </w:p>
    <w:p w14:paraId="6912DF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rPr>
      </w:pPr>
      <w:r>
        <w:rPr>
          <w:rFonts w:hint="eastAsia"/>
          <w:sz w:val="24"/>
          <w:szCs w:val="24"/>
        </w:rPr>
        <w:t>在整体和细胞水平上研究失血性休克后DC细胞内质网自噬水平的变化规律，检测分析内质网自噬水平与DC细胞免疫功能变化的联系。体内实验：应用正常小鼠建立失血性体克模型，行肠淋巴液引流术，从整体水平上检测失血性休克后肠淋巴液回流对DC细胞内质网自噬活性的影响。体外实验：分离培养正常小鼠脾脏DC，给予休克肠淋巴液（post hemorrhagic shock mesenteric lymph，PHSML）刺激，同时设立空白对照组(Control组)，检测内质网自噬活性。内质网自噬检测主要包括：免疫印迹检测内质网自噬相关蛋白、激光共聚焦检测内质网与自噬体或溶酶体的共定位、透射电子显微镜检测内质网自噬体的变化。明确失血性休克诱导DC免疫功能障碍与内质网自噬的内在关联，揭示内质网自噬在失血性休克后树突状细胞功能障碍中的重要意义。</w:t>
      </w:r>
    </w:p>
    <w:p w14:paraId="44C39C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bCs/>
          <w:sz w:val="24"/>
          <w:szCs w:val="24"/>
        </w:rPr>
      </w:pPr>
      <w:r>
        <w:rPr>
          <w:rFonts w:hint="eastAsia"/>
          <w:b/>
          <w:bCs/>
          <w:sz w:val="24"/>
          <w:szCs w:val="24"/>
        </w:rPr>
        <w:t>1.</w:t>
      </w:r>
      <w:r>
        <w:rPr>
          <w:rFonts w:hint="eastAsia"/>
          <w:b/>
          <w:bCs/>
          <w:sz w:val="24"/>
          <w:szCs w:val="24"/>
          <w:lang w:val="en-US" w:eastAsia="zh-CN"/>
        </w:rPr>
        <w:t>2</w:t>
      </w:r>
      <w:r>
        <w:rPr>
          <w:rFonts w:hint="eastAsia"/>
          <w:b/>
          <w:bCs/>
          <w:sz w:val="24"/>
          <w:szCs w:val="24"/>
        </w:rPr>
        <w:t xml:space="preserve"> </w:t>
      </w:r>
      <w:r>
        <w:rPr>
          <w:rFonts w:hint="eastAsia"/>
          <w:b/>
          <w:bCs/>
          <w:sz w:val="24"/>
          <w:szCs w:val="24"/>
          <w:lang w:eastAsia="zh-CN"/>
        </w:rPr>
        <w:t>TRIM13</w:t>
      </w:r>
      <w:r>
        <w:rPr>
          <w:rFonts w:hint="eastAsia"/>
          <w:b/>
          <w:bCs/>
          <w:sz w:val="24"/>
          <w:szCs w:val="24"/>
        </w:rPr>
        <w:t>介导的内质网自噬在失血性休克诱导DC免疫功能紊乱中的作用</w:t>
      </w:r>
    </w:p>
    <w:p w14:paraId="7EC7772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rPr>
      </w:pPr>
      <w:r>
        <w:rPr>
          <w:rFonts w:hint="eastAsia"/>
          <w:sz w:val="24"/>
          <w:szCs w:val="24"/>
        </w:rPr>
        <w:t>体内实验：应用树突状细胞特异性Trim13条件性基因敲除小鼠制备失血性休克模型，并与WT小鼠制备失血性休克模型的生存率进行比较。Trim13条件性基因敲除小鼠制备失血性休克模型后分离、纯化脾脏DC，同时设置假手术组（Sham组）作为对照组。观察DC的成熟、抗原提呈及其对CD4+ T细胞免疫功能的影响；观察TIPE2、</w:t>
      </w:r>
      <w:r>
        <w:rPr>
          <w:rFonts w:hint="eastAsia"/>
          <w:sz w:val="24"/>
          <w:szCs w:val="24"/>
          <w:lang w:eastAsia="zh-CN"/>
        </w:rPr>
        <w:t>TRIM13</w:t>
      </w:r>
      <w:r>
        <w:rPr>
          <w:rFonts w:hint="eastAsia"/>
          <w:sz w:val="24"/>
          <w:szCs w:val="24"/>
        </w:rPr>
        <w:t>、内质网自噬相关分子的表达；应用激光共聚焦显微镜和透射电镜观测内质网自噬和内质网自噬小体的形成。</w:t>
      </w:r>
    </w:p>
    <w:p w14:paraId="72A81952">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ascii="楷体" w:eastAsia="楷体" w:hAnsi="楷体" w:cs="楷体"/>
        </w:rPr>
      </w:pPr>
      <w:r>
        <w:rPr>
          <w:rFonts w:hint="eastAsia"/>
          <w:sz w:val="24"/>
          <w:szCs w:val="24"/>
        </w:rPr>
        <w:t>体外实验：分离培养树突状细胞特异性Trim13条件性基因敲除小鼠的脾脏DC，并分别给予PHSML刺激，同时设立空白对照组。观察DC的成熟、抗原提呈及其对CD4+ T细胞免疫功能的影响；观察TIPE2、</w:t>
      </w:r>
      <w:r>
        <w:rPr>
          <w:rFonts w:hint="eastAsia"/>
          <w:sz w:val="24"/>
          <w:szCs w:val="24"/>
          <w:lang w:eastAsia="zh-CN"/>
        </w:rPr>
        <w:t>TRIM13</w:t>
      </w:r>
      <w:r>
        <w:rPr>
          <w:rFonts w:hint="eastAsia"/>
          <w:sz w:val="24"/>
          <w:szCs w:val="24"/>
        </w:rPr>
        <w:t>、内质网自噬相关分子的表达；应用激光共聚焦显微镜和透射电镜观测内质网和内质网自噬小体的形成。通过体内、外实验研究，明确</w:t>
      </w:r>
      <w:r>
        <w:rPr>
          <w:rFonts w:hint="eastAsia"/>
          <w:sz w:val="24"/>
          <w:szCs w:val="24"/>
          <w:lang w:eastAsia="zh-CN"/>
        </w:rPr>
        <w:t>TRIM13</w:t>
      </w:r>
      <w:r>
        <w:rPr>
          <w:rFonts w:hint="eastAsia"/>
          <w:sz w:val="24"/>
          <w:szCs w:val="24"/>
        </w:rPr>
        <w:t>介导的内质网自噬在失血性休克后DC功能变化中的重要作用及与TIPE2表达的关联。</w:t>
      </w:r>
    </w:p>
    <w:p w14:paraId="5050751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b/>
          <w:bCs/>
          <w:sz w:val="24"/>
          <w:szCs w:val="24"/>
        </w:rPr>
      </w:pPr>
      <w:r>
        <w:rPr>
          <w:rFonts w:hint="eastAsia"/>
          <w:b/>
          <w:bCs/>
          <w:sz w:val="24"/>
          <w:szCs w:val="24"/>
        </w:rPr>
        <w:t>1.</w:t>
      </w:r>
      <w:r>
        <w:rPr>
          <w:rFonts w:hint="eastAsia"/>
          <w:b/>
          <w:bCs/>
          <w:sz w:val="24"/>
          <w:szCs w:val="24"/>
          <w:lang w:val="en-US" w:eastAsia="zh-CN"/>
        </w:rPr>
        <w:t xml:space="preserve">3 </w:t>
      </w:r>
      <w:r>
        <w:rPr>
          <w:rFonts w:hint="eastAsia"/>
          <w:b/>
          <w:bCs/>
          <w:sz w:val="24"/>
          <w:szCs w:val="24"/>
        </w:rPr>
        <w:t>TIPE2调控</w:t>
      </w:r>
      <w:r>
        <w:rPr>
          <w:rFonts w:hint="eastAsia"/>
          <w:b/>
          <w:bCs/>
          <w:sz w:val="24"/>
          <w:szCs w:val="24"/>
          <w:lang w:eastAsia="zh-CN"/>
        </w:rPr>
        <w:t>TRIM13</w:t>
      </w:r>
      <w:r>
        <w:rPr>
          <w:rFonts w:hint="eastAsia"/>
          <w:b/>
          <w:bCs/>
          <w:sz w:val="24"/>
          <w:szCs w:val="24"/>
        </w:rPr>
        <w:t>介导的内质网自噬在失血性休克诱导DC免疫功能紊乱中的机制</w:t>
      </w:r>
    </w:p>
    <w:p w14:paraId="07BF94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rPr>
      </w:pPr>
      <w:r>
        <w:rPr>
          <w:rFonts w:hint="eastAsia"/>
          <w:sz w:val="24"/>
          <w:szCs w:val="24"/>
        </w:rPr>
        <w:t>体内实验：分别应用WT、TIPE2</w:t>
      </w:r>
      <w:r>
        <w:rPr>
          <w:rFonts w:hint="eastAsia"/>
          <w:sz w:val="24"/>
          <w:szCs w:val="24"/>
          <w:vertAlign w:val="superscript"/>
        </w:rPr>
        <w:t>-/-</w:t>
      </w:r>
      <w:r>
        <w:rPr>
          <w:rFonts w:hint="eastAsia"/>
          <w:sz w:val="24"/>
          <w:szCs w:val="24"/>
        </w:rPr>
        <w:t>或TIPE2</w:t>
      </w:r>
      <w:r>
        <w:rPr>
          <w:rFonts w:hint="eastAsia"/>
          <w:sz w:val="24"/>
          <w:szCs w:val="24"/>
          <w:vertAlign w:val="superscript"/>
        </w:rPr>
        <w:t>+/+</w:t>
      </w:r>
      <w:r>
        <w:rPr>
          <w:rFonts w:hint="eastAsia"/>
          <w:sz w:val="24"/>
          <w:szCs w:val="24"/>
        </w:rPr>
        <w:t>小鼠制备失血性休克模型：WT小鼠随机分为Shock组、Shock+TIPE2干扰慢病毒感染组，TIPE2</w:t>
      </w:r>
      <w:r>
        <w:rPr>
          <w:rFonts w:hint="eastAsia"/>
          <w:sz w:val="24"/>
          <w:szCs w:val="24"/>
          <w:vertAlign w:val="superscript"/>
        </w:rPr>
        <w:t>-/-</w:t>
      </w:r>
      <w:r>
        <w:rPr>
          <w:rFonts w:hint="eastAsia"/>
          <w:sz w:val="24"/>
          <w:szCs w:val="24"/>
        </w:rPr>
        <w:t>小鼠随机分为Shock组、Shock+TIPE2过表达慢病毒感染组，TIPE2</w:t>
      </w:r>
      <w:r>
        <w:rPr>
          <w:rFonts w:hint="eastAsia"/>
          <w:sz w:val="24"/>
          <w:szCs w:val="24"/>
          <w:vertAlign w:val="superscript"/>
        </w:rPr>
        <w:t>+/+</w:t>
      </w:r>
      <w:r>
        <w:rPr>
          <w:rFonts w:hint="eastAsia"/>
          <w:sz w:val="24"/>
          <w:szCs w:val="24"/>
        </w:rPr>
        <w:t>小鼠随机分为Shock组、Shock+TIPE2干扰慢病毒感染组，同时均设立对照组（Sham组）。分选、获取各实验组小鼠的脾脏DC，观察DC的成熟、抗原提呈及其对CD4</w:t>
      </w:r>
      <w:r>
        <w:rPr>
          <w:rFonts w:hint="eastAsia"/>
          <w:sz w:val="24"/>
          <w:szCs w:val="24"/>
          <w:vertAlign w:val="superscript"/>
        </w:rPr>
        <w:t>+</w:t>
      </w:r>
      <w:r>
        <w:rPr>
          <w:rFonts w:hint="eastAsia"/>
          <w:sz w:val="24"/>
          <w:szCs w:val="24"/>
        </w:rPr>
        <w:t xml:space="preserve"> T细胞免疫功能的影响；观察TIPE2、TRIM13、内质网自噬相关分子的表达；应用激光共聚焦显微镜和透射电镜观测内质网和内质网自噬小体的形成。</w:t>
      </w:r>
    </w:p>
    <w:p w14:paraId="7F9A0C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楷体" w:eastAsia="楷体" w:hAnsi="楷体" w:cs="楷体"/>
        </w:rPr>
      </w:pPr>
      <w:r>
        <w:rPr>
          <w:rFonts w:hint="eastAsia"/>
          <w:sz w:val="24"/>
          <w:szCs w:val="24"/>
          <w:lang w:val="en-US" w:eastAsia="zh-CN"/>
        </w:rPr>
        <w:t>体外实验：</w:t>
      </w:r>
      <w:r>
        <w:rPr>
          <w:rFonts w:hint="eastAsia"/>
          <w:sz w:val="24"/>
          <w:szCs w:val="24"/>
        </w:rPr>
        <w:t>应用WT、TIPE2</w:t>
      </w:r>
      <w:r>
        <w:rPr>
          <w:rFonts w:hint="eastAsia"/>
          <w:sz w:val="24"/>
          <w:szCs w:val="24"/>
          <w:vertAlign w:val="superscript"/>
        </w:rPr>
        <w:t>-/-</w:t>
      </w:r>
      <w:r>
        <w:rPr>
          <w:rFonts w:hint="eastAsia"/>
          <w:sz w:val="24"/>
          <w:szCs w:val="24"/>
        </w:rPr>
        <w:t>或TIPE2</w:t>
      </w:r>
      <w:r>
        <w:rPr>
          <w:rFonts w:hint="eastAsia"/>
          <w:sz w:val="24"/>
          <w:szCs w:val="24"/>
          <w:vertAlign w:val="superscript"/>
        </w:rPr>
        <w:t>+/+</w:t>
      </w:r>
      <w:r>
        <w:rPr>
          <w:rFonts w:hint="eastAsia"/>
          <w:sz w:val="24"/>
          <w:szCs w:val="24"/>
        </w:rPr>
        <w:t>小鼠分离、纯化脾脏DC，WT DC随机分为PHSML刺激组、PHSML刺激+TIPE2干扰慢病毒感染组；TIPE2</w:t>
      </w:r>
      <w:r>
        <w:rPr>
          <w:rFonts w:hint="eastAsia"/>
          <w:sz w:val="24"/>
          <w:szCs w:val="24"/>
          <w:vertAlign w:val="superscript"/>
        </w:rPr>
        <w:t>-/-</w:t>
      </w:r>
      <w:r>
        <w:rPr>
          <w:rFonts w:hint="eastAsia"/>
          <w:sz w:val="24"/>
          <w:szCs w:val="24"/>
        </w:rPr>
        <w:t xml:space="preserve"> DC随机分为PHSML刺激组、PHSML刺激+TIPE2过表达慢病毒感染组，TIPE2</w:t>
      </w:r>
      <w:r>
        <w:rPr>
          <w:rFonts w:hint="eastAsia"/>
          <w:sz w:val="24"/>
          <w:szCs w:val="24"/>
          <w:vertAlign w:val="superscript"/>
        </w:rPr>
        <w:t>+/+</w:t>
      </w:r>
      <w:r>
        <w:rPr>
          <w:rFonts w:hint="eastAsia"/>
          <w:sz w:val="24"/>
          <w:szCs w:val="24"/>
        </w:rPr>
        <w:t xml:space="preserve"> DC随机分为PHSML刺激组、PHSML刺激+TIPE2干扰慢病毒感染组；同时均设置对照组（Control组）。体外观察DC的成熟、抗原提呈及其对CD4</w:t>
      </w:r>
      <w:r>
        <w:rPr>
          <w:rFonts w:hint="eastAsia"/>
          <w:sz w:val="24"/>
          <w:szCs w:val="24"/>
          <w:vertAlign w:val="superscript"/>
        </w:rPr>
        <w:t>+</w:t>
      </w:r>
      <w:r>
        <w:rPr>
          <w:rFonts w:hint="eastAsia"/>
          <w:sz w:val="24"/>
          <w:szCs w:val="24"/>
        </w:rPr>
        <w:t xml:space="preserve"> T细胞免疫功能的影响；观察TIPE2、</w:t>
      </w:r>
      <w:r>
        <w:rPr>
          <w:rFonts w:hint="eastAsia"/>
          <w:sz w:val="24"/>
          <w:szCs w:val="24"/>
          <w:lang w:eastAsia="zh-CN"/>
        </w:rPr>
        <w:t>TRIM13</w:t>
      </w:r>
      <w:r>
        <w:rPr>
          <w:rFonts w:hint="eastAsia"/>
          <w:sz w:val="24"/>
          <w:szCs w:val="24"/>
        </w:rPr>
        <w:t>、内质网自噬反应性；应用激光共聚焦显微镜和透射电镜观测内质网和内质网自噬小体的形成。通过体内外实验研究，分析论证TIPE2的不同表达与TRIM13介导的内质网自噬在失血性休克后DC功能变化中的内在关联。</w:t>
      </w:r>
    </w:p>
    <w:p w14:paraId="17A129EF">
      <w:pPr>
        <w:keepNext w:val="0"/>
        <w:keepLines w:val="0"/>
        <w:pageBreakBefore w:val="0"/>
        <w:widowControl w:val="0"/>
        <w:numPr>
          <w:ilvl w:val="255"/>
          <w:numId w:val="0"/>
        </w:numPr>
        <w:kinsoku/>
        <w:wordWrap w:val="0"/>
        <w:overflowPunct/>
        <w:topLinePunct w:val="0"/>
        <w:autoSpaceDE/>
        <w:autoSpaceDN/>
        <w:bidi w:val="0"/>
        <w:adjustRightInd/>
        <w:snapToGrid/>
        <w:spacing w:line="360" w:lineRule="auto"/>
        <w:ind w:firstLine="560" w:firstLineChars="200"/>
        <w:textAlignment w:val="auto"/>
        <w:rPr>
          <w:rFonts w:ascii="楷体" w:eastAsia="楷体" w:hAnsi="楷体" w:cs="楷体"/>
        </w:rPr>
      </w:pPr>
      <w:r>
        <w:rPr>
          <w:rFonts w:ascii="楷体" w:eastAsia="楷体" w:hAnsi="楷体" w:cs="楷体" w:hint="eastAsia"/>
        </w:rPr>
        <w:t>2.研究目标（定量指标和定性指标相结合）</w:t>
      </w:r>
    </w:p>
    <w:p w14:paraId="6A0C192F">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hint="eastAsia"/>
          <w:sz w:val="24"/>
          <w:szCs w:val="24"/>
          <w:lang w:eastAsia="zh-CN"/>
        </w:rPr>
      </w:pPr>
      <w:r>
        <w:rPr>
          <w:rFonts w:hint="eastAsia"/>
          <w:sz w:val="24"/>
          <w:szCs w:val="24"/>
          <w:lang w:val="en-US" w:eastAsia="zh-CN"/>
        </w:rPr>
        <w:t>2.1 阐明</w:t>
      </w:r>
      <w:r>
        <w:rPr>
          <w:rFonts w:hint="eastAsia"/>
          <w:sz w:val="24"/>
          <w:szCs w:val="24"/>
          <w:lang w:eastAsia="zh-CN"/>
        </w:rPr>
        <w:t>TRIM13</w:t>
      </w:r>
      <w:r>
        <w:rPr>
          <w:rFonts w:hint="eastAsia"/>
          <w:sz w:val="24"/>
          <w:szCs w:val="24"/>
        </w:rPr>
        <w:t>介导的内质网</w:t>
      </w:r>
      <w:r>
        <w:rPr>
          <w:rFonts w:hint="eastAsia"/>
          <w:sz w:val="24"/>
          <w:szCs w:val="24"/>
          <w:lang w:val="en-US" w:eastAsia="zh-CN"/>
        </w:rPr>
        <w:t>选择性</w:t>
      </w:r>
      <w:r>
        <w:rPr>
          <w:rFonts w:hint="eastAsia"/>
          <w:sz w:val="24"/>
          <w:szCs w:val="24"/>
        </w:rPr>
        <w:t>自噬在失血性休克后DC免疫功能紊乱</w:t>
      </w:r>
      <w:r>
        <w:rPr>
          <w:rFonts w:hint="eastAsia"/>
          <w:sz w:val="24"/>
          <w:szCs w:val="24"/>
          <w:lang w:val="en-US" w:eastAsia="zh-CN"/>
        </w:rPr>
        <w:t>中</w:t>
      </w:r>
      <w:r>
        <w:rPr>
          <w:rFonts w:hint="eastAsia"/>
          <w:sz w:val="24"/>
          <w:szCs w:val="24"/>
        </w:rPr>
        <w:t>的重要作用</w:t>
      </w:r>
      <w:r>
        <w:rPr>
          <w:rFonts w:hint="eastAsia"/>
          <w:sz w:val="24"/>
          <w:szCs w:val="24"/>
          <w:lang w:val="en-US" w:eastAsia="zh-CN"/>
        </w:rPr>
        <w:t>及其</w:t>
      </w:r>
      <w:r>
        <w:rPr>
          <w:rFonts w:hint="eastAsia"/>
          <w:sz w:val="24"/>
          <w:szCs w:val="24"/>
        </w:rPr>
        <w:t>病理生理意义</w:t>
      </w:r>
      <w:r>
        <w:rPr>
          <w:rFonts w:hint="eastAsia"/>
          <w:sz w:val="24"/>
          <w:szCs w:val="24"/>
          <w:lang w:eastAsia="zh-CN"/>
        </w:rPr>
        <w:t>。</w:t>
      </w:r>
    </w:p>
    <w:p w14:paraId="631D3DAE">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2.2 进一步揭示</w:t>
      </w:r>
      <w:r>
        <w:rPr>
          <w:rFonts w:hint="eastAsia"/>
          <w:sz w:val="24"/>
          <w:szCs w:val="24"/>
        </w:rPr>
        <w:t>TIPE2是调控</w:t>
      </w:r>
      <w:r>
        <w:rPr>
          <w:rFonts w:hint="eastAsia"/>
          <w:sz w:val="24"/>
          <w:szCs w:val="24"/>
          <w:lang w:eastAsia="zh-CN"/>
        </w:rPr>
        <w:t>TRIM13</w:t>
      </w:r>
      <w:r>
        <w:rPr>
          <w:rFonts w:hint="eastAsia"/>
          <w:sz w:val="24"/>
          <w:szCs w:val="24"/>
        </w:rPr>
        <w:t>介导的内质网自噬</w:t>
      </w:r>
      <w:r>
        <w:rPr>
          <w:rFonts w:hint="eastAsia"/>
          <w:sz w:val="24"/>
          <w:szCs w:val="24"/>
          <w:lang w:val="en-US" w:eastAsia="zh-CN"/>
        </w:rPr>
        <w:t>进而导致DC免疫功能障碍的重要信号机制，深化对TIPE2在失血性休克后树突状细胞免疫功能障碍中的理论认识。</w:t>
      </w:r>
    </w:p>
    <w:p w14:paraId="3A506618">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ascii="楷体" w:eastAsia="楷体" w:hAnsi="楷体" w:cs="楷体"/>
        </w:rPr>
      </w:pPr>
      <w:r>
        <w:rPr>
          <w:rFonts w:hint="eastAsia"/>
          <w:sz w:val="24"/>
          <w:szCs w:val="24"/>
          <w:lang w:val="en-US" w:eastAsia="zh-CN"/>
        </w:rPr>
        <w:t>2.3 通过调节选择性自噬而改善</w:t>
      </w:r>
      <w:r>
        <w:rPr>
          <w:rFonts w:hint="eastAsia"/>
          <w:sz w:val="24"/>
          <w:szCs w:val="24"/>
        </w:rPr>
        <w:t>失血性休克后DC免疫功能</w:t>
      </w:r>
      <w:r>
        <w:rPr>
          <w:rFonts w:hint="eastAsia"/>
          <w:sz w:val="24"/>
          <w:szCs w:val="24"/>
          <w:lang w:val="en-US" w:eastAsia="zh-CN"/>
        </w:rPr>
        <w:t>障碍，为临床上重症休克患者免疫功能紊乱的调控提供</w:t>
      </w:r>
      <w:r>
        <w:rPr>
          <w:rFonts w:hint="eastAsia"/>
          <w:sz w:val="24"/>
          <w:szCs w:val="24"/>
        </w:rPr>
        <w:t>新靶点和新思路。</w:t>
      </w:r>
    </w:p>
    <w:p w14:paraId="2F0E47B4">
      <w:pPr>
        <w:keepNext w:val="0"/>
        <w:keepLines w:val="0"/>
        <w:pageBreakBefore w:val="0"/>
        <w:widowControl w:val="0"/>
        <w:numPr>
          <w:ilvl w:val="255"/>
          <w:numId w:val="0"/>
        </w:numPr>
        <w:kinsoku/>
        <w:wordWrap w:val="0"/>
        <w:overflowPunct/>
        <w:topLinePunct w:val="0"/>
        <w:autoSpaceDE/>
        <w:autoSpaceDN/>
        <w:bidi w:val="0"/>
        <w:adjustRightInd/>
        <w:snapToGrid/>
        <w:spacing w:line="360" w:lineRule="auto"/>
        <w:ind w:firstLine="560" w:firstLineChars="200"/>
        <w:textAlignment w:val="auto"/>
        <w:rPr>
          <w:rFonts w:ascii="楷体" w:eastAsia="楷体" w:hAnsi="楷体" w:cs="楷体"/>
        </w:rPr>
      </w:pPr>
      <w:r>
        <w:rPr>
          <w:rFonts w:ascii="楷体" w:eastAsia="楷体" w:hAnsi="楷体" w:cs="楷体" w:hint="eastAsia"/>
        </w:rPr>
        <w:t>3.拟解决的科学问题</w:t>
      </w:r>
    </w:p>
    <w:p w14:paraId="31ADD103">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ascii="楷体" w:eastAsia="楷体" w:hAnsi="楷体" w:cs="楷体"/>
        </w:rPr>
      </w:pPr>
      <w:r>
        <w:rPr>
          <w:rFonts w:hint="eastAsia"/>
          <w:sz w:val="24"/>
          <w:szCs w:val="24"/>
          <w:lang w:val="en-US" w:eastAsia="zh-CN"/>
        </w:rPr>
        <w:t>研究发现，非经典内质网自噬受体TRIM13深度参与内质网的功能，与泛素化、维持内质网质量控制的内质网应激和内质网自噬密切相关。本项目以TRIM13介导的内质网自噬为切入点，以TIPE2为干预靶点，旨在阐明TIPE2高表达在失血性休克诱导内质网自噬水平增强进而引起DC免疫功能障碍中发挥着重要作用。因此，针对TIPE2，筛选调控TRIM13介导的内质网自噬而改善失血性休克后DC细胞免疫功能有效的干预靶点，将有助于探寻失血性休克后免疫调控的途径及措施，这是本项目亟待解决的重要科学问题。预实验研究证实，失血性休克后，TRIM13表达上调增强内质网自噬水平参与DC免疫功能障碍，且与TIPE2高表达密切相关，但其在失血性休克后机体免疫紊乱发病机制中的确切作用与调控环节尚有待进一步探讨。因此，围绕内质网自噬设计针对关键分子的干预调节，对探寻内质网自噬调控DC细胞免疫功能的分子机制具有十分重要的科学价值，有助于进一步揭示失血性休克后机体树突状细胞免疫功能障碍的发病本质，并为开展针对性防治策略提供新思路。</w:t>
      </w:r>
    </w:p>
    <w:p w14:paraId="71885938">
      <w:pPr>
        <w:keepNext w:val="0"/>
        <w:keepLines w:val="0"/>
        <w:pageBreakBefore w:val="0"/>
        <w:widowControl w:val="0"/>
        <w:numPr>
          <w:ilvl w:val="255"/>
          <w:numId w:val="0"/>
        </w:numPr>
        <w:kinsoku/>
        <w:wordWrap w:val="0"/>
        <w:overflowPunct/>
        <w:topLinePunct w:val="0"/>
        <w:autoSpaceDE/>
        <w:autoSpaceDN/>
        <w:bidi w:val="0"/>
        <w:adjustRightInd/>
        <w:snapToGrid/>
        <w:spacing w:line="360" w:lineRule="auto"/>
        <w:ind w:firstLine="560" w:firstLineChars="200"/>
        <w:textAlignment w:val="auto"/>
        <w:rPr>
          <w:rFonts w:ascii="楷体" w:eastAsia="楷体" w:hAnsi="楷体" w:cs="楷体"/>
        </w:rPr>
      </w:pPr>
      <w:r>
        <w:rPr>
          <w:rFonts w:ascii="楷体" w:eastAsia="楷体" w:hAnsi="楷体" w:cs="楷体" w:hint="eastAsia"/>
        </w:rPr>
        <w:t>4.项目的特色与创新之处</w:t>
      </w:r>
    </w:p>
    <w:p w14:paraId="3F79E9A7">
      <w:pPr>
        <w:keepNext w:val="0"/>
        <w:keepLines w:val="0"/>
        <w:pageBreakBefore w:val="0"/>
        <w:widowControl w:val="0"/>
        <w:kinsoku/>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4.1 DC免疫功能障碍是导致失血性休克后机体免疫功能紊乱的重要原因。以内质网选择性自噬和DC免疫功能作为切入点，应用TIPE2基因敲除小鼠和TIPE2基因敲入小鼠，以TIPE2为干预靶点，解析TIPE2调控内质网自噬改善失血性休克后DC免疫功能的分子机制，立意新颖。内质网自噬是应激情况下发生的保护性反应，旨在维持细胞的能量供应和营养循环。我们建立了树突状细胞特异性Trim13基因条件敲除小鼠，并结合多种技术方法从不同维度验证、分析非经典内质网自噬受体TRIM13介导的内质网自噬</w:t>
      </w:r>
      <w:r>
        <w:rPr>
          <w:rFonts w:hint="default"/>
          <w:sz w:val="24"/>
          <w:szCs w:val="24"/>
          <w:lang w:val="en-US" w:eastAsia="zh-CN"/>
        </w:rPr>
        <w:t>与失血性休克后DC免疫功能紊乱</w:t>
      </w:r>
      <w:r>
        <w:rPr>
          <w:rFonts w:hint="eastAsia"/>
          <w:sz w:val="24"/>
          <w:szCs w:val="24"/>
          <w:lang w:val="en-US" w:eastAsia="zh-CN"/>
        </w:rPr>
        <w:t>的内在关联，并深入研究TIPE2调控TRIM13介导的内质网自噬在改善失血性休克后DC免疫功能中的重要地位及科学内涵。</w:t>
      </w:r>
    </w:p>
    <w:p w14:paraId="0CE6AE2D">
      <w:pPr>
        <w:keepNext w:val="0"/>
        <w:keepLines w:val="0"/>
        <w:pageBreakBefore w:val="0"/>
        <w:kinsoku/>
        <w:overflowPunct/>
        <w:topLinePunct w:val="0"/>
        <w:autoSpaceDE/>
        <w:autoSpaceDN/>
        <w:bidi w:val="0"/>
        <w:adjustRightIn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4.2本项目结合国内外文献和前沿进展的动态解析，以课题组的前期研究成果和已证实的预实验结果作为基础，理论依据充分，创新性强。本研究团队长期从事脓毒症、重症休克的免疫学机制研究，项目申请人在已资助的国自然青年基金项目中已深入开展了休克肠淋巴液诱导CD4</w:t>
      </w:r>
      <w:r>
        <w:rPr>
          <w:rFonts w:hint="eastAsia"/>
          <w:sz w:val="24"/>
          <w:szCs w:val="24"/>
          <w:vertAlign w:val="superscript"/>
          <w:lang w:val="en-US" w:eastAsia="zh-CN"/>
        </w:rPr>
        <w:t>+</w:t>
      </w:r>
      <w:r>
        <w:rPr>
          <w:rFonts w:hint="eastAsia"/>
          <w:sz w:val="24"/>
          <w:szCs w:val="24"/>
          <w:lang w:val="en-US" w:eastAsia="zh-CN"/>
        </w:rPr>
        <w:t>T 细胞免疫功能障碍及其调控机制的研究，明确TLR2/ TLR4增强TIPE2表达参与失血性休克后肠淋巴液诱导的CD4</w:t>
      </w:r>
      <w:r>
        <w:rPr>
          <w:rFonts w:hint="eastAsia"/>
          <w:sz w:val="24"/>
          <w:szCs w:val="24"/>
          <w:vertAlign w:val="superscript"/>
          <w:lang w:val="en-US" w:eastAsia="zh-CN"/>
        </w:rPr>
        <w:t>+</w:t>
      </w:r>
      <w:r>
        <w:rPr>
          <w:rFonts w:hint="eastAsia"/>
          <w:sz w:val="24"/>
          <w:szCs w:val="24"/>
          <w:lang w:val="en-US" w:eastAsia="zh-CN"/>
        </w:rPr>
        <w:t>T细胞活化。本课题拟深入研究TIPE2调控TRIM13介导的内质网自噬在改善失血性休克诱导DC免疫功能障碍进而导致细胞免疫功能紊乱过程中的重要作用及信号调控机制。该研究将从崭新的视角深入认识TIPE2调控TRIM13介导的内质网自噬在改善失血性休克后DC免疫功能紊乱中的重要意义和应用价值。</w:t>
      </w:r>
    </w:p>
    <w:p w14:paraId="6943F3D7">
      <w:pPr>
        <w:keepNext w:val="0"/>
        <w:keepLines w:val="0"/>
        <w:pageBreakBefore w:val="0"/>
        <w:widowControl w:val="0"/>
        <w:kinsoku/>
        <w:overflowPunct/>
        <w:topLinePunct w:val="0"/>
        <w:autoSpaceDE/>
        <w:autoSpaceDN/>
        <w:bidi w:val="0"/>
        <w:adjustRightIn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4.3免疫功能障碍在失血性休克进展为脓毒症休克、多器官功能障碍中的重要地位已成为共识，但其确切机制尚不明确，仍然缺乏切实有效的免疫调理措施应用于临床救治。本项目通过TIPE2调控TRIM13介导的内质网自噬与失血性休克诱导DC免疫功能紊乱间的内在本质联系及其关键调控环节的深入了解，将为失血性休克后的免疫调控途径提供新思路，为TIPE2调控TRIM13介导的内质网自噬改善失血性休克后DC免疫功能之间的相互关系提供新的理论框架。</w:t>
      </w:r>
    </w:p>
    <w:p w14:paraId="2C0E9392">
      <w:pPr>
        <w:keepNext w:val="0"/>
        <w:keepLines w:val="0"/>
        <w:pageBreakBefore w:val="0"/>
        <w:widowControl w:val="0"/>
        <w:kinsoku/>
        <w:wordWrap w:val="0"/>
        <w:overflowPunct/>
        <w:topLinePunct w:val="0"/>
        <w:autoSpaceDE/>
        <w:autoSpaceDN/>
        <w:bidi w:val="0"/>
        <w:adjustRightInd/>
        <w:spacing w:line="360" w:lineRule="auto"/>
        <w:ind w:firstLine="560" w:firstLineChars="200"/>
        <w:textAlignment w:val="auto"/>
        <w:rPr>
          <w:rFonts w:ascii="楷体" w:eastAsia="楷体" w:hAnsi="楷体" w:cs="楷体"/>
        </w:rPr>
      </w:pPr>
      <w:r>
        <w:rPr>
          <w:rFonts w:ascii="楷体" w:eastAsia="楷体" w:hAnsi="楷体" w:cs="楷体" w:hint="eastAsia"/>
        </w:rPr>
        <w:t>5.预期成果（项目成果的呈现形式及描述）</w:t>
      </w:r>
    </w:p>
    <w:p w14:paraId="5DE5C08D">
      <w:pPr>
        <w:keepNext w:val="0"/>
        <w:keepLines w:val="0"/>
        <w:pageBreakBefore w:val="0"/>
        <w:widowControl w:val="0"/>
        <w:kinsoku/>
        <w:overflowPunct/>
        <w:topLinePunct w:val="0"/>
        <w:autoSpaceDE/>
        <w:autoSpaceDN/>
        <w:bidi w:val="0"/>
        <w:adjustRightInd/>
        <w:snapToGrid w:val="0"/>
        <w:spacing w:line="360" w:lineRule="auto"/>
        <w:ind w:firstLine="470" w:firstLineChars="196"/>
        <w:textAlignment w:val="auto"/>
        <w:rPr>
          <w:rFonts w:asciiTheme="minorEastAsia" w:eastAsiaTheme="minorEastAsia" w:hAnsiTheme="minorEastAsia"/>
          <w:sz w:val="24"/>
          <w:szCs w:val="24"/>
        </w:rPr>
      </w:pPr>
      <w:r>
        <w:rPr>
          <w:rFonts w:asciiTheme="minorEastAsia" w:eastAsiaTheme="minorEastAsia" w:hAnsiTheme="minorEastAsia" w:hint="eastAsia"/>
          <w:sz w:val="24"/>
          <w:szCs w:val="24"/>
        </w:rPr>
        <w:t>（1）系统阐明</w:t>
      </w:r>
      <w:r>
        <w:rPr>
          <w:rFonts w:eastAsiaTheme="minorEastAsia" w:hint="eastAsia"/>
          <w:sz w:val="24"/>
          <w:szCs w:val="24"/>
          <w:lang w:eastAsia="zh-CN"/>
        </w:rPr>
        <w:t>TRIM13</w:t>
      </w:r>
      <w:r>
        <w:rPr>
          <w:rFonts w:asciiTheme="minorEastAsia" w:eastAsiaTheme="minorEastAsia" w:hAnsiTheme="minorEastAsia" w:hint="eastAsia"/>
          <w:sz w:val="24"/>
          <w:szCs w:val="24"/>
        </w:rPr>
        <w:t>介导的内质网自噬在失血性休克诱导D</w:t>
      </w:r>
      <w:r>
        <w:rPr>
          <w:rFonts w:asciiTheme="minorEastAsia" w:eastAsiaTheme="minorEastAsia" w:hAnsiTheme="minorEastAsia"/>
          <w:sz w:val="24"/>
          <w:szCs w:val="24"/>
        </w:rPr>
        <w:t>C</w:t>
      </w:r>
      <w:r>
        <w:rPr>
          <w:rFonts w:asciiTheme="minorEastAsia" w:eastAsiaTheme="minorEastAsia" w:hAnsiTheme="minorEastAsia" w:hint="eastAsia"/>
          <w:sz w:val="24"/>
          <w:szCs w:val="24"/>
        </w:rPr>
        <w:t>免疫功能障碍中的作用，揭示调控</w:t>
      </w:r>
      <w:r>
        <w:rPr>
          <w:rFonts w:eastAsiaTheme="minorEastAsia" w:hint="eastAsia"/>
          <w:sz w:val="24"/>
          <w:szCs w:val="24"/>
          <w:lang w:eastAsia="zh-CN"/>
        </w:rPr>
        <w:t>TRIM13</w:t>
      </w:r>
      <w:r>
        <w:rPr>
          <w:rFonts w:asciiTheme="minorEastAsia" w:eastAsiaTheme="minorEastAsia" w:hAnsiTheme="minorEastAsia" w:hint="eastAsia"/>
          <w:sz w:val="24"/>
          <w:szCs w:val="24"/>
        </w:rPr>
        <w:t>介导的内质网自噬以改善失血性休克后D</w:t>
      </w:r>
      <w:r>
        <w:rPr>
          <w:rFonts w:asciiTheme="minorEastAsia" w:eastAsiaTheme="minorEastAsia" w:hAnsiTheme="minorEastAsia"/>
          <w:sz w:val="24"/>
          <w:szCs w:val="24"/>
        </w:rPr>
        <w:t>C</w:t>
      </w:r>
      <w:r>
        <w:rPr>
          <w:rFonts w:asciiTheme="minorEastAsia" w:eastAsiaTheme="minorEastAsia" w:hAnsiTheme="minorEastAsia" w:hint="eastAsia"/>
          <w:sz w:val="24"/>
          <w:szCs w:val="24"/>
        </w:rPr>
        <w:t>免疫功能障碍中的重要分子靶点及机制。</w:t>
      </w:r>
    </w:p>
    <w:p w14:paraId="5218C40D">
      <w:pPr>
        <w:keepNext w:val="0"/>
        <w:keepLines w:val="0"/>
        <w:pageBreakBefore w:val="0"/>
        <w:kinsoku/>
        <w:overflowPunct/>
        <w:topLinePunct w:val="0"/>
        <w:autoSpaceDE/>
        <w:autoSpaceDN/>
        <w:bidi w:val="0"/>
        <w:adjustRightInd/>
        <w:snapToGrid w:val="0"/>
        <w:spacing w:line="360" w:lineRule="auto"/>
        <w:ind w:firstLine="470" w:firstLineChars="196"/>
        <w:textAlignment w:val="auto"/>
        <w:rPr>
          <w:rFonts w:eastAsiaTheme="minorEastAsia"/>
          <w:sz w:val="24"/>
          <w:szCs w:val="24"/>
        </w:rPr>
      </w:pPr>
      <w:r>
        <w:rPr>
          <w:rFonts w:asciiTheme="minorEastAsia" w:eastAsiaTheme="minorEastAsia" w:hAnsiTheme="minorEastAsia" w:hint="eastAsia"/>
          <w:sz w:val="24"/>
          <w:szCs w:val="24"/>
        </w:rPr>
        <w:t>（2）</w:t>
      </w:r>
      <w:r>
        <w:rPr>
          <w:rFonts w:eastAsiaTheme="minorEastAsia"/>
          <w:sz w:val="24"/>
          <w:szCs w:val="24"/>
        </w:rPr>
        <w:t>揭示TIPE2调控</w:t>
      </w:r>
      <w:r>
        <w:rPr>
          <w:rFonts w:eastAsiaTheme="minorEastAsia" w:hint="eastAsia"/>
          <w:sz w:val="24"/>
          <w:szCs w:val="24"/>
          <w:lang w:eastAsia="zh-CN"/>
        </w:rPr>
        <w:t>TRIM13</w:t>
      </w:r>
      <w:r>
        <w:rPr>
          <w:rFonts w:eastAsiaTheme="minorEastAsia"/>
          <w:sz w:val="24"/>
          <w:szCs w:val="24"/>
        </w:rPr>
        <w:t>介导内质网自噬在改善失血性休克后DC免疫功能紊乱中的重要作用，从而探寻改善失血性休克后树突状细胞免疫功能紊乱的有效调控靶点，</w:t>
      </w:r>
      <w:r>
        <w:rPr>
          <w:sz w:val="24"/>
          <w:szCs w:val="24"/>
        </w:rPr>
        <w:t>明确TIPE2调控</w:t>
      </w:r>
      <w:r>
        <w:rPr>
          <w:rFonts w:hint="eastAsia"/>
          <w:sz w:val="24"/>
          <w:szCs w:val="24"/>
          <w:lang w:eastAsia="zh-CN"/>
        </w:rPr>
        <w:t>TRIM13</w:t>
      </w:r>
      <w:r>
        <w:rPr>
          <w:rFonts w:hint="eastAsia"/>
          <w:sz w:val="24"/>
          <w:szCs w:val="24"/>
        </w:rPr>
        <w:t>介导的</w:t>
      </w:r>
      <w:r>
        <w:rPr>
          <w:sz w:val="24"/>
          <w:szCs w:val="24"/>
        </w:rPr>
        <w:t>内质网自噬在改善失血性休克诱导树突状细胞免疫功能紊乱中的重要科学意义。</w:t>
      </w:r>
    </w:p>
    <w:p w14:paraId="1B2616F8">
      <w:pPr>
        <w:keepNext w:val="0"/>
        <w:keepLines w:val="0"/>
        <w:pageBreakBefore w:val="0"/>
        <w:kinsoku/>
        <w:overflowPunct/>
        <w:topLinePunct w:val="0"/>
        <w:autoSpaceDE/>
        <w:autoSpaceDN/>
        <w:bidi w:val="0"/>
        <w:adjustRightInd/>
        <w:snapToGrid w:val="0"/>
        <w:spacing w:line="360" w:lineRule="auto"/>
        <w:ind w:firstLine="470" w:firstLineChars="196"/>
        <w:textAlignment w:val="auto"/>
        <w:rPr>
          <w:rFonts w:asciiTheme="minorEastAsia" w:eastAsiaTheme="minorEastAsia" w:hAnsiTheme="minorEastAsia"/>
          <w:sz w:val="24"/>
          <w:szCs w:val="24"/>
        </w:rPr>
      </w:pPr>
      <w:r>
        <w:rPr>
          <w:rFonts w:asciiTheme="minorEastAsia" w:eastAsiaTheme="minorEastAsia" w:hAnsiTheme="minorEastAsia" w:hint="eastAsia"/>
          <w:sz w:val="24"/>
          <w:szCs w:val="24"/>
        </w:rPr>
        <w:t>（3）丰富与深化失血性休克诱导树突状细胞免疫功能紊乱的新认识。研究结果预期可形成论著</w:t>
      </w:r>
      <w:r>
        <w:rPr>
          <w:rFonts w:asciiTheme="minorEastAsia" w:eastAsiaTheme="minorEastAsia" w:hAnsiTheme="minorEastAsia" w:hint="eastAsia"/>
          <w:sz w:val="24"/>
          <w:szCs w:val="24"/>
          <w:lang w:val="en-US" w:eastAsia="zh-CN"/>
        </w:rPr>
        <w:t>2</w:t>
      </w: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lang w:val="en-US" w:eastAsia="zh-CN"/>
        </w:rPr>
        <w:t>3</w:t>
      </w:r>
      <w:r>
        <w:rPr>
          <w:rFonts w:asciiTheme="minorEastAsia" w:eastAsiaTheme="minorEastAsia" w:hAnsiTheme="minorEastAsia" w:hint="eastAsia"/>
          <w:sz w:val="24"/>
          <w:szCs w:val="24"/>
        </w:rPr>
        <w:t>篇，其中在国际S</w:t>
      </w:r>
      <w:r>
        <w:rPr>
          <w:rFonts w:asciiTheme="minorEastAsia" w:eastAsiaTheme="minorEastAsia" w:hAnsiTheme="minorEastAsia"/>
          <w:sz w:val="24"/>
          <w:szCs w:val="24"/>
        </w:rPr>
        <w:t>CI</w:t>
      </w:r>
      <w:r>
        <w:rPr>
          <w:rFonts w:asciiTheme="minorEastAsia" w:eastAsiaTheme="minorEastAsia" w:hAnsiTheme="minorEastAsia" w:hint="eastAsia"/>
          <w:sz w:val="24"/>
          <w:szCs w:val="24"/>
        </w:rPr>
        <w:t>收录专业期刊发表论文1-2篇。</w:t>
      </w:r>
    </w:p>
    <w:p w14:paraId="16F9889F">
      <w:pPr>
        <w:keepNext w:val="0"/>
        <w:keepLines w:val="0"/>
        <w:pageBreakBefore w:val="0"/>
        <w:kinsoku/>
        <w:overflowPunct/>
        <w:topLinePunct w:val="0"/>
        <w:autoSpaceDE/>
        <w:autoSpaceDN/>
        <w:bidi w:val="0"/>
        <w:adjustRightInd/>
        <w:snapToGrid w:val="0"/>
        <w:spacing w:line="360" w:lineRule="auto"/>
        <w:ind w:firstLine="470" w:firstLineChars="196"/>
        <w:textAlignment w:val="auto"/>
        <w:rPr>
          <w:rFonts w:ascii="楷体" w:eastAsia="楷体" w:hAnsi="楷体" w:cs="楷体"/>
        </w:rPr>
      </w:pPr>
      <w:r>
        <w:rPr>
          <w:rFonts w:asciiTheme="minorEastAsia" w:eastAsiaTheme="minorEastAsia" w:hAnsiTheme="minorEastAsia" w:hint="eastAsia"/>
          <w:sz w:val="24"/>
          <w:szCs w:val="24"/>
        </w:rPr>
        <w:t>（4）本项目的执行、实施将有助于团队建设和高层次人才的培养（预计培养研究生</w:t>
      </w:r>
      <w:r>
        <w:rPr>
          <w:rFonts w:asciiTheme="minorEastAsia" w:eastAsiaTheme="minorEastAsia" w:hAnsiTheme="minorEastAsia" w:hint="eastAsia"/>
          <w:sz w:val="24"/>
          <w:szCs w:val="24"/>
          <w:lang w:val="en-US" w:eastAsia="zh-CN"/>
        </w:rPr>
        <w:t>1</w:t>
      </w: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lang w:val="en-US" w:eastAsia="zh-CN"/>
        </w:rPr>
        <w:t>2</w:t>
      </w:r>
      <w:r>
        <w:rPr>
          <w:rFonts w:asciiTheme="minorEastAsia" w:eastAsiaTheme="minorEastAsia" w:hAnsiTheme="minorEastAsia" w:hint="eastAsia"/>
          <w:sz w:val="24"/>
          <w:szCs w:val="24"/>
        </w:rPr>
        <w:t>名），拟参加全国性学术会议和专题研讨会</w:t>
      </w:r>
      <w:r>
        <w:rPr>
          <w:rFonts w:asciiTheme="minorEastAsia" w:eastAsiaTheme="minorEastAsia" w:hAnsiTheme="minorEastAsia" w:hint="eastAsia"/>
          <w:sz w:val="24"/>
          <w:szCs w:val="24"/>
          <w:lang w:val="en-US" w:eastAsia="zh-CN"/>
        </w:rPr>
        <w:t>1</w:t>
      </w:r>
      <w:r>
        <w:rPr>
          <w:rFonts w:asciiTheme="minorEastAsia" w:eastAsiaTheme="minorEastAsia" w:hAnsiTheme="minorEastAsia" w:hint="eastAsia"/>
          <w:sz w:val="24"/>
          <w:szCs w:val="24"/>
        </w:rPr>
        <w:t>-</w:t>
      </w:r>
      <w:r>
        <w:rPr>
          <w:rFonts w:asciiTheme="minorEastAsia" w:eastAsiaTheme="minorEastAsia" w:hAnsiTheme="minorEastAsia" w:hint="eastAsia"/>
          <w:sz w:val="24"/>
          <w:szCs w:val="24"/>
          <w:lang w:val="en-US" w:eastAsia="zh-CN"/>
        </w:rPr>
        <w:t>2</w:t>
      </w:r>
      <w:r>
        <w:rPr>
          <w:rFonts w:asciiTheme="minorEastAsia" w:eastAsiaTheme="minorEastAsia" w:hAnsiTheme="minorEastAsia" w:hint="eastAsia"/>
          <w:sz w:val="24"/>
          <w:szCs w:val="24"/>
        </w:rPr>
        <w:t>次；并积极开展学术交流，力争在相关专业的国内外学术会议上作专题报告1-2次。</w:t>
      </w:r>
    </w:p>
    <w:p w14:paraId="7E3DAA52">
      <w:pPr>
        <w:keepNext w:val="0"/>
        <w:keepLines w:val="0"/>
        <w:pageBreakBefore w:val="0"/>
        <w:kinsoku/>
        <w:wordWrap w:val="0"/>
        <w:overflowPunct/>
        <w:topLinePunct w:val="0"/>
        <w:autoSpaceDE/>
        <w:autoSpaceDN/>
        <w:bidi w:val="0"/>
        <w:adjustRightInd/>
        <w:spacing w:line="360" w:lineRule="auto"/>
        <w:ind w:firstLine="560" w:firstLineChars="200"/>
        <w:textAlignment w:val="auto"/>
        <w:outlineLvl w:val="0"/>
        <w:rPr>
          <w:rFonts w:ascii="楷体" w:eastAsia="楷体" w:hAnsi="楷体" w:cs="楷体"/>
          <w:b/>
        </w:rPr>
      </w:pPr>
      <w:bookmarkStart w:id="66" w:name="bm_six"/>
      <w:r>
        <w:rPr>
          <w:rFonts w:ascii="楷体" w:eastAsia="楷体" w:hAnsi="楷体" w:cs="楷体" w:hint="eastAsia"/>
          <w:b/>
        </w:rPr>
        <w:t>三、研究方案及可行性分析</w:t>
      </w:r>
    </w:p>
    <w:bookmarkEnd w:id="65"/>
    <w:bookmarkEnd w:id="66"/>
    <w:p w14:paraId="10917912">
      <w:pPr>
        <w:keepNext w:val="0"/>
        <w:keepLines w:val="0"/>
        <w:pageBreakBefore w:val="0"/>
        <w:kinsoku/>
        <w:wordWrap w:val="0"/>
        <w:overflowPunct/>
        <w:topLinePunct w:val="0"/>
        <w:autoSpaceDE/>
        <w:autoSpaceDN/>
        <w:bidi w:val="0"/>
        <w:adjustRightInd/>
        <w:spacing w:line="360" w:lineRule="auto"/>
        <w:ind w:firstLine="560" w:firstLineChars="200"/>
        <w:textAlignment w:val="auto"/>
        <w:rPr>
          <w:rFonts w:ascii="楷体" w:eastAsia="楷体" w:hAnsi="楷体" w:cs="楷体"/>
        </w:rPr>
      </w:pPr>
      <w:r>
        <w:rPr>
          <w:rFonts w:ascii="楷体" w:eastAsia="楷体" w:hAnsi="楷体" w:cs="楷体" w:hint="eastAsia"/>
        </w:rPr>
        <w:t>1.研究方案（有关方法、技术路线、实验手段、关键技术等说明，项目可行性分析）</w:t>
      </w:r>
    </w:p>
    <w:p w14:paraId="5BC1DD12">
      <w:pPr>
        <w:pStyle w:val="ListParagraph"/>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480" w:firstLineChars="200"/>
        <w:textAlignment w:val="auto"/>
        <w:rPr>
          <w:rFonts w:asciiTheme="minorEastAsia" w:eastAsiaTheme="minorEastAsia" w:hAnsiTheme="minorEastAsia"/>
          <w:b/>
          <w:bCs/>
          <w:sz w:val="24"/>
          <w:szCs w:val="24"/>
        </w:rPr>
      </w:pPr>
      <w:r>
        <w:rPr>
          <w:rFonts w:asciiTheme="minorEastAsia" w:eastAsiaTheme="minorEastAsia" w:hAnsiTheme="minorEastAsia" w:hint="eastAsia"/>
          <w:b/>
          <w:bCs/>
          <w:sz w:val="24"/>
          <w:szCs w:val="24"/>
          <w:lang w:val="en-US" w:eastAsia="zh-CN"/>
        </w:rPr>
        <w:t xml:space="preserve">1.1 </w:t>
      </w:r>
      <w:r>
        <w:rPr>
          <w:rFonts w:asciiTheme="minorEastAsia" w:eastAsiaTheme="minorEastAsia" w:hAnsiTheme="minorEastAsia" w:hint="eastAsia"/>
          <w:b/>
          <w:bCs/>
          <w:sz w:val="24"/>
          <w:szCs w:val="24"/>
        </w:rPr>
        <w:t>研究方案与技术路线</w:t>
      </w:r>
    </w:p>
    <w:p w14:paraId="374ADAB3">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sz w:val="24"/>
          <w:szCs w:val="24"/>
        </w:rPr>
      </w:pPr>
      <w:r>
        <w:rPr>
          <w:rFonts w:hint="eastAsia"/>
          <w:sz w:val="24"/>
          <w:szCs w:val="24"/>
          <w:lang w:val="en-US" w:eastAsia="zh-CN"/>
        </w:rPr>
        <w:t>1</w:t>
      </w:r>
      <w:r>
        <w:rPr>
          <w:rFonts w:hint="eastAsia"/>
          <w:sz w:val="24"/>
          <w:szCs w:val="24"/>
        </w:rPr>
        <w:t xml:space="preserve">.1.1 </w:t>
      </w:r>
      <w:r>
        <w:rPr>
          <w:sz w:val="24"/>
          <w:szCs w:val="24"/>
        </w:rPr>
        <w:t>为明确内质网自噬是否参与调控</w:t>
      </w:r>
      <w:r>
        <w:rPr>
          <w:rFonts w:hint="eastAsia"/>
          <w:sz w:val="24"/>
          <w:szCs w:val="24"/>
        </w:rPr>
        <w:t>失血性休克</w:t>
      </w:r>
      <w:r>
        <w:rPr>
          <w:sz w:val="24"/>
          <w:szCs w:val="24"/>
        </w:rPr>
        <w:t>导致的DC免疫功能障碍，本研究建立失血性休克模型，从体内、体外两个方面阐明</w:t>
      </w:r>
      <w:bookmarkStart w:id="67" w:name="_Hlk159438234"/>
      <w:r>
        <w:rPr>
          <w:rFonts w:hint="eastAsia"/>
          <w:sz w:val="24"/>
          <w:szCs w:val="24"/>
        </w:rPr>
        <w:t>失血性休克后树突状细胞的</w:t>
      </w:r>
      <w:r>
        <w:rPr>
          <w:sz w:val="24"/>
          <w:szCs w:val="24"/>
        </w:rPr>
        <w:t>内质网自噬</w:t>
      </w:r>
      <w:bookmarkEnd w:id="67"/>
      <w:r>
        <w:rPr>
          <w:rFonts w:hint="eastAsia"/>
          <w:sz w:val="24"/>
          <w:szCs w:val="24"/>
        </w:rPr>
        <w:t>变化与规律（技术路线图</w:t>
      </w:r>
      <w:r>
        <w:rPr>
          <w:rFonts w:hint="eastAsia"/>
          <w:sz w:val="24"/>
          <w:szCs w:val="24"/>
          <w:lang w:val="en-US" w:eastAsia="zh-CN"/>
        </w:rPr>
        <w:t>1</w:t>
      </w:r>
      <w:r>
        <w:rPr>
          <w:rFonts w:hint="eastAsia"/>
          <w:sz w:val="24"/>
          <w:szCs w:val="24"/>
        </w:rPr>
        <w:t>.1.1）</w:t>
      </w:r>
      <w:r>
        <w:rPr>
          <w:sz w:val="24"/>
          <w:szCs w:val="24"/>
        </w:rPr>
        <w:t>。</w:t>
      </w:r>
    </w:p>
    <w:p w14:paraId="4DB4D2BA">
      <w:pPr>
        <w:keepNext w:val="0"/>
        <w:keepLines w:val="0"/>
        <w:pageBreakBefore w:val="0"/>
        <w:widowControl w:val="0"/>
        <w:kinsoku/>
        <w:wordWrap/>
        <w:overflowPunct/>
        <w:topLinePunct w:val="0"/>
        <w:autoSpaceDE/>
        <w:autoSpaceDN/>
        <w:bidi w:val="0"/>
        <w:adjustRightInd/>
        <w:snapToGrid w:val="0"/>
        <w:spacing w:line="360" w:lineRule="auto"/>
        <w:ind w:firstLine="470" w:firstLineChars="196"/>
        <w:textAlignment w:val="auto"/>
        <w:rPr>
          <w:b/>
          <w:bCs/>
          <w:sz w:val="24"/>
          <w:szCs w:val="24"/>
        </w:rPr>
      </w:pPr>
      <w:r>
        <w:rPr>
          <w:b/>
          <w:bCs/>
          <w:sz w:val="24"/>
          <w:szCs w:val="24"/>
        </w:rPr>
        <w:t>体内实验</w:t>
      </w:r>
    </w:p>
    <w:p w14:paraId="2D051146">
      <w:pPr>
        <w:keepNext w:val="0"/>
        <w:keepLines w:val="0"/>
        <w:pageBreakBefore w:val="0"/>
        <w:widowControl w:val="0"/>
        <w:kinsoku/>
        <w:wordWrap/>
        <w:overflowPunct/>
        <w:topLinePunct w:val="0"/>
        <w:autoSpaceDE/>
        <w:autoSpaceDN/>
        <w:bidi w:val="0"/>
        <w:adjustRightInd/>
        <w:snapToGrid w:val="0"/>
        <w:spacing w:line="360" w:lineRule="auto"/>
        <w:ind w:firstLine="470" w:firstLineChars="196"/>
        <w:textAlignment w:val="auto"/>
        <w:rPr>
          <w:b/>
          <w:bCs/>
          <w:sz w:val="24"/>
          <w:szCs w:val="24"/>
        </w:rPr>
      </w:pPr>
      <w:r>
        <w:rPr>
          <w:sz w:val="24"/>
          <w:szCs w:val="24"/>
        </w:rPr>
        <w:t>将</w:t>
      </w:r>
      <w:r>
        <w:rPr>
          <w:rFonts w:hint="eastAsia"/>
          <w:sz w:val="24"/>
          <w:szCs w:val="24"/>
        </w:rPr>
        <w:t>WT（C57BL/6）</w:t>
      </w:r>
      <w:r>
        <w:rPr>
          <w:sz w:val="24"/>
          <w:szCs w:val="24"/>
        </w:rPr>
        <w:t>小鼠随机分为假手术组（Sham）、失血性休克组（Shock）、失血性休克+肠淋巴液引流组（Shock+Drainage）。Shock组按我室常规方法复制失血性休克模型（通过调整放血量维持MAP于40±2mm Hg范围内，至3h）。Shock+Drainage组按我室常规方法复制失血性休克模型（通过调整放血量维持MAP于40±2mm Hg范围内，至3h），复苏后，行肠淋巴液引流。Sham组动物仅进行相同的手术操作，但不放血、不输液，观察时间与</w:t>
      </w:r>
      <w:r>
        <w:rPr>
          <w:rFonts w:hint="eastAsia"/>
          <w:sz w:val="24"/>
          <w:szCs w:val="24"/>
        </w:rPr>
        <w:t>S</w:t>
      </w:r>
      <w:r>
        <w:rPr>
          <w:sz w:val="24"/>
          <w:szCs w:val="24"/>
        </w:rPr>
        <w:t>hock组相同。获取各组小鼠脾脏，应用免疫磁珠阳性分选</w:t>
      </w:r>
      <w:r>
        <w:rPr>
          <w:rFonts w:hint="eastAsia"/>
          <w:sz w:val="24"/>
          <w:szCs w:val="24"/>
        </w:rPr>
        <w:t>获取纯化的</w:t>
      </w:r>
      <w:r>
        <w:rPr>
          <w:sz w:val="24"/>
          <w:szCs w:val="24"/>
        </w:rPr>
        <w:t>DC</w:t>
      </w:r>
      <w:r>
        <w:rPr>
          <w:rFonts w:hint="eastAsia"/>
          <w:sz w:val="24"/>
          <w:szCs w:val="24"/>
        </w:rPr>
        <w:t>，并采用不同方法检测、分析不同实验组DC的内质网自噬变化</w:t>
      </w:r>
      <w:r>
        <w:rPr>
          <w:sz w:val="24"/>
          <w:szCs w:val="24"/>
        </w:rPr>
        <w:t>。</w:t>
      </w:r>
      <w:r>
        <w:rPr>
          <w:rFonts w:hint="eastAsia"/>
          <w:sz w:val="24"/>
          <w:szCs w:val="24"/>
        </w:rPr>
        <w:t>具体包括：</w:t>
      </w:r>
      <w:r>
        <w:rPr>
          <w:sz w:val="24"/>
          <w:szCs w:val="24"/>
        </w:rPr>
        <w:t>（1）</w:t>
      </w:r>
      <w:r>
        <w:rPr>
          <w:rFonts w:hint="eastAsia"/>
          <w:b/>
          <w:bCs/>
          <w:sz w:val="24"/>
          <w:szCs w:val="24"/>
        </w:rPr>
        <w:t>内</w:t>
      </w:r>
      <w:r>
        <w:rPr>
          <w:b/>
          <w:bCs/>
          <w:sz w:val="24"/>
          <w:szCs w:val="24"/>
        </w:rPr>
        <w:t>质网自噬相关蛋白表达的检测</w:t>
      </w:r>
      <w:r>
        <w:rPr>
          <w:sz w:val="24"/>
          <w:szCs w:val="24"/>
        </w:rPr>
        <w:t>：通过Western Blotting方法检测DC细胞</w:t>
      </w:r>
      <w:r>
        <w:rPr>
          <w:rFonts w:hint="eastAsia"/>
          <w:sz w:val="24"/>
          <w:szCs w:val="24"/>
          <w:lang w:eastAsia="zh-CN"/>
        </w:rPr>
        <w:t>TRIM13</w:t>
      </w:r>
      <w:r>
        <w:rPr>
          <w:sz w:val="24"/>
          <w:szCs w:val="24"/>
        </w:rPr>
        <w:t>、LC3 I/II、p62、SEC61B的蛋白表达。（2）</w:t>
      </w:r>
      <w:r>
        <w:rPr>
          <w:b/>
          <w:bCs/>
          <w:sz w:val="24"/>
          <w:szCs w:val="24"/>
        </w:rPr>
        <w:t>内质网与自噬体以及内质网与溶酶体共定位监测</w:t>
      </w:r>
      <w:r>
        <w:rPr>
          <w:sz w:val="24"/>
          <w:szCs w:val="24"/>
        </w:rPr>
        <w:t>：通过激光共聚焦显微镜观察DC细胞内质网</w:t>
      </w:r>
      <w:r>
        <w:rPr>
          <w:rFonts w:hint="eastAsia"/>
          <w:sz w:val="24"/>
          <w:szCs w:val="24"/>
        </w:rPr>
        <w:t>（</w:t>
      </w:r>
      <w:r>
        <w:rPr>
          <w:sz w:val="24"/>
          <w:szCs w:val="24"/>
        </w:rPr>
        <w:t>ER-tracker</w:t>
      </w:r>
      <w:r>
        <w:rPr>
          <w:rFonts w:hint="eastAsia"/>
          <w:sz w:val="24"/>
          <w:szCs w:val="24"/>
        </w:rPr>
        <w:t>）</w:t>
      </w:r>
      <w:r>
        <w:rPr>
          <w:sz w:val="24"/>
          <w:szCs w:val="24"/>
        </w:rPr>
        <w:t>与自噬体</w:t>
      </w:r>
      <w:r>
        <w:rPr>
          <w:rFonts w:hint="eastAsia"/>
          <w:sz w:val="24"/>
          <w:szCs w:val="24"/>
        </w:rPr>
        <w:t>（</w:t>
      </w:r>
      <w:r>
        <w:rPr>
          <w:sz w:val="24"/>
          <w:szCs w:val="24"/>
        </w:rPr>
        <w:t>LC3 puncta</w:t>
      </w:r>
      <w:r>
        <w:rPr>
          <w:rFonts w:hint="eastAsia"/>
          <w:sz w:val="24"/>
          <w:szCs w:val="24"/>
        </w:rPr>
        <w:t>）</w:t>
      </w:r>
      <w:r>
        <w:rPr>
          <w:sz w:val="24"/>
          <w:szCs w:val="24"/>
        </w:rPr>
        <w:t>以及内质网与溶酶体</w:t>
      </w:r>
      <w:r>
        <w:rPr>
          <w:rFonts w:ascii="宋体" w:hAnsi="宋体" w:cs="宋体" w:hint="eastAsia"/>
          <w:sz w:val="24"/>
          <w:szCs w:val="24"/>
        </w:rPr>
        <w:t>（</w:t>
      </w:r>
      <w:r>
        <w:rPr>
          <w:sz w:val="24"/>
          <w:szCs w:val="24"/>
        </w:rPr>
        <w:t>LAMP-1, Lysosome marker</w:t>
      </w:r>
      <w:r>
        <w:rPr>
          <w:rFonts w:ascii="宋体" w:hAnsi="宋体" w:cs="宋体" w:hint="eastAsia"/>
          <w:sz w:val="24"/>
          <w:szCs w:val="24"/>
        </w:rPr>
        <w:t>）</w:t>
      </w:r>
      <w:r>
        <w:rPr>
          <w:sz w:val="24"/>
          <w:szCs w:val="24"/>
        </w:rPr>
        <w:t>的共定位情况。（3）</w:t>
      </w:r>
      <w:r>
        <w:rPr>
          <w:b/>
          <w:bCs/>
          <w:sz w:val="24"/>
          <w:szCs w:val="24"/>
        </w:rPr>
        <w:t>内质网自噬体的检测</w:t>
      </w:r>
      <w:r>
        <w:rPr>
          <w:sz w:val="24"/>
          <w:szCs w:val="24"/>
        </w:rPr>
        <w:t>：利用透射电镜观察</w:t>
      </w:r>
      <w:r>
        <w:rPr>
          <w:rFonts w:hint="eastAsia"/>
          <w:sz w:val="24"/>
          <w:szCs w:val="24"/>
        </w:rPr>
        <w:t>DC</w:t>
      </w:r>
      <w:r>
        <w:rPr>
          <w:sz w:val="24"/>
          <w:szCs w:val="24"/>
        </w:rPr>
        <w:t>内质网形态</w:t>
      </w:r>
      <w:r>
        <w:rPr>
          <w:rFonts w:hint="eastAsia"/>
          <w:sz w:val="24"/>
          <w:szCs w:val="24"/>
        </w:rPr>
        <w:t>及</w:t>
      </w:r>
      <w:r>
        <w:rPr>
          <w:sz w:val="24"/>
          <w:szCs w:val="24"/>
        </w:rPr>
        <w:t>含内质网结构自噬体数量的变化。</w:t>
      </w:r>
    </w:p>
    <w:p w14:paraId="36746CE4">
      <w:pPr>
        <w:keepNext w:val="0"/>
        <w:keepLines w:val="0"/>
        <w:pageBreakBefore w:val="0"/>
        <w:widowControl w:val="0"/>
        <w:kinsoku/>
        <w:wordWrap/>
        <w:overflowPunct/>
        <w:topLinePunct w:val="0"/>
        <w:autoSpaceDE/>
        <w:autoSpaceDN/>
        <w:bidi w:val="0"/>
        <w:adjustRightInd/>
        <w:snapToGrid w:val="0"/>
        <w:spacing w:line="360" w:lineRule="auto"/>
        <w:ind w:firstLine="470" w:firstLineChars="196"/>
        <w:textAlignment w:val="auto"/>
        <w:rPr>
          <w:b/>
          <w:bCs/>
          <w:sz w:val="24"/>
          <w:szCs w:val="24"/>
        </w:rPr>
      </w:pPr>
      <w:r>
        <w:rPr>
          <w:b/>
          <w:bCs/>
          <w:sz w:val="24"/>
          <w:szCs w:val="24"/>
        </w:rPr>
        <w:t>体外实验</w:t>
      </w:r>
    </w:p>
    <w:p w14:paraId="1DF5196C">
      <w:pPr>
        <w:keepNext w:val="0"/>
        <w:keepLines w:val="0"/>
        <w:pageBreakBefore w:val="0"/>
        <w:widowControl w:val="0"/>
        <w:kinsoku/>
        <w:wordWrap/>
        <w:overflowPunct/>
        <w:topLinePunct w:val="0"/>
        <w:autoSpaceDE/>
        <w:autoSpaceDN/>
        <w:bidi w:val="0"/>
        <w:adjustRightInd/>
        <w:snapToGrid w:val="0"/>
        <w:spacing w:line="360" w:lineRule="auto"/>
        <w:ind w:firstLine="470" w:firstLineChars="196"/>
        <w:textAlignment w:val="auto"/>
        <w:rPr>
          <w:rFonts w:hint="eastAsia"/>
          <w:sz w:val="24"/>
          <w:szCs w:val="24"/>
          <w:lang w:eastAsia="zh-CN"/>
        </w:rPr>
      </w:pPr>
      <w:r>
        <w:rPr>
          <w:sz w:val="24"/>
          <w:szCs w:val="24"/>
        </w:rPr>
        <w:t>通过磁珠阳性分选获取WT小鼠脾脏DC细胞，给予</w:t>
      </w:r>
      <w:r>
        <w:rPr>
          <w:rFonts w:hint="eastAsia"/>
          <w:sz w:val="24"/>
          <w:szCs w:val="24"/>
        </w:rPr>
        <w:t>休克肠淋巴液</w:t>
      </w:r>
      <w:r>
        <w:rPr>
          <w:sz w:val="24"/>
          <w:szCs w:val="24"/>
        </w:rPr>
        <w:t>PHSML</w:t>
      </w:r>
      <w:r>
        <w:rPr>
          <w:rFonts w:hint="eastAsia"/>
          <w:sz w:val="24"/>
          <w:szCs w:val="24"/>
        </w:rPr>
        <w:t>（Post-Hemorragic shock mesenteric lymph）</w:t>
      </w:r>
      <w:r>
        <w:rPr>
          <w:sz w:val="24"/>
          <w:szCs w:val="24"/>
        </w:rPr>
        <w:t>刺激，同时设置对照组（Control）</w:t>
      </w:r>
      <w:r>
        <w:rPr>
          <w:rFonts w:hint="eastAsia"/>
          <w:sz w:val="24"/>
          <w:szCs w:val="24"/>
        </w:rPr>
        <w:t>，</w:t>
      </w:r>
      <w:r>
        <w:rPr>
          <w:sz w:val="24"/>
          <w:szCs w:val="24"/>
        </w:rPr>
        <w:t>培养24h后收集不同实验组的DC细胞</w:t>
      </w:r>
      <w:r>
        <w:rPr>
          <w:rFonts w:hint="eastAsia"/>
          <w:sz w:val="24"/>
          <w:szCs w:val="24"/>
        </w:rPr>
        <w:t>，检测内质网自噬水平的变化</w:t>
      </w:r>
      <w:r>
        <w:rPr>
          <w:sz w:val="24"/>
          <w:szCs w:val="24"/>
        </w:rPr>
        <w:t>。（1）</w:t>
      </w:r>
      <w:r>
        <w:rPr>
          <w:b/>
          <w:bCs/>
          <w:sz w:val="24"/>
          <w:szCs w:val="24"/>
        </w:rPr>
        <w:t>内质网自噬相关蛋白表达的检测</w:t>
      </w:r>
      <w:r>
        <w:rPr>
          <w:sz w:val="24"/>
          <w:szCs w:val="24"/>
        </w:rPr>
        <w:t>：通过Western Blotting方法检测DC细胞</w:t>
      </w:r>
      <w:r>
        <w:rPr>
          <w:rFonts w:hint="eastAsia"/>
          <w:sz w:val="24"/>
          <w:szCs w:val="24"/>
          <w:lang w:eastAsia="zh-CN"/>
        </w:rPr>
        <w:t>TRIM13</w:t>
      </w:r>
      <w:r>
        <w:rPr>
          <w:sz w:val="24"/>
          <w:szCs w:val="24"/>
        </w:rPr>
        <w:t>、LC3 I/II、p62、SEC61B的蛋白表达。（2）</w:t>
      </w:r>
      <w:r>
        <w:rPr>
          <w:b/>
          <w:bCs/>
          <w:sz w:val="24"/>
          <w:szCs w:val="24"/>
        </w:rPr>
        <w:t>内质网与自噬体以及内质网与溶酶体共定位监测</w:t>
      </w:r>
      <w:r>
        <w:rPr>
          <w:sz w:val="24"/>
          <w:szCs w:val="24"/>
        </w:rPr>
        <w:t>：通过激光共聚焦显微镜观察DC细胞内质网</w:t>
      </w:r>
      <w:r>
        <w:rPr>
          <w:rFonts w:hint="eastAsia"/>
          <w:sz w:val="24"/>
          <w:szCs w:val="24"/>
        </w:rPr>
        <w:t>（</w:t>
      </w:r>
      <w:r>
        <w:rPr>
          <w:sz w:val="24"/>
          <w:szCs w:val="24"/>
        </w:rPr>
        <w:t>ER-tracker</w:t>
      </w:r>
      <w:r>
        <w:rPr>
          <w:rFonts w:hint="eastAsia"/>
          <w:sz w:val="24"/>
          <w:szCs w:val="24"/>
        </w:rPr>
        <w:t>）</w:t>
      </w:r>
      <w:r>
        <w:rPr>
          <w:sz w:val="24"/>
          <w:szCs w:val="24"/>
        </w:rPr>
        <w:t>与自噬体</w:t>
      </w:r>
      <w:r>
        <w:rPr>
          <w:rFonts w:hint="eastAsia"/>
          <w:sz w:val="24"/>
          <w:szCs w:val="24"/>
        </w:rPr>
        <w:t>（</w:t>
      </w:r>
      <w:r>
        <w:rPr>
          <w:sz w:val="24"/>
          <w:szCs w:val="24"/>
        </w:rPr>
        <w:t>LC3 puncta</w:t>
      </w:r>
      <w:r>
        <w:rPr>
          <w:rFonts w:hint="eastAsia"/>
          <w:sz w:val="24"/>
          <w:szCs w:val="24"/>
        </w:rPr>
        <w:t>）</w:t>
      </w:r>
      <w:r>
        <w:rPr>
          <w:sz w:val="24"/>
          <w:szCs w:val="24"/>
        </w:rPr>
        <w:t>以及内质网与溶酶体</w:t>
      </w:r>
      <w:r>
        <w:rPr>
          <w:rFonts w:ascii="宋体" w:hAnsi="宋体" w:cs="宋体" w:hint="eastAsia"/>
          <w:sz w:val="24"/>
          <w:szCs w:val="24"/>
        </w:rPr>
        <w:t>（</w:t>
      </w:r>
      <w:r>
        <w:rPr>
          <w:sz w:val="24"/>
          <w:szCs w:val="24"/>
        </w:rPr>
        <w:t>LAMP-1, Lysosome marker</w:t>
      </w:r>
      <w:r>
        <w:rPr>
          <w:rFonts w:ascii="宋体" w:hAnsi="宋体" w:cs="宋体" w:hint="eastAsia"/>
          <w:sz w:val="24"/>
          <w:szCs w:val="24"/>
        </w:rPr>
        <w:t>）</w:t>
      </w:r>
      <w:r>
        <w:rPr>
          <w:sz w:val="24"/>
          <w:szCs w:val="24"/>
        </w:rPr>
        <w:t>的共定位情况。（3）</w:t>
      </w:r>
      <w:r>
        <w:rPr>
          <w:b/>
          <w:bCs/>
          <w:sz w:val="24"/>
          <w:szCs w:val="24"/>
        </w:rPr>
        <w:t>内质网自噬体的检测</w:t>
      </w:r>
      <w:r>
        <w:rPr>
          <w:sz w:val="24"/>
          <w:szCs w:val="24"/>
        </w:rPr>
        <w:t>：利用透射电镜观察</w:t>
      </w:r>
      <w:r>
        <w:rPr>
          <w:rFonts w:hint="eastAsia"/>
          <w:sz w:val="24"/>
          <w:szCs w:val="24"/>
        </w:rPr>
        <w:t>DC</w:t>
      </w:r>
      <w:r>
        <w:rPr>
          <w:sz w:val="24"/>
          <w:szCs w:val="24"/>
        </w:rPr>
        <w:t>内质网形态及含内质网结构自噬体数量的变化。</w:t>
      </w:r>
    </w:p>
    <w:p w14:paraId="34F76377">
      <w:pPr>
        <w:keepNext w:val="0"/>
        <w:keepLines w:val="0"/>
        <w:pageBreakBefore w:val="0"/>
        <w:kinsoku/>
        <w:overflowPunct/>
        <w:topLinePunct w:val="0"/>
        <w:autoSpaceDE/>
        <w:autoSpaceDN/>
        <w:bidi w:val="0"/>
        <w:adjustRightInd/>
        <w:snapToGrid w:val="0"/>
        <w:spacing w:line="360" w:lineRule="auto"/>
        <w:jc w:val="center"/>
        <w:textAlignment w:val="auto"/>
        <w:rPr>
          <w:rFonts w:hint="eastAsia"/>
          <w:b/>
          <w:sz w:val="24"/>
          <w:szCs w:val="24"/>
        </w:rPr>
      </w:pPr>
      <w:r>
        <w:rPr>
          <w:rFonts w:eastAsiaTheme="minorEastAsia" w:hint="eastAsia"/>
          <w:lang w:eastAsia="zh-CN"/>
        </w:rPr>
        <w:drawing>
          <wp:inline distT="0" distB="0" distL="114300" distR="114300">
            <wp:extent cx="4015740" cy="3491865"/>
            <wp:effectExtent l="0" t="0" r="3810" b="13335"/>
            <wp:docPr id="4" name="图片 4" descr="Fig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47845" name="图片 4" descr="Fig 11-1"/>
                    <pic:cNvPicPr>
                      <a:picLocks noChangeAspect="1"/>
                    </pic:cNvPicPr>
                  </pic:nvPicPr>
                  <pic:blipFill>
                    <a:blip xmlns:r="http://schemas.openxmlformats.org/officeDocument/2006/relationships" r:embed="rId8"/>
                    <a:stretch>
                      <a:fillRect/>
                    </a:stretch>
                  </pic:blipFill>
                  <pic:spPr>
                    <a:xfrm>
                      <a:off x="0" y="0"/>
                      <a:ext cx="4015740" cy="3491865"/>
                    </a:xfrm>
                    <a:prstGeom prst="rect">
                      <a:avLst/>
                    </a:prstGeom>
                  </pic:spPr>
                </pic:pic>
              </a:graphicData>
            </a:graphic>
          </wp:inline>
        </w:drawing>
      </w:r>
    </w:p>
    <w:p w14:paraId="3B28DCBD">
      <w:pPr>
        <w:keepNext w:val="0"/>
        <w:keepLines w:val="0"/>
        <w:pageBreakBefore w:val="0"/>
        <w:kinsoku/>
        <w:overflowPunct/>
        <w:topLinePunct w:val="0"/>
        <w:autoSpaceDE/>
        <w:autoSpaceDN/>
        <w:bidi w:val="0"/>
        <w:adjustRightInd/>
        <w:snapToGrid w:val="0"/>
        <w:spacing w:line="360" w:lineRule="auto"/>
        <w:jc w:val="center"/>
        <w:textAlignment w:val="auto"/>
        <w:rPr>
          <w:rFonts w:hint="eastAsia"/>
          <w:b/>
          <w:sz w:val="24"/>
          <w:szCs w:val="24"/>
        </w:rPr>
      </w:pPr>
      <w:r>
        <w:rPr>
          <w:rFonts w:hint="eastAsia"/>
          <w:b/>
          <w:sz w:val="24"/>
          <w:szCs w:val="24"/>
        </w:rPr>
        <w:t>技术路线图</w:t>
      </w:r>
      <w:r>
        <w:rPr>
          <w:rFonts w:hint="eastAsia"/>
          <w:b/>
          <w:sz w:val="24"/>
          <w:szCs w:val="24"/>
          <w:lang w:val="en-US" w:eastAsia="zh-CN"/>
        </w:rPr>
        <w:t>1</w:t>
      </w:r>
      <w:r>
        <w:rPr>
          <w:rFonts w:hint="eastAsia"/>
          <w:b/>
          <w:sz w:val="24"/>
          <w:szCs w:val="24"/>
        </w:rPr>
        <w:t>.1.1</w:t>
      </w:r>
    </w:p>
    <w:p w14:paraId="38118866">
      <w:pPr>
        <w:keepNext w:val="0"/>
        <w:keepLines w:val="0"/>
        <w:pageBreakBefore w:val="0"/>
        <w:kinsoku/>
        <w:overflowPunct/>
        <w:topLinePunct w:val="0"/>
        <w:autoSpaceDE/>
        <w:autoSpaceDN/>
        <w:bidi w:val="0"/>
        <w:adjustRightInd/>
        <w:snapToGrid w:val="0"/>
        <w:spacing w:line="360" w:lineRule="auto"/>
        <w:ind w:firstLine="480" w:firstLineChars="200"/>
        <w:jc w:val="both"/>
        <w:textAlignment w:val="auto"/>
        <w:rPr>
          <w:sz w:val="24"/>
          <w:szCs w:val="24"/>
        </w:rPr>
      </w:pPr>
      <w:r>
        <w:rPr>
          <w:rFonts w:hint="eastAsia"/>
          <w:sz w:val="24"/>
          <w:szCs w:val="24"/>
          <w:lang w:val="en-US" w:eastAsia="zh-CN"/>
        </w:rPr>
        <w:t>1</w:t>
      </w:r>
      <w:r>
        <w:rPr>
          <w:rFonts w:hint="eastAsia"/>
          <w:sz w:val="24"/>
          <w:szCs w:val="24"/>
        </w:rPr>
        <w:t>.1.</w:t>
      </w:r>
      <w:r>
        <w:rPr>
          <w:rFonts w:hint="eastAsia"/>
          <w:sz w:val="24"/>
          <w:szCs w:val="24"/>
          <w:lang w:val="en-US" w:eastAsia="zh-CN"/>
        </w:rPr>
        <w:t>2</w:t>
      </w:r>
      <w:r>
        <w:rPr>
          <w:rFonts w:hint="eastAsia"/>
          <w:sz w:val="24"/>
          <w:szCs w:val="24"/>
        </w:rPr>
        <w:t xml:space="preserve"> 为探讨</w:t>
      </w:r>
      <w:r>
        <w:rPr>
          <w:rFonts w:hint="eastAsia"/>
          <w:sz w:val="24"/>
          <w:szCs w:val="24"/>
          <w:lang w:eastAsia="zh-CN"/>
        </w:rPr>
        <w:t>TRIM13</w:t>
      </w:r>
      <w:r>
        <w:rPr>
          <w:sz w:val="24"/>
          <w:szCs w:val="24"/>
        </w:rPr>
        <w:t>介导的内质网自噬</w:t>
      </w:r>
      <w:r>
        <w:rPr>
          <w:rFonts w:hint="eastAsia"/>
          <w:sz w:val="24"/>
          <w:szCs w:val="24"/>
        </w:rPr>
        <w:t>是否参与调控失血性休克诱导</w:t>
      </w:r>
      <w:r>
        <w:rPr>
          <w:sz w:val="24"/>
          <w:szCs w:val="24"/>
        </w:rPr>
        <w:t>DC免疫功能障碍</w:t>
      </w:r>
      <w:r>
        <w:rPr>
          <w:rFonts w:hint="eastAsia"/>
          <w:sz w:val="24"/>
          <w:szCs w:val="24"/>
        </w:rPr>
        <w:t>，应用</w:t>
      </w:r>
      <w:r>
        <w:rPr>
          <w:rFonts w:hint="eastAsia"/>
          <w:bCs/>
          <w:sz w:val="24"/>
          <w:szCs w:val="24"/>
        </w:rPr>
        <w:t>CD11C</w:t>
      </w:r>
      <w:r>
        <w:rPr>
          <w:rFonts w:hint="eastAsia"/>
          <w:bCs/>
          <w:sz w:val="24"/>
          <w:szCs w:val="24"/>
          <w:vertAlign w:val="superscript"/>
          <w:lang w:val="en-US" w:eastAsia="zh-CN"/>
        </w:rPr>
        <w:t>c</w:t>
      </w:r>
      <w:r>
        <w:rPr>
          <w:rFonts w:hint="eastAsia"/>
          <w:bCs/>
          <w:sz w:val="24"/>
          <w:szCs w:val="24"/>
          <w:vertAlign w:val="superscript"/>
        </w:rPr>
        <w:t>re</w:t>
      </w:r>
      <w:r>
        <w:rPr>
          <w:rFonts w:hint="eastAsia"/>
          <w:bCs/>
          <w:sz w:val="24"/>
          <w:szCs w:val="24"/>
        </w:rPr>
        <w:t>Trim13</w:t>
      </w:r>
      <w:r>
        <w:rPr>
          <w:rFonts w:hint="eastAsia"/>
          <w:bCs/>
          <w:sz w:val="24"/>
          <w:szCs w:val="24"/>
          <w:vertAlign w:val="superscript"/>
        </w:rPr>
        <w:t>fl/fl</w:t>
      </w:r>
      <w:r>
        <w:rPr>
          <w:rFonts w:hint="eastAsia"/>
          <w:sz w:val="24"/>
          <w:szCs w:val="24"/>
        </w:rPr>
        <w:t>基因小鼠建立失血性休克模型，从体内、体外两个方面阐明</w:t>
      </w:r>
      <w:r>
        <w:rPr>
          <w:rFonts w:hint="eastAsia"/>
          <w:sz w:val="24"/>
          <w:szCs w:val="24"/>
          <w:lang w:eastAsia="zh-CN"/>
        </w:rPr>
        <w:t>TRIM13</w:t>
      </w:r>
      <w:r>
        <w:rPr>
          <w:rFonts w:hint="eastAsia"/>
          <w:sz w:val="24"/>
          <w:szCs w:val="24"/>
        </w:rPr>
        <w:t>介导的内质网自噬在失血性休克诱导D</w:t>
      </w:r>
      <w:r>
        <w:rPr>
          <w:sz w:val="24"/>
          <w:szCs w:val="24"/>
        </w:rPr>
        <w:t>C</w:t>
      </w:r>
      <w:r>
        <w:rPr>
          <w:rFonts w:hint="eastAsia"/>
          <w:sz w:val="24"/>
          <w:szCs w:val="24"/>
        </w:rPr>
        <w:t>免疫功能障碍中的重要作用</w:t>
      </w:r>
      <w:r>
        <w:rPr>
          <w:sz w:val="24"/>
          <w:szCs w:val="24"/>
        </w:rPr>
        <w:t>。</w:t>
      </w:r>
    </w:p>
    <w:p w14:paraId="3C440F69">
      <w:pPr>
        <w:pStyle w:val="ListParagraph"/>
        <w:keepNext w:val="0"/>
        <w:keepLines w:val="0"/>
        <w:pageBreakBefore w:val="0"/>
        <w:kinsoku/>
        <w:overflowPunct/>
        <w:topLinePunct w:val="0"/>
        <w:autoSpaceDE/>
        <w:autoSpaceDN/>
        <w:bidi w:val="0"/>
        <w:adjustRightInd/>
        <w:spacing w:line="360" w:lineRule="auto"/>
        <w:ind w:left="420" w:firstLine="0" w:firstLineChars="0"/>
        <w:jc w:val="both"/>
        <w:textAlignment w:val="auto"/>
        <w:rPr>
          <w:b/>
          <w:bCs/>
          <w:sz w:val="24"/>
          <w:szCs w:val="24"/>
        </w:rPr>
      </w:pPr>
      <w:r>
        <w:rPr>
          <w:b/>
          <w:bCs/>
          <w:sz w:val="24"/>
          <w:szCs w:val="24"/>
        </w:rPr>
        <w:t>体内实验</w:t>
      </w:r>
    </w:p>
    <w:p w14:paraId="490FC771">
      <w:pPr>
        <w:keepNext w:val="0"/>
        <w:keepLines w:val="0"/>
        <w:pageBreakBefore w:val="0"/>
        <w:kinsoku/>
        <w:overflowPunct/>
        <w:topLinePunct w:val="0"/>
        <w:autoSpaceDE/>
        <w:autoSpaceDN/>
        <w:bidi w:val="0"/>
        <w:adjustRightInd/>
        <w:spacing w:line="360" w:lineRule="auto"/>
        <w:ind w:firstLine="480" w:firstLineChars="200"/>
        <w:jc w:val="both"/>
        <w:textAlignment w:val="auto"/>
        <w:rPr>
          <w:rFonts w:hint="eastAsia"/>
          <w:b/>
          <w:sz w:val="24"/>
          <w:szCs w:val="24"/>
        </w:rPr>
      </w:pPr>
      <w:r>
        <w:rPr>
          <w:rFonts w:hint="eastAsia"/>
          <w:bCs/>
          <w:sz w:val="24"/>
          <w:szCs w:val="24"/>
        </w:rPr>
        <w:t>将WT（正常C57小鼠）和CD11C</w:t>
      </w:r>
      <w:r>
        <w:rPr>
          <w:rFonts w:hint="eastAsia"/>
          <w:bCs/>
          <w:sz w:val="24"/>
          <w:szCs w:val="24"/>
          <w:vertAlign w:val="superscript"/>
          <w:lang w:val="en-US" w:eastAsia="zh-CN"/>
        </w:rPr>
        <w:t>c</w:t>
      </w:r>
      <w:r>
        <w:rPr>
          <w:rFonts w:hint="eastAsia"/>
          <w:bCs/>
          <w:sz w:val="24"/>
          <w:szCs w:val="24"/>
          <w:vertAlign w:val="superscript"/>
        </w:rPr>
        <w:t>re</w:t>
      </w:r>
      <w:r>
        <w:rPr>
          <w:rFonts w:hint="eastAsia"/>
          <w:bCs/>
          <w:sz w:val="24"/>
          <w:szCs w:val="24"/>
        </w:rPr>
        <w:t>Trim13</w:t>
      </w:r>
      <w:r>
        <w:rPr>
          <w:rFonts w:hint="eastAsia"/>
          <w:bCs/>
          <w:sz w:val="24"/>
          <w:szCs w:val="24"/>
          <w:vertAlign w:val="superscript"/>
        </w:rPr>
        <w:t>fl/fl</w:t>
      </w:r>
      <w:r>
        <w:rPr>
          <w:rFonts w:hint="eastAsia"/>
          <w:bCs/>
          <w:sz w:val="24"/>
          <w:szCs w:val="24"/>
        </w:rPr>
        <w:t>小鼠随机分为假手术组（Sham）、失血性休克组（Shock）、失血性休克+肠淋巴液引流组（Shock+</w:t>
      </w:r>
      <w:r>
        <w:rPr>
          <w:sz w:val="24"/>
          <w:szCs w:val="24"/>
        </w:rPr>
        <w:t>Drainage</w:t>
      </w:r>
      <w:r>
        <w:rPr>
          <w:rFonts w:hint="eastAsia"/>
          <w:bCs/>
          <w:sz w:val="24"/>
          <w:szCs w:val="24"/>
        </w:rPr>
        <w:t>）。Shock组按我室常规方法复制失血性休克模型（通过调整放血量维持MAP于40±2mm Hg范围内，至3h）。</w:t>
      </w:r>
      <w:r>
        <w:rPr>
          <w:sz w:val="24"/>
          <w:szCs w:val="24"/>
        </w:rPr>
        <w:t>Shock+Drainage组按我室常规方法复制失血性休克模型（通过调整放血量维持MAP于40±2mm Hg范围内，至3h），复苏后，行肠淋巴液引流。Sham组动物仅进行相同的手术操作，但不放血、不输液，观察时间与</w:t>
      </w:r>
      <w:r>
        <w:rPr>
          <w:rFonts w:hint="eastAsia"/>
          <w:sz w:val="24"/>
          <w:szCs w:val="24"/>
        </w:rPr>
        <w:t>S</w:t>
      </w:r>
      <w:r>
        <w:rPr>
          <w:sz w:val="24"/>
          <w:szCs w:val="24"/>
        </w:rPr>
        <w:t>hock组相同。</w:t>
      </w:r>
      <w:r>
        <w:rPr>
          <w:rFonts w:hint="eastAsia"/>
          <w:sz w:val="24"/>
          <w:szCs w:val="24"/>
        </w:rPr>
        <w:t>观察各组小鼠的生存状况，计算生存率，检测肺、心、肝、肾器官的损伤和功能检测。获取各组小鼠脾脏，留取各组小鼠的血清，应用免疫磁珠阳性分选的方法获取不同实验组小鼠脾脏</w:t>
      </w:r>
      <w:r>
        <w:rPr>
          <w:sz w:val="24"/>
          <w:szCs w:val="24"/>
        </w:rPr>
        <w:t>DC细胞</w:t>
      </w:r>
      <w:r>
        <w:rPr>
          <w:rFonts w:hint="eastAsia"/>
          <w:sz w:val="24"/>
          <w:szCs w:val="24"/>
        </w:rPr>
        <w:t>，</w:t>
      </w:r>
      <w:r>
        <w:rPr>
          <w:rFonts w:hint="eastAsia"/>
          <w:bCs/>
          <w:sz w:val="24"/>
          <w:szCs w:val="24"/>
        </w:rPr>
        <w:t>用于评判DC免疫功能和DC内质网自噬活性检测。具体包括：（1）</w:t>
      </w:r>
      <w:r>
        <w:rPr>
          <w:rFonts w:hint="eastAsia"/>
          <w:b/>
          <w:sz w:val="24"/>
          <w:szCs w:val="24"/>
        </w:rPr>
        <w:t>DC细胞分化成熟的指标检测</w:t>
      </w:r>
      <w:r>
        <w:rPr>
          <w:rFonts w:hint="eastAsia"/>
          <w:bCs/>
          <w:sz w:val="24"/>
          <w:szCs w:val="24"/>
        </w:rPr>
        <w:t>：流式细胞仪检测不同实验组DC细胞膜共刺激分子CD80、CD86、CD40和抗原提呈分子MHC-II的表达。（2）</w:t>
      </w:r>
      <w:r>
        <w:rPr>
          <w:rFonts w:hint="eastAsia"/>
          <w:b/>
          <w:sz w:val="24"/>
          <w:szCs w:val="24"/>
        </w:rPr>
        <w:t>DC细胞免疫功能的指标检测</w:t>
      </w:r>
      <w:r>
        <w:rPr>
          <w:rFonts w:hint="eastAsia"/>
          <w:bCs/>
          <w:sz w:val="24"/>
          <w:szCs w:val="24"/>
        </w:rPr>
        <w:t>：ELISA技术检测各实验组血清中细胞因子IL-12、</w:t>
      </w:r>
      <w:r>
        <w:rPr>
          <w:bCs/>
          <w:sz w:val="24"/>
          <w:szCs w:val="24"/>
        </w:rPr>
        <w:t>TNF-α</w:t>
      </w:r>
      <w:r>
        <w:rPr>
          <w:rFonts w:hint="eastAsia"/>
          <w:bCs/>
          <w:sz w:val="24"/>
          <w:szCs w:val="24"/>
        </w:rPr>
        <w:t>的分泌水平。应用qPCR技术检测DC细胞中各细胞因子的mRNA表达。（3）</w:t>
      </w:r>
      <w:r>
        <w:rPr>
          <w:rFonts w:hint="eastAsia"/>
          <w:b/>
          <w:sz w:val="24"/>
          <w:szCs w:val="24"/>
        </w:rPr>
        <w:t>DC细胞对CD4</w:t>
      </w:r>
      <w:r>
        <w:rPr>
          <w:rFonts w:hint="eastAsia"/>
          <w:b/>
          <w:sz w:val="24"/>
          <w:szCs w:val="24"/>
          <w:vertAlign w:val="superscript"/>
        </w:rPr>
        <w:t>+</w:t>
      </w:r>
      <w:r>
        <w:rPr>
          <w:rFonts w:hint="eastAsia"/>
          <w:b/>
          <w:sz w:val="24"/>
          <w:szCs w:val="24"/>
        </w:rPr>
        <w:t>T淋巴细胞免疫功能的影响</w:t>
      </w:r>
      <w:r>
        <w:rPr>
          <w:rFonts w:hint="eastAsia"/>
          <w:bCs/>
          <w:sz w:val="24"/>
          <w:szCs w:val="24"/>
        </w:rPr>
        <w:t>：将不同实验组的DC细胞与正常CD4</w:t>
      </w:r>
      <w:r>
        <w:rPr>
          <w:rFonts w:hint="eastAsia"/>
          <w:bCs/>
          <w:sz w:val="24"/>
          <w:szCs w:val="24"/>
          <w:vertAlign w:val="superscript"/>
        </w:rPr>
        <w:t>+</w:t>
      </w:r>
      <w:r>
        <w:rPr>
          <w:rFonts w:hint="eastAsia"/>
          <w:bCs/>
          <w:sz w:val="24"/>
          <w:szCs w:val="24"/>
        </w:rPr>
        <w:t>T细胞按照一定的比例（1:50）进行共培养，37℃培养48h，加入10</w:t>
      </w:r>
      <w:r>
        <w:rPr>
          <w:rFonts w:ascii="Times New Roman" w:hAnsi="Times New Roman" w:cs="Times New Roman" w:hint="default"/>
          <w:bCs/>
          <w:sz w:val="24"/>
          <w:szCs w:val="24"/>
        </w:rPr>
        <w:t>μl</w:t>
      </w:r>
      <w:r>
        <w:rPr>
          <w:rFonts w:hint="eastAsia"/>
          <w:bCs/>
          <w:sz w:val="24"/>
          <w:szCs w:val="24"/>
        </w:rPr>
        <w:t xml:space="preserve"> CCK8试剂，继续培养4 h，酶标仪450nm波长检测OD值。ELISA技术检测细胞因子IL-4/IFN-</w:t>
      </w:r>
      <w:r>
        <w:rPr>
          <w:bCs/>
          <w:sz w:val="24"/>
          <w:szCs w:val="24"/>
        </w:rPr>
        <w:t>γ</w:t>
      </w:r>
      <w:r>
        <w:rPr>
          <w:rFonts w:hint="eastAsia"/>
          <w:bCs/>
          <w:sz w:val="24"/>
          <w:szCs w:val="24"/>
        </w:rPr>
        <w:t>变化，分析CD4</w:t>
      </w:r>
      <w:r>
        <w:rPr>
          <w:rFonts w:hint="eastAsia"/>
          <w:bCs/>
          <w:sz w:val="24"/>
          <w:szCs w:val="24"/>
          <w:vertAlign w:val="superscript"/>
        </w:rPr>
        <w:t>+</w:t>
      </w:r>
      <w:r>
        <w:rPr>
          <w:rFonts w:hint="eastAsia"/>
          <w:bCs/>
          <w:sz w:val="24"/>
          <w:szCs w:val="24"/>
        </w:rPr>
        <w:t>T淋巴细胞的极化作用。ELISPOT检测IL-2细胞因子水平。应用RT-PCR技术</w:t>
      </w:r>
      <w:r>
        <w:rPr>
          <w:rFonts w:hint="eastAsia"/>
          <w:bCs/>
          <w:sz w:val="24"/>
          <w:szCs w:val="24"/>
          <w:lang w:val="en-US" w:eastAsia="zh-CN"/>
        </w:rPr>
        <w:t>检测</w:t>
      </w:r>
      <w:r>
        <w:rPr>
          <w:rFonts w:hint="eastAsia"/>
          <w:bCs/>
          <w:sz w:val="24"/>
          <w:szCs w:val="24"/>
        </w:rPr>
        <w:t>细胞因子的mRNA表达。</w:t>
      </w:r>
    </w:p>
    <w:p w14:paraId="255CEEAF">
      <w:pPr>
        <w:pStyle w:val="ListParagraph"/>
        <w:keepNext w:val="0"/>
        <w:keepLines w:val="0"/>
        <w:pageBreakBefore w:val="0"/>
        <w:kinsoku/>
        <w:overflowPunct/>
        <w:topLinePunct w:val="0"/>
        <w:autoSpaceDE/>
        <w:autoSpaceDN/>
        <w:bidi w:val="0"/>
        <w:adjustRightInd/>
        <w:spacing w:line="360" w:lineRule="auto"/>
        <w:ind w:firstLine="489"/>
        <w:jc w:val="both"/>
        <w:textAlignment w:val="auto"/>
        <w:rPr>
          <w:b/>
          <w:bCs/>
          <w:sz w:val="24"/>
          <w:szCs w:val="24"/>
        </w:rPr>
      </w:pPr>
      <w:r>
        <w:rPr>
          <w:rFonts w:hint="eastAsia"/>
          <w:b/>
          <w:bCs/>
          <w:sz w:val="24"/>
          <w:szCs w:val="24"/>
        </w:rPr>
        <w:t>体外实验</w:t>
      </w:r>
    </w:p>
    <w:p w14:paraId="55F01BC1">
      <w:pPr>
        <w:keepNext w:val="0"/>
        <w:keepLines w:val="0"/>
        <w:pageBreakBefore w:val="0"/>
        <w:kinsoku/>
        <w:overflowPunct/>
        <w:topLinePunct w:val="0"/>
        <w:autoSpaceDE/>
        <w:autoSpaceDN/>
        <w:bidi w:val="0"/>
        <w:adjustRightInd/>
        <w:spacing w:line="360" w:lineRule="auto"/>
        <w:ind w:firstLine="480" w:firstLineChars="200"/>
        <w:jc w:val="both"/>
        <w:textAlignment w:val="auto"/>
        <w:rPr>
          <w:rFonts w:hint="eastAsia"/>
          <w:b/>
          <w:bCs w:val="0"/>
          <w:sz w:val="24"/>
          <w:szCs w:val="24"/>
          <w:lang w:eastAsia="zh-CN"/>
        </w:rPr>
      </w:pPr>
      <w:r>
        <w:rPr>
          <w:rFonts w:hint="eastAsia"/>
          <w:bCs/>
          <w:sz w:val="24"/>
          <w:szCs w:val="24"/>
        </w:rPr>
        <w:t>WT DC或CD11C</w:t>
      </w:r>
      <w:r>
        <w:rPr>
          <w:rFonts w:hint="eastAsia"/>
          <w:bCs/>
          <w:sz w:val="24"/>
          <w:szCs w:val="24"/>
          <w:vertAlign w:val="superscript"/>
        </w:rPr>
        <w:t>Cre</w:t>
      </w:r>
      <w:r>
        <w:rPr>
          <w:rFonts w:hint="eastAsia"/>
          <w:bCs/>
          <w:sz w:val="24"/>
          <w:szCs w:val="24"/>
        </w:rPr>
        <w:t>Trim13</w:t>
      </w:r>
      <w:r>
        <w:rPr>
          <w:rFonts w:hint="eastAsia"/>
          <w:bCs/>
          <w:sz w:val="24"/>
          <w:szCs w:val="24"/>
          <w:vertAlign w:val="superscript"/>
        </w:rPr>
        <w:t xml:space="preserve">fl/fl </w:t>
      </w:r>
      <w:r>
        <w:rPr>
          <w:rFonts w:hint="eastAsia"/>
          <w:bCs/>
          <w:sz w:val="24"/>
          <w:szCs w:val="24"/>
        </w:rPr>
        <w:t>DC细胞随机分为：对照组（Control）、4%PHSML刺激组、PHSML+8%PHSML刺激组组。培养24h后收集不同实验组的DC细胞，并留取培养上清。具体包括：（1）</w:t>
      </w:r>
      <w:r>
        <w:rPr>
          <w:rFonts w:hint="eastAsia"/>
          <w:b/>
          <w:sz w:val="24"/>
          <w:szCs w:val="24"/>
        </w:rPr>
        <w:t>DC细胞分化成熟的指标检测</w:t>
      </w:r>
      <w:r>
        <w:rPr>
          <w:rFonts w:hint="eastAsia"/>
          <w:bCs/>
          <w:sz w:val="24"/>
          <w:szCs w:val="24"/>
        </w:rPr>
        <w:t>：流式细胞仪检测不同实验组DC细胞膜共刺激分子CD80、CD86、CD40和抗原提呈分子MHC-II的表达。（2）</w:t>
      </w:r>
      <w:r>
        <w:rPr>
          <w:rFonts w:hint="eastAsia"/>
          <w:b/>
          <w:sz w:val="24"/>
          <w:szCs w:val="24"/>
        </w:rPr>
        <w:t>DC细胞免疫功能的指标检测</w:t>
      </w:r>
      <w:r>
        <w:rPr>
          <w:rFonts w:hint="eastAsia"/>
          <w:bCs/>
          <w:sz w:val="24"/>
          <w:szCs w:val="24"/>
        </w:rPr>
        <w:t>：ELISA技术检测各实验组血清中细胞因子IL-12、TNF-α的分泌水平。应用qPCR技术检测DC细胞中各细胞因子的mRNA表达。（3）</w:t>
      </w:r>
      <w:r>
        <w:rPr>
          <w:rFonts w:hint="eastAsia"/>
          <w:b/>
          <w:sz w:val="24"/>
          <w:szCs w:val="24"/>
        </w:rPr>
        <w:t>DC细胞对CD4</w:t>
      </w:r>
      <w:r>
        <w:rPr>
          <w:rFonts w:hint="eastAsia"/>
          <w:b/>
          <w:sz w:val="24"/>
          <w:szCs w:val="24"/>
          <w:vertAlign w:val="superscript"/>
        </w:rPr>
        <w:t>+</w:t>
      </w:r>
      <w:r>
        <w:rPr>
          <w:rFonts w:hint="eastAsia"/>
          <w:b/>
          <w:sz w:val="24"/>
          <w:szCs w:val="24"/>
        </w:rPr>
        <w:t>T淋巴细胞免疫功能的影响</w:t>
      </w:r>
      <w:r>
        <w:rPr>
          <w:rFonts w:hint="eastAsia"/>
          <w:bCs/>
          <w:sz w:val="24"/>
          <w:szCs w:val="24"/>
        </w:rPr>
        <w:t>：将不同实验组的DC细胞与正常CD4</w:t>
      </w:r>
      <w:r>
        <w:rPr>
          <w:rFonts w:hint="eastAsia"/>
          <w:bCs/>
          <w:sz w:val="24"/>
          <w:szCs w:val="24"/>
          <w:vertAlign w:val="superscript"/>
        </w:rPr>
        <w:t>+</w:t>
      </w:r>
      <w:r>
        <w:rPr>
          <w:rFonts w:hint="eastAsia"/>
          <w:bCs/>
          <w:sz w:val="24"/>
          <w:szCs w:val="24"/>
        </w:rPr>
        <w:t>T细胞按照一定的比例（1:50）进行共培养，37℃培养48h，加入10</w:t>
      </w:r>
      <w:r>
        <w:rPr>
          <w:rFonts w:ascii="Times New Roman" w:hAnsi="Times New Roman" w:cs="Times New Roman" w:hint="default"/>
          <w:bCs/>
          <w:sz w:val="24"/>
          <w:szCs w:val="24"/>
        </w:rPr>
        <w:t>μl</w:t>
      </w:r>
      <w:r>
        <w:rPr>
          <w:rFonts w:hint="eastAsia"/>
          <w:bCs/>
          <w:sz w:val="24"/>
          <w:szCs w:val="24"/>
        </w:rPr>
        <w:t xml:space="preserve"> CCK8试剂，继续培养4 h，酶标仪450nm波长检测OD值。ELISA技术检测细胞因子IL-4/IFN-</w:t>
      </w:r>
      <w:r>
        <w:rPr>
          <w:bCs/>
          <w:sz w:val="24"/>
          <w:szCs w:val="24"/>
        </w:rPr>
        <w:t>γ</w:t>
      </w:r>
      <w:r>
        <w:rPr>
          <w:rFonts w:hint="eastAsia"/>
          <w:bCs/>
          <w:sz w:val="24"/>
          <w:szCs w:val="24"/>
        </w:rPr>
        <w:t>变化，分析CD4</w:t>
      </w:r>
      <w:r>
        <w:rPr>
          <w:rFonts w:hint="eastAsia"/>
          <w:bCs/>
          <w:sz w:val="24"/>
          <w:szCs w:val="24"/>
          <w:vertAlign w:val="superscript"/>
        </w:rPr>
        <w:t>+</w:t>
      </w:r>
      <w:r>
        <w:rPr>
          <w:rFonts w:hint="eastAsia"/>
          <w:bCs/>
          <w:sz w:val="24"/>
          <w:szCs w:val="24"/>
        </w:rPr>
        <w:t>T淋巴细胞的极化作用。ELISPOT检测IL-2细胞因子水平。应用RT-PCR技术细胞因子的mRNA表达。</w:t>
      </w:r>
      <w:r>
        <w:rPr>
          <w:rFonts w:hint="eastAsia"/>
          <w:b/>
          <w:bCs w:val="0"/>
          <w:sz w:val="24"/>
          <w:szCs w:val="24"/>
        </w:rPr>
        <w:t>DC细胞内质网自噬检测内容和检测方法参照</w:t>
      </w:r>
      <w:r>
        <w:rPr>
          <w:rFonts w:hint="eastAsia"/>
          <w:b/>
          <w:bCs w:val="0"/>
          <w:sz w:val="24"/>
          <w:szCs w:val="24"/>
          <w:lang w:val="en-US" w:eastAsia="zh-CN"/>
        </w:rPr>
        <w:t>1</w:t>
      </w:r>
      <w:r>
        <w:rPr>
          <w:rFonts w:hint="eastAsia"/>
          <w:b/>
          <w:bCs w:val="0"/>
          <w:sz w:val="24"/>
          <w:szCs w:val="24"/>
        </w:rPr>
        <w:t>.1.1。</w:t>
      </w:r>
    </w:p>
    <w:p w14:paraId="7D97B085">
      <w:pPr>
        <w:keepNext w:val="0"/>
        <w:keepLines w:val="0"/>
        <w:pageBreakBefore w:val="0"/>
        <w:kinsoku/>
        <w:overflowPunct/>
        <w:topLinePunct w:val="0"/>
        <w:autoSpaceDE/>
        <w:autoSpaceDN/>
        <w:bidi w:val="0"/>
        <w:adjustRightInd/>
        <w:snapToGrid w:val="0"/>
        <w:spacing w:line="360" w:lineRule="auto"/>
        <w:jc w:val="center"/>
        <w:textAlignment w:val="auto"/>
        <w:rPr>
          <w:rFonts w:hint="eastAsia"/>
          <w:b/>
          <w:sz w:val="24"/>
          <w:szCs w:val="24"/>
        </w:rPr>
      </w:pPr>
      <w:r>
        <w:rPr>
          <w:rFonts w:eastAsia="宋体" w:hint="eastAsia"/>
          <w:b/>
          <w:sz w:val="24"/>
          <w:szCs w:val="24"/>
          <w:lang w:eastAsia="zh-CN"/>
        </w:rPr>
        <w:drawing>
          <wp:inline distT="0" distB="0" distL="114300" distR="114300">
            <wp:extent cx="5169535" cy="3382645"/>
            <wp:effectExtent l="0" t="0" r="2540" b="8255"/>
            <wp:docPr id="6" name="图片 6" descr="Fig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84817" name="图片 6" descr="Fig 11-2"/>
                    <pic:cNvPicPr>
                      <a:picLocks noChangeAspect="1"/>
                    </pic:cNvPicPr>
                  </pic:nvPicPr>
                  <pic:blipFill>
                    <a:blip xmlns:r="http://schemas.openxmlformats.org/officeDocument/2006/relationships" r:embed="rId9"/>
                    <a:stretch>
                      <a:fillRect/>
                    </a:stretch>
                  </pic:blipFill>
                  <pic:spPr>
                    <a:xfrm>
                      <a:off x="0" y="0"/>
                      <a:ext cx="5169535" cy="3382645"/>
                    </a:xfrm>
                    <a:prstGeom prst="rect">
                      <a:avLst/>
                    </a:prstGeom>
                  </pic:spPr>
                </pic:pic>
              </a:graphicData>
            </a:graphic>
          </wp:inline>
        </w:drawing>
      </w:r>
    </w:p>
    <w:p w14:paraId="134FA5B0">
      <w:pPr>
        <w:keepNext w:val="0"/>
        <w:keepLines w:val="0"/>
        <w:pageBreakBefore w:val="0"/>
        <w:kinsoku/>
        <w:overflowPunct/>
        <w:topLinePunct w:val="0"/>
        <w:autoSpaceDE/>
        <w:autoSpaceDN/>
        <w:bidi w:val="0"/>
        <w:adjustRightInd/>
        <w:snapToGrid w:val="0"/>
        <w:spacing w:line="360" w:lineRule="auto"/>
        <w:jc w:val="center"/>
        <w:textAlignment w:val="auto"/>
        <w:rPr>
          <w:rFonts w:hint="eastAsia"/>
          <w:b/>
          <w:sz w:val="24"/>
          <w:szCs w:val="24"/>
          <w:lang w:val="en-US" w:eastAsia="zh-CN"/>
        </w:rPr>
      </w:pPr>
      <w:r>
        <w:rPr>
          <w:rFonts w:hint="eastAsia"/>
          <w:b/>
          <w:sz w:val="24"/>
          <w:szCs w:val="24"/>
        </w:rPr>
        <w:t>技术路线图</w:t>
      </w:r>
      <w:r>
        <w:rPr>
          <w:rFonts w:hint="eastAsia"/>
          <w:b/>
          <w:sz w:val="24"/>
          <w:szCs w:val="24"/>
          <w:lang w:val="en-US" w:eastAsia="zh-CN"/>
        </w:rPr>
        <w:t>1</w:t>
      </w:r>
      <w:r>
        <w:rPr>
          <w:rFonts w:hint="eastAsia"/>
          <w:b/>
          <w:sz w:val="24"/>
          <w:szCs w:val="24"/>
        </w:rPr>
        <w:t>.1.</w:t>
      </w:r>
      <w:r>
        <w:rPr>
          <w:rFonts w:hint="eastAsia"/>
          <w:b/>
          <w:sz w:val="24"/>
          <w:szCs w:val="24"/>
          <w:lang w:val="en-US" w:eastAsia="zh-CN"/>
        </w:rPr>
        <w:t>2</w:t>
      </w:r>
    </w:p>
    <w:p w14:paraId="50773DD3">
      <w:pPr>
        <w:keepNext w:val="0"/>
        <w:keepLines w:val="0"/>
        <w:pageBreakBefore w:val="0"/>
        <w:kinsoku/>
        <w:overflowPunct/>
        <w:topLinePunct w:val="0"/>
        <w:autoSpaceDE/>
        <w:autoSpaceDN/>
        <w:bidi w:val="0"/>
        <w:adjustRightInd/>
        <w:snapToGrid w:val="0"/>
        <w:spacing w:line="360" w:lineRule="auto"/>
        <w:ind w:firstLine="480" w:firstLineChars="200"/>
        <w:textAlignment w:val="auto"/>
        <w:rPr>
          <w:bCs/>
          <w:sz w:val="24"/>
          <w:szCs w:val="24"/>
        </w:rPr>
      </w:pPr>
      <w:r>
        <w:rPr>
          <w:rFonts w:hint="eastAsia"/>
          <w:bCs/>
          <w:sz w:val="24"/>
          <w:szCs w:val="24"/>
          <w:lang w:val="en-US" w:eastAsia="zh-CN"/>
        </w:rPr>
        <w:t>1</w:t>
      </w:r>
      <w:r>
        <w:rPr>
          <w:rFonts w:hint="eastAsia"/>
          <w:bCs/>
          <w:sz w:val="24"/>
          <w:szCs w:val="24"/>
        </w:rPr>
        <w:t>.1.</w:t>
      </w:r>
      <w:r>
        <w:rPr>
          <w:rFonts w:hint="eastAsia"/>
          <w:bCs/>
          <w:sz w:val="24"/>
          <w:szCs w:val="24"/>
          <w:lang w:val="en-US" w:eastAsia="zh-CN"/>
        </w:rPr>
        <w:t>3</w:t>
      </w:r>
      <w:r>
        <w:rPr>
          <w:rFonts w:hint="eastAsia"/>
          <w:bCs/>
          <w:sz w:val="24"/>
          <w:szCs w:val="24"/>
        </w:rPr>
        <w:t xml:space="preserve"> 为探讨TIPE2调控</w:t>
      </w:r>
      <w:r>
        <w:rPr>
          <w:rFonts w:hint="eastAsia"/>
          <w:bCs/>
          <w:sz w:val="24"/>
          <w:szCs w:val="24"/>
          <w:lang w:eastAsia="zh-CN"/>
        </w:rPr>
        <w:t>TRIM13</w:t>
      </w:r>
      <w:r>
        <w:rPr>
          <w:rFonts w:hint="eastAsia"/>
          <w:bCs/>
          <w:sz w:val="24"/>
          <w:szCs w:val="24"/>
        </w:rPr>
        <w:t>介导的内质网自噬在失血性休克后树突状细胞功能变化中的重要作用，揭示TIPE2可能是调控</w:t>
      </w:r>
      <w:r>
        <w:rPr>
          <w:rFonts w:hint="eastAsia"/>
          <w:bCs/>
          <w:sz w:val="24"/>
          <w:szCs w:val="24"/>
          <w:lang w:eastAsia="zh-CN"/>
        </w:rPr>
        <w:t>TRIM13</w:t>
      </w:r>
      <w:r>
        <w:rPr>
          <w:rFonts w:hint="eastAsia"/>
          <w:bCs/>
          <w:sz w:val="24"/>
          <w:szCs w:val="24"/>
        </w:rPr>
        <w:t>介导的内质网自噬的重要分子靶点。</w:t>
      </w:r>
    </w:p>
    <w:p w14:paraId="7513E2CC">
      <w:pPr>
        <w:keepNext w:val="0"/>
        <w:keepLines w:val="0"/>
        <w:pageBreakBefore w:val="0"/>
        <w:kinsoku/>
        <w:overflowPunct/>
        <w:topLinePunct w:val="0"/>
        <w:autoSpaceDE/>
        <w:autoSpaceDN/>
        <w:bidi w:val="0"/>
        <w:adjustRightInd/>
        <w:snapToGrid w:val="0"/>
        <w:spacing w:line="360" w:lineRule="auto"/>
        <w:ind w:firstLine="480" w:firstLineChars="200"/>
        <w:jc w:val="left"/>
        <w:textAlignment w:val="auto"/>
        <w:rPr>
          <w:b/>
          <w:sz w:val="24"/>
          <w:szCs w:val="24"/>
        </w:rPr>
      </w:pPr>
      <w:r>
        <w:rPr>
          <w:rFonts w:hint="eastAsia"/>
          <w:b/>
          <w:sz w:val="24"/>
          <w:szCs w:val="24"/>
        </w:rPr>
        <w:t>体内实验</w:t>
      </w:r>
    </w:p>
    <w:p w14:paraId="308CAFC8">
      <w:pPr>
        <w:keepNext w:val="0"/>
        <w:keepLines w:val="0"/>
        <w:pageBreakBefore w:val="0"/>
        <w:kinsoku/>
        <w:overflowPunct/>
        <w:topLinePunct w:val="0"/>
        <w:autoSpaceDE/>
        <w:autoSpaceDN/>
        <w:bidi w:val="0"/>
        <w:adjustRightInd/>
        <w:snapToGrid w:val="0"/>
        <w:spacing w:line="360" w:lineRule="auto"/>
        <w:ind w:firstLine="480" w:firstLineChars="200"/>
        <w:jc w:val="both"/>
        <w:textAlignment w:val="auto"/>
        <w:rPr>
          <w:b/>
          <w:sz w:val="24"/>
          <w:szCs w:val="24"/>
        </w:rPr>
      </w:pPr>
      <w:r>
        <w:rPr>
          <w:rFonts w:hint="eastAsia"/>
          <w:bCs/>
          <w:sz w:val="24"/>
          <w:szCs w:val="24"/>
        </w:rPr>
        <w:t>将WT或TIPE2</w:t>
      </w:r>
      <w:r>
        <w:rPr>
          <w:rFonts w:hint="eastAsia"/>
          <w:bCs/>
          <w:sz w:val="24"/>
          <w:szCs w:val="24"/>
          <w:vertAlign w:val="superscript"/>
        </w:rPr>
        <w:t>+/+</w:t>
      </w:r>
      <w:r>
        <w:rPr>
          <w:rFonts w:hint="eastAsia"/>
          <w:bCs/>
          <w:sz w:val="24"/>
          <w:szCs w:val="24"/>
        </w:rPr>
        <w:t>小鼠随机分为假手术组（Sham）、失血性休克组（Shock）、失血性休克+TIPE2干扰慢病毒组；将TIPE2</w:t>
      </w:r>
      <w:r>
        <w:rPr>
          <w:rFonts w:hint="eastAsia"/>
          <w:bCs/>
          <w:sz w:val="24"/>
          <w:szCs w:val="24"/>
          <w:vertAlign w:val="superscript"/>
        </w:rPr>
        <w:t>-/-</w:t>
      </w:r>
      <w:r>
        <w:rPr>
          <w:rFonts w:hint="eastAsia"/>
          <w:bCs/>
          <w:sz w:val="24"/>
          <w:szCs w:val="24"/>
        </w:rPr>
        <w:t>小鼠随机分为假手术组（Sham）、失血性休克组（Shock）、失血性休克+TIPE2过表达慢病毒组。Shock组按我室常规方法复制失血性休克模型（通过调整放血量维持MAP于40±2mm Hg范围内，至3h）。Shock+TIPE2干扰慢病毒组小鼠首先通过尾静脉注射携带TIPE2特异干扰片段的慢病毒转染然后按我室常规方法复制失血性休克模型（通过调整放血量维持MAP于40±2mm Hg范围内，至3h）。Shock+TIPE2过表达慢病毒组小鼠通过尾静脉注射携带TIPE2特异过表达片段的慢病毒转染然后按我室常规方法复制失血性休克模型（通过调整放血量维持MAP于40±2mm Hg范围内，至3h）。Sham组动物仅进行相同的手术操作，但不放血、不输液，观察时间与Shock组相同。观察各组小鼠的生存状况，计算生存率。获取各组小鼠脾脏，留取各组小鼠的血清，应用免疫磁珠阳性分选的方法获取不同实验组小鼠脾脏DC细胞，用于评判DC免疫功能和DC内质网自噬活性检测。</w:t>
      </w:r>
      <w:r>
        <w:rPr>
          <w:rFonts w:hint="eastAsia"/>
          <w:b/>
          <w:sz w:val="24"/>
          <w:szCs w:val="24"/>
        </w:rPr>
        <w:t>评判DC免疫功能的检测内容和检测方法参照</w:t>
      </w:r>
      <w:r>
        <w:rPr>
          <w:rFonts w:hint="eastAsia"/>
          <w:b/>
          <w:sz w:val="24"/>
          <w:szCs w:val="24"/>
          <w:lang w:val="en-US" w:eastAsia="zh-CN"/>
        </w:rPr>
        <w:t>1</w:t>
      </w:r>
      <w:r>
        <w:rPr>
          <w:rFonts w:hint="eastAsia"/>
          <w:b/>
          <w:sz w:val="24"/>
          <w:szCs w:val="24"/>
        </w:rPr>
        <w:t>.1.2。DC细胞内质网自噬检测内容和检测方法参照</w:t>
      </w:r>
      <w:r>
        <w:rPr>
          <w:rFonts w:hint="eastAsia"/>
          <w:b/>
          <w:sz w:val="24"/>
          <w:szCs w:val="24"/>
          <w:lang w:val="en-US" w:eastAsia="zh-CN"/>
        </w:rPr>
        <w:t>1</w:t>
      </w:r>
      <w:r>
        <w:rPr>
          <w:rFonts w:hint="eastAsia"/>
          <w:b/>
          <w:sz w:val="24"/>
          <w:szCs w:val="24"/>
        </w:rPr>
        <w:t>.1.1。Western Blotting方法检测DC细胞TIPE2的蛋白表达。</w:t>
      </w:r>
    </w:p>
    <w:p w14:paraId="0441D491">
      <w:pPr>
        <w:keepNext w:val="0"/>
        <w:keepLines w:val="0"/>
        <w:pageBreakBefore w:val="0"/>
        <w:kinsoku/>
        <w:overflowPunct/>
        <w:topLinePunct w:val="0"/>
        <w:autoSpaceDE/>
        <w:autoSpaceDN/>
        <w:bidi w:val="0"/>
        <w:adjustRightInd/>
        <w:snapToGrid w:val="0"/>
        <w:spacing w:line="360" w:lineRule="auto"/>
        <w:ind w:firstLine="480" w:firstLineChars="200"/>
        <w:jc w:val="left"/>
        <w:textAlignment w:val="auto"/>
        <w:rPr>
          <w:bCs/>
          <w:sz w:val="24"/>
          <w:szCs w:val="24"/>
        </w:rPr>
      </w:pPr>
      <w:r>
        <w:rPr>
          <w:rFonts w:hint="eastAsia"/>
          <w:b/>
          <w:sz w:val="24"/>
          <w:szCs w:val="24"/>
        </w:rPr>
        <w:t>体外实验</w:t>
      </w:r>
    </w:p>
    <w:p w14:paraId="6299C87F">
      <w:pPr>
        <w:keepNext w:val="0"/>
        <w:keepLines w:val="0"/>
        <w:pageBreakBefore w:val="0"/>
        <w:kinsoku/>
        <w:overflowPunct/>
        <w:topLinePunct w:val="0"/>
        <w:autoSpaceDE/>
        <w:autoSpaceDN/>
        <w:bidi w:val="0"/>
        <w:adjustRightInd/>
        <w:spacing w:line="360" w:lineRule="auto"/>
        <w:ind w:firstLine="480" w:firstLineChars="200"/>
        <w:textAlignment w:val="auto"/>
        <w:rPr>
          <w:rFonts w:eastAsia="宋体" w:hint="eastAsia"/>
          <w:b/>
          <w:sz w:val="24"/>
          <w:szCs w:val="24"/>
          <w:lang w:eastAsia="zh-CN"/>
        </w:rPr>
      </w:pPr>
      <w:r>
        <w:rPr>
          <w:rFonts w:hint="eastAsia"/>
          <w:bCs/>
          <w:sz w:val="24"/>
          <w:szCs w:val="24"/>
        </w:rPr>
        <w:t>通过磁珠阳性分选获取WT或TIPE2</w:t>
      </w:r>
      <w:r>
        <w:rPr>
          <w:rFonts w:hint="eastAsia"/>
          <w:bCs/>
          <w:sz w:val="24"/>
          <w:szCs w:val="24"/>
          <w:vertAlign w:val="superscript"/>
        </w:rPr>
        <w:t>+/+</w:t>
      </w:r>
      <w:r>
        <w:rPr>
          <w:rFonts w:hint="eastAsia"/>
          <w:bCs/>
          <w:sz w:val="24"/>
          <w:szCs w:val="24"/>
        </w:rPr>
        <w:t>小鼠脾脏DC细胞随机分为：对照组（Control）、PHSML刺激组、PHSML+内质网自噬抑制剂（MG-132）组；通过磁珠阳性分选获取TIPE2</w:t>
      </w:r>
      <w:r>
        <w:rPr>
          <w:rFonts w:hint="eastAsia"/>
          <w:bCs/>
          <w:sz w:val="24"/>
          <w:szCs w:val="24"/>
          <w:vertAlign w:val="superscript"/>
        </w:rPr>
        <w:t>-/-</w:t>
      </w:r>
      <w:r>
        <w:rPr>
          <w:rFonts w:hint="eastAsia"/>
          <w:bCs/>
          <w:sz w:val="24"/>
          <w:szCs w:val="24"/>
        </w:rPr>
        <w:t>小鼠脾脏DC细胞随机分为：对照组（Control）、PHSML刺激组、PHSML+内质网自噬激活剂（Tunicamycin）组。培养24h后收集不同实验组的DC细胞，并留取培养上清。</w:t>
      </w:r>
      <w:r>
        <w:rPr>
          <w:rFonts w:hint="eastAsia"/>
          <w:b/>
          <w:sz w:val="24"/>
          <w:szCs w:val="24"/>
        </w:rPr>
        <w:t>评判DC免疫功能的检测内容和检测方法参照</w:t>
      </w:r>
      <w:r>
        <w:rPr>
          <w:rFonts w:hint="eastAsia"/>
          <w:b/>
          <w:sz w:val="24"/>
          <w:szCs w:val="24"/>
          <w:lang w:val="en-US" w:eastAsia="zh-CN"/>
        </w:rPr>
        <w:t>1</w:t>
      </w:r>
      <w:r>
        <w:rPr>
          <w:rFonts w:hint="eastAsia"/>
          <w:b/>
          <w:sz w:val="24"/>
          <w:szCs w:val="24"/>
        </w:rPr>
        <w:t>.1.2。DC细胞内质网自噬检测内容和检测方法参照</w:t>
      </w:r>
      <w:r>
        <w:rPr>
          <w:rFonts w:hint="eastAsia"/>
          <w:b/>
          <w:sz w:val="24"/>
          <w:szCs w:val="24"/>
          <w:lang w:val="en-US" w:eastAsia="zh-CN"/>
        </w:rPr>
        <w:t>1</w:t>
      </w:r>
      <w:r>
        <w:rPr>
          <w:rFonts w:hint="eastAsia"/>
          <w:b/>
          <w:sz w:val="24"/>
          <w:szCs w:val="24"/>
        </w:rPr>
        <w:t>.1.1。Western Blotting方法检测DC细胞TIPE2的蛋白表达。</w:t>
      </w:r>
    </w:p>
    <w:p w14:paraId="20D383E1">
      <w:pPr>
        <w:keepNext w:val="0"/>
        <w:keepLines w:val="0"/>
        <w:pageBreakBefore w:val="0"/>
        <w:kinsoku/>
        <w:overflowPunct/>
        <w:topLinePunct w:val="0"/>
        <w:autoSpaceDE/>
        <w:autoSpaceDN/>
        <w:bidi w:val="0"/>
        <w:adjustRightInd/>
        <w:snapToGrid w:val="0"/>
        <w:spacing w:line="360" w:lineRule="auto"/>
        <w:jc w:val="center"/>
        <w:textAlignment w:val="auto"/>
        <w:rPr>
          <w:rFonts w:eastAsia="宋体" w:hint="eastAsia"/>
          <w:b/>
          <w:sz w:val="24"/>
          <w:szCs w:val="24"/>
          <w:lang w:eastAsia="zh-CN"/>
        </w:rPr>
      </w:pPr>
      <w:r>
        <w:rPr>
          <w:rFonts w:eastAsia="宋体" w:hint="eastAsia"/>
          <w:b/>
          <w:sz w:val="24"/>
          <w:szCs w:val="24"/>
          <w:lang w:eastAsia="zh-CN"/>
        </w:rPr>
        <w:drawing>
          <wp:inline distT="0" distB="0" distL="114300" distR="114300">
            <wp:extent cx="5393690" cy="3023870"/>
            <wp:effectExtent l="0" t="0" r="6985" b="5080"/>
            <wp:docPr id="9" name="图片 9" descr="Fig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3763" name="图片 9" descr="Fig 11-4"/>
                    <pic:cNvPicPr>
                      <a:picLocks noChangeAspect="1"/>
                    </pic:cNvPicPr>
                  </pic:nvPicPr>
                  <pic:blipFill>
                    <a:blip xmlns:r="http://schemas.openxmlformats.org/officeDocument/2006/relationships" r:embed="rId10"/>
                    <a:stretch>
                      <a:fillRect/>
                    </a:stretch>
                  </pic:blipFill>
                  <pic:spPr>
                    <a:xfrm>
                      <a:off x="0" y="0"/>
                      <a:ext cx="5393690" cy="3023870"/>
                    </a:xfrm>
                    <a:prstGeom prst="rect">
                      <a:avLst/>
                    </a:prstGeom>
                  </pic:spPr>
                </pic:pic>
              </a:graphicData>
            </a:graphic>
          </wp:inline>
        </w:drawing>
      </w:r>
    </w:p>
    <w:p w14:paraId="67471973">
      <w:pPr>
        <w:keepNext w:val="0"/>
        <w:keepLines w:val="0"/>
        <w:pageBreakBefore w:val="0"/>
        <w:kinsoku/>
        <w:overflowPunct/>
        <w:topLinePunct w:val="0"/>
        <w:autoSpaceDE/>
        <w:autoSpaceDN/>
        <w:bidi w:val="0"/>
        <w:adjustRightInd/>
        <w:snapToGrid w:val="0"/>
        <w:spacing w:line="360" w:lineRule="auto"/>
        <w:jc w:val="center"/>
        <w:textAlignment w:val="auto"/>
        <w:rPr>
          <w:rFonts w:hint="eastAsia"/>
          <w:b/>
          <w:sz w:val="24"/>
          <w:szCs w:val="24"/>
          <w:lang w:val="en-US" w:eastAsia="zh-CN"/>
        </w:rPr>
      </w:pPr>
      <w:r>
        <w:rPr>
          <w:rFonts w:hint="eastAsia"/>
          <w:b/>
          <w:sz w:val="24"/>
          <w:szCs w:val="24"/>
        </w:rPr>
        <w:t>技术路线图</w:t>
      </w:r>
      <w:r>
        <w:rPr>
          <w:rFonts w:hint="eastAsia"/>
          <w:b/>
          <w:sz w:val="24"/>
          <w:szCs w:val="24"/>
          <w:lang w:val="en-US" w:eastAsia="zh-CN"/>
        </w:rPr>
        <w:t>1</w:t>
      </w:r>
      <w:r>
        <w:rPr>
          <w:rFonts w:hint="eastAsia"/>
          <w:b/>
          <w:sz w:val="24"/>
          <w:szCs w:val="24"/>
        </w:rPr>
        <w:t>.1.</w:t>
      </w:r>
      <w:r>
        <w:rPr>
          <w:rFonts w:hint="eastAsia"/>
          <w:b/>
          <w:sz w:val="24"/>
          <w:szCs w:val="24"/>
          <w:lang w:val="en-US" w:eastAsia="zh-CN"/>
        </w:rPr>
        <w:t>3</w:t>
      </w:r>
    </w:p>
    <w:p w14:paraId="21DD86BA">
      <w:pPr>
        <w:keepNext w:val="0"/>
        <w:keepLines w:val="0"/>
        <w:pageBreakBefore w:val="0"/>
        <w:kinsoku/>
        <w:overflowPunct/>
        <w:topLinePunct w:val="0"/>
        <w:autoSpaceDE/>
        <w:autoSpaceDN/>
        <w:bidi w:val="0"/>
        <w:adjustRightInd/>
        <w:snapToGrid w:val="0"/>
        <w:spacing w:line="360" w:lineRule="auto"/>
        <w:ind w:firstLine="470" w:firstLineChars="196"/>
        <w:textAlignment w:val="auto"/>
        <w:rPr>
          <w:rFonts w:asciiTheme="minorEastAsia" w:eastAsiaTheme="minorEastAsia" w:hAnsiTheme="minorEastAsia"/>
          <w:b/>
          <w:bCs/>
          <w:sz w:val="24"/>
          <w:szCs w:val="24"/>
        </w:rPr>
      </w:pPr>
      <w:r>
        <w:rPr>
          <w:rFonts w:ascii="Times New Roman" w:hAnsi="Times New Roman" w:eastAsiaTheme="minorEastAsia" w:cs="Times New Roman" w:hint="default"/>
          <w:b/>
          <w:bCs/>
          <w:sz w:val="24"/>
          <w:szCs w:val="24"/>
          <w:lang w:val="en-US" w:eastAsia="zh-CN"/>
        </w:rPr>
        <w:t>1</w:t>
      </w:r>
      <w:r>
        <w:rPr>
          <w:rFonts w:ascii="Times New Roman" w:hAnsi="Times New Roman" w:eastAsiaTheme="minorEastAsia" w:cs="Times New Roman" w:hint="default"/>
          <w:b/>
          <w:bCs/>
          <w:sz w:val="24"/>
          <w:szCs w:val="24"/>
        </w:rPr>
        <w:t>.2</w:t>
      </w:r>
      <w:r>
        <w:rPr>
          <w:rFonts w:asciiTheme="minorEastAsia" w:eastAsiaTheme="minorEastAsia" w:hAnsiTheme="minorEastAsia" w:hint="eastAsia"/>
          <w:b/>
          <w:bCs/>
          <w:sz w:val="24"/>
          <w:szCs w:val="24"/>
        </w:rPr>
        <w:t xml:space="preserve"> 主要实验技术和方法</w:t>
      </w:r>
    </w:p>
    <w:p w14:paraId="4A865C3F">
      <w:pPr>
        <w:keepNext w:val="0"/>
        <w:keepLines w:val="0"/>
        <w:pageBreakBefore w:val="0"/>
        <w:kinsoku/>
        <w:overflowPunct/>
        <w:topLinePunct w:val="0"/>
        <w:autoSpaceDE/>
        <w:autoSpaceDN/>
        <w:bidi w:val="0"/>
        <w:adjustRightInd/>
        <w:snapToGrid w:val="0"/>
        <w:spacing w:line="360" w:lineRule="auto"/>
        <w:ind w:firstLine="470" w:firstLineChars="196"/>
        <w:textAlignment w:val="auto"/>
        <w:rPr>
          <w:b/>
          <w:bCs/>
          <w:sz w:val="24"/>
          <w:szCs w:val="24"/>
        </w:rPr>
      </w:pPr>
      <w:r>
        <w:rPr>
          <w:rFonts w:hint="eastAsia"/>
          <w:b/>
          <w:bCs/>
          <w:sz w:val="24"/>
          <w:szCs w:val="24"/>
          <w:lang w:val="en-US" w:eastAsia="zh-CN"/>
        </w:rPr>
        <w:t>1</w:t>
      </w:r>
      <w:r>
        <w:rPr>
          <w:rFonts w:hint="eastAsia"/>
          <w:b/>
          <w:bCs/>
          <w:sz w:val="24"/>
          <w:szCs w:val="24"/>
        </w:rPr>
        <w:t>.2.1 小鼠失血性休克模型制备</w:t>
      </w:r>
    </w:p>
    <w:p w14:paraId="1F8DAC17">
      <w:pPr>
        <w:keepNext w:val="0"/>
        <w:keepLines w:val="0"/>
        <w:pageBreakBefore w:val="0"/>
        <w:kinsoku/>
        <w:overflowPunct/>
        <w:topLinePunct w:val="0"/>
        <w:autoSpaceDE/>
        <w:autoSpaceDN/>
        <w:bidi w:val="0"/>
        <w:adjustRightInd/>
        <w:snapToGrid w:val="0"/>
        <w:spacing w:line="360" w:lineRule="auto"/>
        <w:ind w:firstLine="470" w:firstLineChars="196"/>
        <w:textAlignment w:val="auto"/>
        <w:rPr>
          <w:bCs/>
          <w:sz w:val="24"/>
          <w:szCs w:val="24"/>
        </w:rPr>
      </w:pPr>
      <w:r>
        <w:rPr>
          <w:bCs/>
          <w:sz w:val="24"/>
          <w:szCs w:val="24"/>
        </w:rPr>
        <w:t>采用实验室完备的小鼠失血性休克模型制备方法，使用3%VOL异氟烷诱导麻醉小鼠，待其进入麻醉状态后使用1%戊巴比妥钠（0.07 mL/kg）行全身麻醉。小鼠双侧腹股沟消毒后，在立体显微镜下行双侧腹股沟造影的无菌手术操作。一侧股动脉内注射1%肝素钠溶液用于全身抗凝，之后连接PowerLab生物信号采集系统(AD Instruments, Australia)，实时监测MAP；同时，另一侧股动脉连接注射器固定于微量抽注机(American New Times Company)上用于放血和复苏。待小鼠血压稳定后匀速放血至MAP为40±2mmHg并维持90min，期间密切观察小鼠的MAP和状态。90min后，取林格氏液与放出的全血1:1混匀后于股动脉行液体复苏，30min将液体匀速输完。Sham组实施与Shock组相同的手术，不放血，观察3h后，取材进行后续实验。Shock组复制失血性休克模型，3h后取材。</w:t>
      </w:r>
    </w:p>
    <w:p w14:paraId="190FA19C">
      <w:pPr>
        <w:keepNext w:val="0"/>
        <w:keepLines w:val="0"/>
        <w:pageBreakBefore w:val="0"/>
        <w:kinsoku/>
        <w:overflowPunct/>
        <w:topLinePunct w:val="0"/>
        <w:autoSpaceDE/>
        <w:autoSpaceDN/>
        <w:bidi w:val="0"/>
        <w:adjustRightInd/>
        <w:snapToGrid w:val="0"/>
        <w:spacing w:line="360" w:lineRule="auto"/>
        <w:ind w:firstLine="470" w:firstLineChars="196"/>
        <w:textAlignment w:val="auto"/>
        <w:rPr>
          <w:b/>
          <w:bCs/>
          <w:sz w:val="24"/>
          <w:szCs w:val="24"/>
        </w:rPr>
      </w:pPr>
      <w:r>
        <w:rPr>
          <w:rFonts w:hint="eastAsia"/>
          <w:b/>
          <w:bCs/>
          <w:sz w:val="24"/>
          <w:szCs w:val="24"/>
          <w:lang w:val="en-US" w:eastAsia="zh-CN"/>
        </w:rPr>
        <w:t>1</w:t>
      </w:r>
      <w:r>
        <w:rPr>
          <w:b/>
          <w:bCs/>
          <w:sz w:val="24"/>
          <w:szCs w:val="24"/>
        </w:rPr>
        <w:t>.2.2 肠淋巴液引流</w:t>
      </w:r>
    </w:p>
    <w:p w14:paraId="07B79A71">
      <w:pPr>
        <w:keepNext w:val="0"/>
        <w:keepLines w:val="0"/>
        <w:pageBreakBefore w:val="0"/>
        <w:kinsoku/>
        <w:overflowPunct/>
        <w:topLinePunct w:val="0"/>
        <w:autoSpaceDE/>
        <w:autoSpaceDN/>
        <w:bidi w:val="0"/>
        <w:adjustRightInd/>
        <w:snapToGrid w:val="0"/>
        <w:spacing w:line="360" w:lineRule="auto"/>
        <w:ind w:firstLine="470" w:firstLineChars="196"/>
        <w:textAlignment w:val="auto"/>
        <w:rPr>
          <w:bCs/>
          <w:sz w:val="24"/>
          <w:szCs w:val="24"/>
        </w:rPr>
      </w:pPr>
      <w:r>
        <w:rPr>
          <w:bCs/>
          <w:sz w:val="24"/>
          <w:szCs w:val="24"/>
        </w:rPr>
        <w:t>制备小鼠失血性休克模型，液体复苏完成后即进行肠淋巴液引流。 Shock+</w:t>
      </w:r>
      <w:r>
        <w:rPr>
          <w:rFonts w:hint="eastAsia"/>
          <w:bCs/>
          <w:sz w:val="24"/>
          <w:szCs w:val="24"/>
        </w:rPr>
        <w:t>D</w:t>
      </w:r>
      <w:r>
        <w:rPr>
          <w:bCs/>
          <w:sz w:val="24"/>
          <w:szCs w:val="24"/>
        </w:rPr>
        <w:t>rainage组复制失血性休克模型，待液体复苏结束后，于手术显微镜下找到与肠系膜上动脉并行的肠系膜淋巴管，使用一次性采血针和注射器于肠系膜淋巴管引流肠系膜淋巴液。</w:t>
      </w:r>
    </w:p>
    <w:p w14:paraId="29ACA071">
      <w:pPr>
        <w:keepNext w:val="0"/>
        <w:keepLines w:val="0"/>
        <w:pageBreakBefore w:val="0"/>
        <w:kinsoku/>
        <w:overflowPunct/>
        <w:topLinePunct w:val="0"/>
        <w:autoSpaceDE/>
        <w:autoSpaceDN/>
        <w:bidi w:val="0"/>
        <w:adjustRightInd/>
        <w:snapToGrid w:val="0"/>
        <w:spacing w:line="360" w:lineRule="auto"/>
        <w:ind w:firstLine="470" w:firstLineChars="196"/>
        <w:textAlignment w:val="auto"/>
        <w:rPr>
          <w:b/>
          <w:bCs/>
          <w:sz w:val="24"/>
          <w:szCs w:val="24"/>
        </w:rPr>
      </w:pPr>
      <w:r>
        <w:rPr>
          <w:rFonts w:hint="eastAsia"/>
          <w:b/>
          <w:bCs/>
          <w:sz w:val="24"/>
          <w:szCs w:val="24"/>
          <w:lang w:val="en-US" w:eastAsia="zh-CN"/>
        </w:rPr>
        <w:t>1</w:t>
      </w:r>
      <w:r>
        <w:rPr>
          <w:b/>
          <w:bCs/>
          <w:sz w:val="24"/>
          <w:szCs w:val="24"/>
        </w:rPr>
        <w:t>.2.3 流式细胞术</w:t>
      </w:r>
    </w:p>
    <w:p w14:paraId="5E93DC27">
      <w:pPr>
        <w:keepNext w:val="0"/>
        <w:keepLines w:val="0"/>
        <w:pageBreakBefore w:val="0"/>
        <w:kinsoku/>
        <w:overflowPunct/>
        <w:topLinePunct w:val="0"/>
        <w:autoSpaceDE/>
        <w:autoSpaceDN/>
        <w:bidi w:val="0"/>
        <w:adjustRightInd/>
        <w:snapToGrid w:val="0"/>
        <w:spacing w:line="360" w:lineRule="auto"/>
        <w:ind w:firstLine="470" w:firstLineChars="196"/>
        <w:textAlignment w:val="auto"/>
        <w:rPr>
          <w:bCs/>
          <w:sz w:val="24"/>
          <w:szCs w:val="24"/>
        </w:rPr>
      </w:pPr>
      <w:bookmarkStart w:id="68" w:name="_Hlk127628555"/>
      <w:r>
        <w:rPr>
          <w:bCs/>
          <w:sz w:val="24"/>
          <w:szCs w:val="24"/>
        </w:rPr>
        <w:t>取1×10</w:t>
      </w:r>
      <w:r>
        <w:rPr>
          <w:bCs/>
          <w:sz w:val="24"/>
          <w:szCs w:val="24"/>
          <w:vertAlign w:val="superscript"/>
        </w:rPr>
        <w:t>5</w:t>
      </w:r>
      <w:r>
        <w:rPr>
          <w:bCs/>
          <w:sz w:val="24"/>
          <w:szCs w:val="24"/>
        </w:rPr>
        <w:t>个DC细胞重悬于100 μL PBS中，避光依次加入2</w:t>
      </w:r>
      <w:bookmarkStart w:id="69" w:name="_Hlk128076363"/>
      <w:r>
        <w:rPr>
          <w:bCs/>
          <w:sz w:val="24"/>
          <w:szCs w:val="24"/>
        </w:rPr>
        <w:t>μL</w:t>
      </w:r>
      <w:bookmarkEnd w:id="69"/>
      <w:r>
        <w:rPr>
          <w:bCs/>
          <w:sz w:val="24"/>
          <w:szCs w:val="24"/>
        </w:rPr>
        <w:t>PerCP/Cyanine5.5标记的抗小鼠CD80、APC标记的抗小鼠CD86、PE标记的抗小鼠CD40和FITC标记的抗小鼠MHC-II类分子抗体，同时设置空白对照组。冰箱</w:t>
      </w:r>
      <w:bookmarkStart w:id="70" w:name="_Hlk128063536"/>
      <w:r>
        <w:rPr>
          <w:bCs/>
          <w:sz w:val="24"/>
          <w:szCs w:val="24"/>
        </w:rPr>
        <w:t>4℃</w:t>
      </w:r>
      <w:bookmarkEnd w:id="70"/>
      <w:r>
        <w:rPr>
          <w:bCs/>
          <w:sz w:val="24"/>
          <w:szCs w:val="24"/>
        </w:rPr>
        <w:t>孵育</w:t>
      </w:r>
      <w:bookmarkStart w:id="71" w:name="_Hlk121084581"/>
      <w:r>
        <w:rPr>
          <w:bCs/>
          <w:sz w:val="24"/>
          <w:szCs w:val="24"/>
        </w:rPr>
        <w:t>30 min</w:t>
      </w:r>
      <w:bookmarkEnd w:id="71"/>
      <w:r>
        <w:rPr>
          <w:bCs/>
          <w:sz w:val="24"/>
          <w:szCs w:val="24"/>
        </w:rPr>
        <w:t>。孵育完成后，将细胞悬液离心500</w:t>
      </w:r>
      <w:bookmarkStart w:id="72" w:name="_Hlk128063581"/>
      <w:r>
        <w:rPr>
          <w:bCs/>
          <w:sz w:val="24"/>
          <w:szCs w:val="24"/>
        </w:rPr>
        <w:t xml:space="preserve"> r</w:t>
      </w:r>
      <w:bookmarkEnd w:id="72"/>
      <w:r>
        <w:rPr>
          <w:bCs/>
          <w:sz w:val="24"/>
          <w:szCs w:val="24"/>
        </w:rPr>
        <w:t>，5min。弃上清，留取细胞沉淀，加入300 μL PBS重悬，最后用100 μL4%多聚甲醛固定细胞，流式细胞仪检测</w:t>
      </w:r>
      <w:r>
        <w:rPr>
          <w:rFonts w:hint="eastAsia"/>
          <w:bCs/>
          <w:sz w:val="24"/>
          <w:szCs w:val="24"/>
        </w:rPr>
        <w:t>相应分子的表达</w:t>
      </w:r>
      <w:r>
        <w:rPr>
          <w:bCs/>
          <w:sz w:val="24"/>
          <w:szCs w:val="24"/>
        </w:rPr>
        <w:t>。</w:t>
      </w:r>
    </w:p>
    <w:p w14:paraId="69719A7C">
      <w:pPr>
        <w:keepNext w:val="0"/>
        <w:keepLines w:val="0"/>
        <w:pageBreakBefore w:val="0"/>
        <w:kinsoku/>
        <w:overflowPunct/>
        <w:topLinePunct w:val="0"/>
        <w:autoSpaceDE/>
        <w:autoSpaceDN/>
        <w:bidi w:val="0"/>
        <w:adjustRightInd/>
        <w:snapToGrid w:val="0"/>
        <w:spacing w:line="360" w:lineRule="auto"/>
        <w:ind w:firstLine="470" w:firstLineChars="196"/>
        <w:textAlignment w:val="auto"/>
        <w:rPr>
          <w:b/>
          <w:bCs/>
          <w:sz w:val="24"/>
          <w:szCs w:val="24"/>
        </w:rPr>
      </w:pPr>
      <w:r>
        <w:rPr>
          <w:rFonts w:hint="eastAsia"/>
          <w:b/>
          <w:bCs/>
          <w:sz w:val="24"/>
          <w:szCs w:val="24"/>
          <w:lang w:val="en-US" w:eastAsia="zh-CN"/>
        </w:rPr>
        <w:t>1</w:t>
      </w:r>
      <w:r>
        <w:rPr>
          <w:b/>
          <w:bCs/>
          <w:sz w:val="24"/>
          <w:szCs w:val="24"/>
        </w:rPr>
        <w:t>.2.4 RT-PCR</w:t>
      </w:r>
    </w:p>
    <w:bookmarkEnd w:id="68"/>
    <w:p w14:paraId="46406A7A">
      <w:pPr>
        <w:keepNext w:val="0"/>
        <w:keepLines w:val="0"/>
        <w:pageBreakBefore w:val="0"/>
        <w:kinsoku/>
        <w:overflowPunct/>
        <w:topLinePunct w:val="0"/>
        <w:autoSpaceDE/>
        <w:autoSpaceDN/>
        <w:bidi w:val="0"/>
        <w:adjustRightInd/>
        <w:snapToGrid w:val="0"/>
        <w:spacing w:line="360" w:lineRule="auto"/>
        <w:ind w:firstLine="470" w:firstLineChars="196"/>
        <w:textAlignment w:val="auto"/>
        <w:rPr>
          <w:bCs/>
          <w:sz w:val="24"/>
          <w:szCs w:val="24"/>
        </w:rPr>
      </w:pPr>
      <w:r>
        <w:rPr>
          <w:bCs/>
          <w:sz w:val="24"/>
          <w:szCs w:val="24"/>
        </w:rPr>
        <w:t>获</w:t>
      </w:r>
      <w:r>
        <w:rPr>
          <w:rFonts w:hint="eastAsia"/>
          <w:bCs/>
          <w:sz w:val="24"/>
          <w:szCs w:val="24"/>
        </w:rPr>
        <w:t>取</w:t>
      </w:r>
      <w:r>
        <w:rPr>
          <w:bCs/>
          <w:sz w:val="24"/>
          <w:szCs w:val="24"/>
        </w:rPr>
        <w:t>各实验组DC细胞，加入Lysis Buffer裂解</w:t>
      </w:r>
      <w:r>
        <w:rPr>
          <w:rFonts w:hint="eastAsia"/>
          <w:bCs/>
          <w:sz w:val="24"/>
          <w:szCs w:val="24"/>
        </w:rPr>
        <w:t>液</w:t>
      </w:r>
      <w:r>
        <w:rPr>
          <w:bCs/>
          <w:sz w:val="24"/>
          <w:szCs w:val="24"/>
        </w:rPr>
        <w:t>，使用RNA柱式提取法获得mRNA，检测</w:t>
      </w:r>
      <w:r>
        <w:rPr>
          <w:rFonts w:hint="eastAsia"/>
          <w:bCs/>
          <w:sz w:val="24"/>
          <w:szCs w:val="24"/>
        </w:rPr>
        <w:t>其</w:t>
      </w:r>
      <w:r>
        <w:rPr>
          <w:bCs/>
          <w:sz w:val="24"/>
          <w:szCs w:val="24"/>
        </w:rPr>
        <w:t>纯度合格后，向含量相同的各RNA样本中依次加入DNA酶和逆转录M</w:t>
      </w:r>
      <w:r>
        <w:rPr>
          <w:rFonts w:hint="eastAsia"/>
          <w:bCs/>
          <w:sz w:val="24"/>
          <w:szCs w:val="24"/>
        </w:rPr>
        <w:t>ix</w:t>
      </w:r>
      <w:r>
        <w:rPr>
          <w:bCs/>
          <w:sz w:val="24"/>
          <w:szCs w:val="24"/>
        </w:rPr>
        <w:t>，42℃反应15min，将提取的RNA逆转录为cDNA，用作实时荧光定量PCR的反应模板。荧光定量采用10 μL体系，反应条件设置为：95 ℃预变性5 min，1 循环；95 ℃变性10 s，60 ℃退火30 s，40 循环；95 ℃ 15 s，60 ℃ 1 min，95 ℃ 15 s，1 循环用于绘制熔解曲线。</w:t>
      </w:r>
    </w:p>
    <w:p w14:paraId="3041A596">
      <w:pPr>
        <w:keepNext w:val="0"/>
        <w:keepLines w:val="0"/>
        <w:pageBreakBefore w:val="0"/>
        <w:kinsoku/>
        <w:overflowPunct/>
        <w:topLinePunct w:val="0"/>
        <w:autoSpaceDE/>
        <w:autoSpaceDN/>
        <w:bidi w:val="0"/>
        <w:adjustRightInd/>
        <w:snapToGrid w:val="0"/>
        <w:spacing w:line="360" w:lineRule="auto"/>
        <w:ind w:firstLine="470" w:firstLineChars="196"/>
        <w:textAlignment w:val="auto"/>
        <w:rPr>
          <w:bCs/>
          <w:sz w:val="24"/>
          <w:szCs w:val="24"/>
        </w:rPr>
      </w:pPr>
      <w:r>
        <w:rPr>
          <w:rFonts w:hint="eastAsia"/>
          <w:b/>
          <w:bCs/>
          <w:sz w:val="24"/>
          <w:szCs w:val="24"/>
          <w:lang w:val="en-US" w:eastAsia="zh-CN"/>
        </w:rPr>
        <w:t>1</w:t>
      </w:r>
      <w:r>
        <w:rPr>
          <w:b/>
          <w:bCs/>
          <w:sz w:val="24"/>
          <w:szCs w:val="24"/>
        </w:rPr>
        <w:t>.2.5 Western blotting</w:t>
      </w:r>
    </w:p>
    <w:p w14:paraId="617A281C">
      <w:pPr>
        <w:keepNext w:val="0"/>
        <w:keepLines w:val="0"/>
        <w:pageBreakBefore w:val="0"/>
        <w:kinsoku/>
        <w:overflowPunct/>
        <w:topLinePunct w:val="0"/>
        <w:autoSpaceDE/>
        <w:autoSpaceDN/>
        <w:bidi w:val="0"/>
        <w:adjustRightInd/>
        <w:snapToGrid w:val="0"/>
        <w:spacing w:line="360" w:lineRule="auto"/>
        <w:ind w:firstLine="470" w:firstLineChars="196"/>
        <w:textAlignment w:val="auto"/>
        <w:rPr>
          <w:bCs/>
          <w:sz w:val="24"/>
          <w:szCs w:val="24"/>
        </w:rPr>
      </w:pPr>
      <w:r>
        <w:rPr>
          <w:bCs/>
          <w:sz w:val="24"/>
          <w:szCs w:val="24"/>
        </w:rPr>
        <w:t>获</w:t>
      </w:r>
      <w:r>
        <w:rPr>
          <w:rFonts w:hint="eastAsia"/>
          <w:bCs/>
          <w:sz w:val="24"/>
          <w:szCs w:val="24"/>
        </w:rPr>
        <w:t>取</w:t>
      </w:r>
      <w:r>
        <w:rPr>
          <w:bCs/>
          <w:sz w:val="24"/>
          <w:szCs w:val="24"/>
        </w:rPr>
        <w:t>各实验组DC细胞，加入细胞裂解液冰上裂解半小时，4℃离心机12000 r/min离心10min后吸取上清。BCA法测定蛋白浓度并将浓度配平后，加入准备好的上样缓冲液，于95℃金属浴煮沸5min。取含有相同质量的蛋白进行SDS-PAGE电泳，90V，电泳30min，后以120V，电泳90 min，再以恒流200 mA转移到PVDF膜上。用5%脱脂奶粉室温封闭1h。分别用</w:t>
      </w:r>
      <w:r>
        <w:rPr>
          <w:rFonts w:hint="eastAsia"/>
          <w:bCs/>
          <w:sz w:val="24"/>
          <w:szCs w:val="24"/>
        </w:rPr>
        <w:t>内参抗体</w:t>
      </w:r>
      <w:r>
        <w:rPr>
          <w:bCs/>
          <w:sz w:val="24"/>
          <w:szCs w:val="24"/>
        </w:rPr>
        <w:t>β-actin(1:1000)、然后分别与抗β-actin，TIPE2，TLR2</w:t>
      </w:r>
      <w:r>
        <w:rPr>
          <w:rFonts w:hint="eastAsia"/>
          <w:bCs/>
          <w:sz w:val="24"/>
          <w:szCs w:val="24"/>
        </w:rPr>
        <w:t>/</w:t>
      </w:r>
      <w:r>
        <w:rPr>
          <w:bCs/>
          <w:sz w:val="24"/>
          <w:szCs w:val="24"/>
        </w:rPr>
        <w:t>TLR4，</w:t>
      </w:r>
      <w:r>
        <w:rPr>
          <w:rFonts w:hint="eastAsia"/>
          <w:bCs/>
          <w:sz w:val="24"/>
          <w:szCs w:val="24"/>
        </w:rPr>
        <w:t>LC3II/I等</w:t>
      </w:r>
      <w:r>
        <w:rPr>
          <w:bCs/>
          <w:sz w:val="24"/>
          <w:szCs w:val="24"/>
        </w:rPr>
        <w:t>抗体共同孵育过夜。次日将膜与酶标二抗（1:5000）共同孵育。最后，使用ImageQuant LAS 4000成像仪成像、采样、记录，并用Quantity One软件分析灰度值，进行统计学处理。</w:t>
      </w:r>
    </w:p>
    <w:p w14:paraId="266191FD">
      <w:pPr>
        <w:keepNext w:val="0"/>
        <w:keepLines w:val="0"/>
        <w:pageBreakBefore w:val="0"/>
        <w:kinsoku/>
        <w:overflowPunct/>
        <w:topLinePunct w:val="0"/>
        <w:autoSpaceDE/>
        <w:autoSpaceDN/>
        <w:bidi w:val="0"/>
        <w:adjustRightInd/>
        <w:snapToGrid w:val="0"/>
        <w:spacing w:line="360" w:lineRule="auto"/>
        <w:ind w:firstLine="470" w:firstLineChars="196"/>
        <w:textAlignment w:val="auto"/>
        <w:rPr>
          <w:b/>
          <w:bCs/>
          <w:sz w:val="24"/>
          <w:szCs w:val="24"/>
        </w:rPr>
      </w:pPr>
      <w:r>
        <w:rPr>
          <w:rFonts w:hint="eastAsia"/>
          <w:b/>
          <w:bCs/>
          <w:sz w:val="24"/>
          <w:szCs w:val="24"/>
          <w:lang w:val="en-US" w:eastAsia="zh-CN"/>
        </w:rPr>
        <w:t>1</w:t>
      </w:r>
      <w:r>
        <w:rPr>
          <w:b/>
          <w:bCs/>
          <w:sz w:val="24"/>
          <w:szCs w:val="24"/>
        </w:rPr>
        <w:t>.2.6 激光共聚焦</w:t>
      </w:r>
      <w:r>
        <w:rPr>
          <w:rFonts w:hint="eastAsia"/>
          <w:b/>
          <w:bCs/>
          <w:sz w:val="24"/>
          <w:szCs w:val="24"/>
        </w:rPr>
        <w:t>检测</w:t>
      </w:r>
    </w:p>
    <w:p w14:paraId="082A6C42">
      <w:pPr>
        <w:keepNext w:val="0"/>
        <w:keepLines w:val="0"/>
        <w:pageBreakBefore w:val="0"/>
        <w:kinsoku/>
        <w:overflowPunct/>
        <w:topLinePunct w:val="0"/>
        <w:autoSpaceDE/>
        <w:autoSpaceDN/>
        <w:bidi w:val="0"/>
        <w:adjustRightInd/>
        <w:snapToGrid w:val="0"/>
        <w:spacing w:line="360" w:lineRule="auto"/>
        <w:ind w:firstLine="470" w:firstLineChars="196"/>
        <w:textAlignment w:val="auto"/>
        <w:rPr>
          <w:bCs/>
          <w:sz w:val="24"/>
          <w:szCs w:val="24"/>
        </w:rPr>
      </w:pPr>
      <w:r>
        <w:rPr>
          <w:rFonts w:hint="eastAsia"/>
          <w:bCs/>
          <w:sz w:val="24"/>
          <w:szCs w:val="24"/>
        </w:rPr>
        <w:t>收集各组的DC细胞，用PBS洗3次。4%的多聚甲醛固定15min，0.5% TritonX-100 室温通透15min，冷 PBS 洗3 次。10% 山羊血清封闭60min，封闭完成后加入LC3B抗体，在4°C湿盒孵育过夜。次日，PBS洗3次，加入用山羊血清配置的荧光二抗，室温避光孵育 60min，加入ER-Tracker，室温避光孵育60min。加入Hoechst孵育15min，激光共聚焦显微镜检测。</w:t>
      </w:r>
    </w:p>
    <w:p w14:paraId="5E87CF2E">
      <w:pPr>
        <w:keepNext w:val="0"/>
        <w:keepLines w:val="0"/>
        <w:pageBreakBefore w:val="0"/>
        <w:kinsoku/>
        <w:overflowPunct/>
        <w:topLinePunct w:val="0"/>
        <w:autoSpaceDE/>
        <w:autoSpaceDN/>
        <w:bidi w:val="0"/>
        <w:adjustRightInd/>
        <w:snapToGrid w:val="0"/>
        <w:spacing w:line="360" w:lineRule="auto"/>
        <w:ind w:firstLine="470" w:firstLineChars="196"/>
        <w:textAlignment w:val="auto"/>
        <w:rPr>
          <w:bCs/>
          <w:sz w:val="24"/>
          <w:szCs w:val="24"/>
        </w:rPr>
      </w:pPr>
      <w:r>
        <w:rPr>
          <w:rFonts w:hint="eastAsia"/>
          <w:b/>
          <w:bCs/>
          <w:sz w:val="24"/>
          <w:szCs w:val="24"/>
          <w:lang w:val="en-US" w:eastAsia="zh-CN"/>
        </w:rPr>
        <w:t>1</w:t>
      </w:r>
      <w:r>
        <w:rPr>
          <w:b/>
          <w:bCs/>
          <w:sz w:val="24"/>
          <w:szCs w:val="24"/>
        </w:rPr>
        <w:t>.2.</w:t>
      </w:r>
      <w:r>
        <w:rPr>
          <w:rFonts w:hint="eastAsia"/>
          <w:b/>
          <w:bCs/>
          <w:sz w:val="24"/>
          <w:szCs w:val="24"/>
        </w:rPr>
        <w:t>7透射电子显微镜检测</w:t>
      </w:r>
    </w:p>
    <w:p w14:paraId="1B240230">
      <w:pPr>
        <w:keepNext w:val="0"/>
        <w:keepLines w:val="0"/>
        <w:pageBreakBefore w:val="0"/>
        <w:kinsoku/>
        <w:overflowPunct/>
        <w:topLinePunct w:val="0"/>
        <w:autoSpaceDE/>
        <w:autoSpaceDN/>
        <w:bidi w:val="0"/>
        <w:adjustRightInd/>
        <w:snapToGrid w:val="0"/>
        <w:spacing w:line="360" w:lineRule="auto"/>
        <w:ind w:firstLine="470" w:firstLineChars="196"/>
        <w:textAlignment w:val="auto"/>
        <w:rPr>
          <w:bCs/>
          <w:sz w:val="24"/>
          <w:szCs w:val="24"/>
        </w:rPr>
      </w:pPr>
      <w:r>
        <w:rPr>
          <w:rFonts w:hint="eastAsia"/>
          <w:bCs/>
          <w:sz w:val="24"/>
          <w:szCs w:val="24"/>
        </w:rPr>
        <w:t>收集各组的DC细胞，加入电镜固定液，室温避光固定30min，样本转移至4°C保存。离心弃上清后，加入0.1M磷酸缓冲液PB（PH7.4），混匀漂洗3min后再离心，重复洗涤3次，将沉淀用镊子挑起悬浮包裹于琼脂糖内。0.1M磷酸缓冲液PB（PH7.4）配制的1%锇酸避光室温后固定2h。0.1M磷酸缓冲液PB（PH7.4）漂洗3次，每次15min。依次入30%-50%-70%-80%-95%-100%-100%酒精上行脱水每次20min，100%丙酮脱水2次，每次15min。丙酮:812包埋剂=1:1 37℃ 渗透2-4h，丙酮:812包埋剂=1:2 37℃ 渗透过夜，纯812包埋剂37℃ 渗透5-8h。将纯812包埋剂倒入包埋板，将样品插入包埋板后37℃烤箱过夜。包埋板放于60℃烤箱聚合48h，取出树脂块备用。树脂块于超薄切片机60-80nm超薄切片，150目方华膜铜网捞片。铜网于2%醋酸铀饱和酒精溶液避光染色8min，70%酒精清洗3次，超纯水清洗3次，2.6%枸橼酸铅溶液避二氧化碳染色8min，超纯水清洗3次，滤纸稍吸干。铜网切片放入铜网盒内室温干燥过夜。透射电子显微镜下观察，采集图像分析。</w:t>
      </w:r>
    </w:p>
    <w:p w14:paraId="4F74A32F">
      <w:pPr>
        <w:keepNext w:val="0"/>
        <w:keepLines w:val="0"/>
        <w:pageBreakBefore w:val="0"/>
        <w:kinsoku/>
        <w:overflowPunct/>
        <w:topLinePunct w:val="0"/>
        <w:autoSpaceDE/>
        <w:autoSpaceDN/>
        <w:bidi w:val="0"/>
        <w:adjustRightInd/>
        <w:snapToGrid w:val="0"/>
        <w:spacing w:line="360" w:lineRule="auto"/>
        <w:ind w:firstLine="470" w:firstLineChars="196"/>
        <w:textAlignment w:val="auto"/>
        <w:rPr>
          <w:b/>
          <w:bCs/>
          <w:sz w:val="24"/>
          <w:szCs w:val="24"/>
        </w:rPr>
      </w:pPr>
      <w:r>
        <w:rPr>
          <w:rFonts w:hint="eastAsia"/>
          <w:b/>
          <w:bCs/>
          <w:sz w:val="24"/>
          <w:szCs w:val="24"/>
          <w:lang w:val="en-US" w:eastAsia="zh-CN"/>
        </w:rPr>
        <w:t>1</w:t>
      </w:r>
      <w:r>
        <w:rPr>
          <w:rFonts w:hint="eastAsia"/>
          <w:b/>
          <w:bCs/>
          <w:sz w:val="24"/>
          <w:szCs w:val="24"/>
        </w:rPr>
        <w:t>.2.8 其他检测指标及其他检测方法</w:t>
      </w:r>
    </w:p>
    <w:p w14:paraId="76B55EB4">
      <w:pPr>
        <w:keepNext w:val="0"/>
        <w:keepLines w:val="0"/>
        <w:pageBreakBefore w:val="0"/>
        <w:kinsoku/>
        <w:overflowPunct/>
        <w:topLinePunct w:val="0"/>
        <w:autoSpaceDE/>
        <w:autoSpaceDN/>
        <w:bidi w:val="0"/>
        <w:adjustRightInd/>
        <w:snapToGrid w:val="0"/>
        <w:spacing w:line="360" w:lineRule="auto"/>
        <w:ind w:firstLine="470" w:firstLineChars="196"/>
        <w:textAlignment w:val="auto"/>
        <w:rPr>
          <w:rFonts w:hint="eastAsia"/>
          <w:bCs/>
          <w:sz w:val="24"/>
          <w:szCs w:val="24"/>
        </w:rPr>
      </w:pPr>
      <w:r>
        <w:rPr>
          <w:rFonts w:hint="eastAsia"/>
          <w:bCs/>
          <w:sz w:val="24"/>
          <w:szCs w:val="24"/>
        </w:rPr>
        <w:t>T淋巴细胞增殖反应及功能极化的检测可采用CCK-8试剂盒、ELISA或ELISPOT技术进行，上述实验严格按照试剂盒说明书的步骤进行操作。</w:t>
      </w:r>
    </w:p>
    <w:p w14:paraId="01FBA85F">
      <w:pPr>
        <w:keepNext w:val="0"/>
        <w:keepLines w:val="0"/>
        <w:pageBreakBefore w:val="0"/>
        <w:kinsoku/>
        <w:overflowPunct/>
        <w:topLinePunct w:val="0"/>
        <w:autoSpaceDE/>
        <w:autoSpaceDN/>
        <w:bidi w:val="0"/>
        <w:adjustRightInd/>
        <w:snapToGrid w:val="0"/>
        <w:spacing w:line="360" w:lineRule="auto"/>
        <w:ind w:firstLine="480"/>
        <w:textAlignment w:val="auto"/>
        <w:rPr>
          <w:rFonts w:asciiTheme="minorEastAsia" w:eastAsiaTheme="minorEastAsia" w:hAnsiTheme="minorEastAsia"/>
          <w:b/>
          <w:bCs/>
          <w:sz w:val="24"/>
          <w:szCs w:val="24"/>
        </w:rPr>
      </w:pPr>
      <w:r>
        <w:rPr>
          <w:rFonts w:asciiTheme="minorEastAsia" w:eastAsiaTheme="minorEastAsia" w:hAnsiTheme="minorEastAsia" w:hint="eastAsia"/>
          <w:b/>
          <w:bCs/>
          <w:sz w:val="24"/>
          <w:szCs w:val="24"/>
          <w:lang w:val="en-US" w:eastAsia="zh-CN"/>
        </w:rPr>
        <w:t>1</w:t>
      </w:r>
      <w:r>
        <w:rPr>
          <w:rFonts w:asciiTheme="minorEastAsia" w:eastAsiaTheme="minorEastAsia" w:hAnsiTheme="minorEastAsia" w:hint="eastAsia"/>
          <w:b/>
          <w:bCs/>
          <w:sz w:val="24"/>
          <w:szCs w:val="24"/>
        </w:rPr>
        <w:t xml:space="preserve">.3 </w:t>
      </w:r>
      <w:r>
        <w:rPr>
          <w:rFonts w:asciiTheme="minorEastAsia" w:eastAsiaTheme="minorEastAsia" w:hAnsiTheme="minorEastAsia" w:hint="eastAsia"/>
          <w:b/>
          <w:bCs/>
          <w:sz w:val="24"/>
          <w:szCs w:val="24"/>
          <w:lang w:val="en-US" w:eastAsia="zh-CN"/>
        </w:rPr>
        <w:t>项目</w:t>
      </w:r>
      <w:r>
        <w:rPr>
          <w:rFonts w:asciiTheme="minorEastAsia" w:eastAsiaTheme="minorEastAsia" w:hAnsiTheme="minorEastAsia" w:hint="eastAsia"/>
          <w:b/>
          <w:bCs/>
          <w:sz w:val="24"/>
          <w:szCs w:val="24"/>
        </w:rPr>
        <w:t>可行性分析</w:t>
      </w:r>
    </w:p>
    <w:p w14:paraId="2E7701BB">
      <w:pPr>
        <w:keepNext w:val="0"/>
        <w:keepLines w:val="0"/>
        <w:pageBreakBefore w:val="0"/>
        <w:kinsoku/>
        <w:overflowPunct/>
        <w:topLinePunct w:val="0"/>
        <w:autoSpaceDE/>
        <w:autoSpaceDN/>
        <w:bidi w:val="0"/>
        <w:adjustRightInd/>
        <w:snapToGrid w:val="0"/>
        <w:spacing w:line="360" w:lineRule="auto"/>
        <w:ind w:firstLine="470" w:firstLineChars="196"/>
        <w:textAlignment w:val="auto"/>
        <w:rPr>
          <w:bCs/>
          <w:sz w:val="24"/>
          <w:szCs w:val="24"/>
        </w:rPr>
      </w:pPr>
      <w:r>
        <w:rPr>
          <w:rFonts w:hint="eastAsia"/>
          <w:bCs/>
          <w:sz w:val="24"/>
          <w:szCs w:val="24"/>
        </w:rPr>
        <w:t>（1）本项目理论依据充分。业已明确，失血性休克后机体免疫功能障碍是其发生发展为脓毒症休克进而导致患者发生死亡的重要原因。我室前期研究表明，休克后肠淋巴液对机体具有毒性作用，失血性休克后肠淋巴液的回流导致机体免疫功能发生障碍。研究证实，细胞自噬在DC细胞的抗原摄取、抗原提呈以及激活适应性免疫的过程中发挥重要的调控作用。</w:t>
      </w:r>
      <w:r>
        <w:rPr>
          <w:rFonts w:hint="eastAsia"/>
          <w:bCs/>
          <w:sz w:val="24"/>
          <w:szCs w:val="24"/>
          <w:lang w:eastAsia="zh-CN"/>
        </w:rPr>
        <w:t>TRIM13</w:t>
      </w:r>
      <w:r>
        <w:rPr>
          <w:rFonts w:hint="eastAsia"/>
          <w:bCs/>
          <w:sz w:val="24"/>
          <w:szCs w:val="24"/>
        </w:rPr>
        <w:t>最早被发现参与肿瘤免疫抑制过程，在维持细胞稳态和调节免疫应答方面显示出复杂的作用。目前，</w:t>
      </w:r>
      <w:r>
        <w:rPr>
          <w:rFonts w:hint="eastAsia"/>
          <w:bCs/>
          <w:sz w:val="24"/>
          <w:szCs w:val="24"/>
          <w:lang w:eastAsia="zh-CN"/>
        </w:rPr>
        <w:t>TRIM13</w:t>
      </w:r>
      <w:r>
        <w:rPr>
          <w:rFonts w:hint="eastAsia"/>
          <w:bCs/>
          <w:sz w:val="24"/>
          <w:szCs w:val="24"/>
        </w:rPr>
        <w:t>作为非经典的内质网自噬受体参与内质网自噬过程中的重要作用越来越受到关注。</w:t>
      </w:r>
      <w:r>
        <w:rPr>
          <w:rFonts w:hint="eastAsia"/>
          <w:bCs/>
          <w:sz w:val="24"/>
          <w:szCs w:val="24"/>
          <w:lang w:eastAsia="zh-CN"/>
        </w:rPr>
        <w:t>TRIM13</w:t>
      </w:r>
      <w:r>
        <w:rPr>
          <w:rFonts w:hint="eastAsia"/>
          <w:bCs/>
          <w:sz w:val="24"/>
          <w:szCs w:val="24"/>
        </w:rPr>
        <w:t>的活性可能直接影响细胞对受损内质网的处理能力，并调节细胞对多种应激信号的反应。研究提示，</w:t>
      </w:r>
      <w:r>
        <w:rPr>
          <w:rFonts w:hint="eastAsia"/>
          <w:bCs/>
          <w:sz w:val="24"/>
          <w:szCs w:val="24"/>
          <w:lang w:eastAsia="zh-CN"/>
        </w:rPr>
        <w:t>TRIM13</w:t>
      </w:r>
      <w:r>
        <w:rPr>
          <w:rFonts w:hint="eastAsia"/>
          <w:bCs/>
          <w:sz w:val="24"/>
          <w:szCs w:val="24"/>
        </w:rPr>
        <w:t>介导的内质网自噬可能是失血性休克后肠淋巴液导致DC免疫功能障碍发生和发展的重要机制，而TIPE2可能是调控</w:t>
      </w:r>
      <w:r>
        <w:rPr>
          <w:rFonts w:hint="eastAsia"/>
          <w:bCs/>
          <w:sz w:val="24"/>
          <w:szCs w:val="24"/>
          <w:lang w:eastAsia="zh-CN"/>
        </w:rPr>
        <w:t>TRIM13</w:t>
      </w:r>
      <w:r>
        <w:rPr>
          <w:rFonts w:hint="eastAsia"/>
          <w:bCs/>
          <w:sz w:val="24"/>
          <w:szCs w:val="24"/>
        </w:rPr>
        <w:t>介导的内质网自噬通路改善失血性休克后DC细胞免疫功能的重要分子靶点。TIPE2作为调节多种信号通路的分子，其影响自噬相关途径的潜在作用是当前研究的焦点。研究显示，TIPE2通过抑制自噬溶酶体重组下调自噬活性对自噬发挥重要的负调控作用。因此，本课题围绕DC功能，深入探讨</w:t>
      </w:r>
      <w:r>
        <w:rPr>
          <w:rFonts w:hint="eastAsia"/>
          <w:bCs/>
          <w:sz w:val="24"/>
          <w:szCs w:val="24"/>
          <w:lang w:eastAsia="zh-CN"/>
        </w:rPr>
        <w:t>TRIM13</w:t>
      </w:r>
      <w:r>
        <w:rPr>
          <w:rFonts w:hint="eastAsia"/>
          <w:bCs/>
          <w:sz w:val="24"/>
          <w:szCs w:val="24"/>
        </w:rPr>
        <w:t>介导的内质网自噬在失血性休克后DC免疫功能障碍中的重要作用，明确TIPE2调控</w:t>
      </w:r>
      <w:r>
        <w:rPr>
          <w:rFonts w:hint="eastAsia"/>
          <w:bCs/>
          <w:sz w:val="24"/>
          <w:szCs w:val="24"/>
          <w:lang w:eastAsia="zh-CN"/>
        </w:rPr>
        <w:t>TRIM13</w:t>
      </w:r>
      <w:r>
        <w:rPr>
          <w:rFonts w:hint="eastAsia"/>
          <w:bCs/>
          <w:sz w:val="24"/>
          <w:szCs w:val="24"/>
        </w:rPr>
        <w:t>介导的内质网自噬在改善失血性休克后DC免疫功能障碍中的信号机制，对探讨失血性休克后机体免疫功能紊乱的发生机制和有效调控策略具有重要意义，将为理解复杂疾病状态下的内质网自噬调控网络提供新的见解，并可能为开发新的治疗策略提供新靶点。</w:t>
      </w:r>
    </w:p>
    <w:p w14:paraId="268A25C6">
      <w:pPr>
        <w:keepNext w:val="0"/>
        <w:keepLines w:val="0"/>
        <w:pageBreakBefore w:val="0"/>
        <w:kinsoku/>
        <w:overflowPunct/>
        <w:topLinePunct w:val="0"/>
        <w:autoSpaceDE/>
        <w:autoSpaceDN/>
        <w:bidi w:val="0"/>
        <w:adjustRightInd/>
        <w:snapToGrid w:val="0"/>
        <w:spacing w:line="360" w:lineRule="auto"/>
        <w:ind w:firstLine="470" w:firstLineChars="196"/>
        <w:textAlignment w:val="auto"/>
        <w:rPr>
          <w:bCs/>
          <w:sz w:val="24"/>
          <w:szCs w:val="24"/>
        </w:rPr>
      </w:pPr>
      <w:r>
        <w:rPr>
          <w:rFonts w:hint="eastAsia"/>
          <w:bCs/>
          <w:sz w:val="24"/>
          <w:szCs w:val="24"/>
        </w:rPr>
        <w:t>（2）主要技术方法成熟。经过多年的努力，我们已建立了DC细胞、CD4</w:t>
      </w:r>
      <w:r>
        <w:rPr>
          <w:rFonts w:hint="eastAsia"/>
          <w:bCs/>
          <w:sz w:val="24"/>
          <w:szCs w:val="24"/>
          <w:vertAlign w:val="superscript"/>
        </w:rPr>
        <w:t>+</w:t>
      </w:r>
      <w:r>
        <w:rPr>
          <w:rFonts w:hint="eastAsia"/>
          <w:bCs/>
          <w:sz w:val="24"/>
          <w:szCs w:val="24"/>
        </w:rPr>
        <w:t>T淋巴细胞的分离与培养、多种细胞因子及其受体表达检测、细胞免疫功能检测、细胞增殖检测、慢病毒转染、Western blotting、免疫共沉淀、实时荧光定量 PCR技术、 激光扫描共聚焦显微镜技术等。申请者所在实验室成员已掌握成熟的失血性休克模型制备技术和休克后肠淋巴液引流技术。项目组委托公司</w:t>
      </w:r>
      <w:r>
        <w:rPr>
          <w:rFonts w:hint="eastAsia"/>
          <w:bCs/>
          <w:sz w:val="24"/>
          <w:szCs w:val="24"/>
          <w:lang w:val="en-US" w:eastAsia="zh-CN"/>
        </w:rPr>
        <w:t>已</w:t>
      </w:r>
      <w:r>
        <w:rPr>
          <w:rFonts w:hint="eastAsia"/>
          <w:bCs/>
          <w:sz w:val="24"/>
          <w:szCs w:val="24"/>
        </w:rPr>
        <w:t>构建树突状细胞特异性Trim13基因敲除小鼠。这些工作将为本课题的顺利开展奠定坚实的工作基础和提供良好的技术支撑。</w:t>
      </w:r>
    </w:p>
    <w:p w14:paraId="2252DB05">
      <w:pPr>
        <w:keepNext w:val="0"/>
        <w:keepLines w:val="0"/>
        <w:pageBreakBefore w:val="0"/>
        <w:kinsoku/>
        <w:overflowPunct/>
        <w:topLinePunct w:val="0"/>
        <w:autoSpaceDE/>
        <w:autoSpaceDN/>
        <w:bidi w:val="0"/>
        <w:adjustRightInd/>
        <w:snapToGrid w:val="0"/>
        <w:spacing w:line="360" w:lineRule="auto"/>
        <w:ind w:firstLine="470" w:firstLineChars="196"/>
        <w:textAlignment w:val="auto"/>
        <w:rPr>
          <w:rFonts w:eastAsia="宋体" w:asciiTheme="minorEastAsia" w:hAnsiTheme="minorEastAsia" w:hint="eastAsia"/>
          <w:sz w:val="24"/>
          <w:szCs w:val="24"/>
          <w:lang w:eastAsia="zh-CN"/>
        </w:rPr>
      </w:pPr>
      <w:r>
        <w:rPr>
          <w:rFonts w:hint="eastAsia"/>
          <w:bCs/>
          <w:sz w:val="24"/>
          <w:szCs w:val="24"/>
        </w:rPr>
        <w:t>（3）</w:t>
      </w:r>
      <w:r>
        <w:rPr>
          <w:rFonts w:hint="eastAsia"/>
          <w:bCs/>
          <w:sz w:val="24"/>
          <w:szCs w:val="24"/>
          <w:lang w:val="en-US" w:eastAsia="zh-CN"/>
        </w:rPr>
        <w:t>本项目申请人所在微循环研究所已纳入河北省重点实验室建设点（</w:t>
      </w:r>
      <w:r>
        <w:rPr>
          <w:rFonts w:hint="eastAsia"/>
          <w:bCs/>
          <w:sz w:val="24"/>
          <w:szCs w:val="24"/>
        </w:rPr>
        <w:t>河北省危重病发病机制与干预重点实验室</w:t>
      </w:r>
      <w:r>
        <w:rPr>
          <w:rFonts w:hint="eastAsia"/>
          <w:bCs/>
          <w:sz w:val="24"/>
          <w:szCs w:val="24"/>
          <w:lang w:eastAsia="zh-CN"/>
        </w:rPr>
        <w:t>，</w:t>
      </w:r>
      <w:r>
        <w:rPr>
          <w:rFonts w:hint="eastAsia"/>
          <w:bCs/>
          <w:sz w:val="24"/>
          <w:szCs w:val="24"/>
          <w:lang w:val="en-US" w:eastAsia="zh-CN"/>
        </w:rPr>
        <w:t>项目平台编号SZX2020012），</w:t>
      </w:r>
      <w:r>
        <w:rPr>
          <w:rFonts w:hint="eastAsia"/>
          <w:bCs/>
          <w:sz w:val="24"/>
          <w:szCs w:val="24"/>
        </w:rPr>
        <w:t>所在学科“病理学与病理生理学科”是河北省重点学科，多年来一直从事淋巴微循环的生理与病理生理学、创伤休克的基础与临床研究，</w:t>
      </w:r>
      <w:r>
        <w:rPr>
          <w:rFonts w:hint="eastAsia"/>
          <w:bCs/>
          <w:sz w:val="24"/>
          <w:szCs w:val="24"/>
          <w:lang w:val="en-US" w:eastAsia="zh-CN"/>
        </w:rPr>
        <w:t>是目前国内少数能开展离体微淋巴管功能研究的单位，已成为河北省重点资助的特色领域之一，</w:t>
      </w:r>
      <w:r>
        <w:rPr>
          <w:rFonts w:hint="eastAsia"/>
          <w:bCs/>
          <w:sz w:val="24"/>
          <w:szCs w:val="24"/>
        </w:rPr>
        <w:t>具备完善的研究条件和技术支撑平台。</w:t>
      </w:r>
      <w:r>
        <w:rPr>
          <w:rFonts w:hint="eastAsia"/>
          <w:bCs/>
          <w:sz w:val="24"/>
          <w:szCs w:val="24"/>
          <w:lang w:val="en-US" w:eastAsia="zh-CN"/>
        </w:rPr>
        <w:t>项目负责人多年致力于TIPE2在失血性休克等重症休克后免疫功能紊乱中的作用及分子机制研究，获得国家自然科学青年基金、河北省自然科学基金的资助，完全有能力主持本课题的顺利实施及按时完成。</w:t>
      </w:r>
      <w:r>
        <w:rPr>
          <w:rFonts w:hint="eastAsia"/>
          <w:bCs/>
          <w:sz w:val="24"/>
          <w:szCs w:val="24"/>
        </w:rPr>
        <w:t>课题组的主要成员都</w:t>
      </w:r>
      <w:r>
        <w:rPr>
          <w:rFonts w:hint="eastAsia"/>
          <w:bCs/>
          <w:sz w:val="24"/>
          <w:szCs w:val="24"/>
          <w:lang w:val="en-US" w:eastAsia="zh-CN"/>
        </w:rPr>
        <w:t>在高水平院校和科研机构接</w:t>
      </w:r>
      <w:r>
        <w:rPr>
          <w:rFonts w:hint="eastAsia"/>
          <w:bCs/>
          <w:sz w:val="24"/>
          <w:szCs w:val="24"/>
        </w:rPr>
        <w:t>受过系统的细胞和分子生物学、免疫学</w:t>
      </w:r>
      <w:r>
        <w:rPr>
          <w:rFonts w:hint="eastAsia"/>
          <w:bCs/>
          <w:sz w:val="24"/>
          <w:szCs w:val="24"/>
          <w:lang w:eastAsia="zh-CN"/>
        </w:rPr>
        <w:t>、</w:t>
      </w:r>
      <w:r>
        <w:rPr>
          <w:rFonts w:hint="eastAsia"/>
          <w:bCs/>
          <w:sz w:val="24"/>
          <w:szCs w:val="24"/>
        </w:rPr>
        <w:t>病理生理学</w:t>
      </w:r>
      <w:r>
        <w:rPr>
          <w:rFonts w:hint="eastAsia"/>
          <w:bCs/>
          <w:sz w:val="24"/>
          <w:szCs w:val="24"/>
          <w:lang w:eastAsia="zh-CN"/>
        </w:rPr>
        <w:t>、</w:t>
      </w:r>
      <w:r>
        <w:rPr>
          <w:rFonts w:hint="eastAsia"/>
          <w:bCs/>
          <w:sz w:val="24"/>
          <w:szCs w:val="24"/>
          <w:lang w:val="en-US" w:eastAsia="zh-CN"/>
        </w:rPr>
        <w:t>生物信息学及急危重症医学等</w:t>
      </w:r>
      <w:r>
        <w:rPr>
          <w:rFonts w:hint="eastAsia"/>
          <w:bCs/>
          <w:sz w:val="24"/>
          <w:szCs w:val="24"/>
        </w:rPr>
        <w:t>相关</w:t>
      </w:r>
      <w:r>
        <w:rPr>
          <w:rFonts w:hint="eastAsia"/>
          <w:bCs/>
          <w:sz w:val="24"/>
          <w:szCs w:val="24"/>
          <w:lang w:val="en-US" w:eastAsia="zh-CN"/>
        </w:rPr>
        <w:t>知识</w:t>
      </w:r>
      <w:r>
        <w:rPr>
          <w:rFonts w:hint="eastAsia"/>
          <w:bCs/>
          <w:sz w:val="24"/>
          <w:szCs w:val="24"/>
        </w:rPr>
        <w:t>技术的专业培训，具有完成本实验的能力</w:t>
      </w:r>
      <w:r>
        <w:rPr>
          <w:rFonts w:hint="eastAsia"/>
          <w:bCs/>
          <w:sz w:val="24"/>
          <w:szCs w:val="24"/>
          <w:lang w:val="en-US" w:eastAsia="zh-CN"/>
        </w:rPr>
        <w:t>和水平</w:t>
      </w:r>
      <w:r>
        <w:rPr>
          <w:rFonts w:hint="eastAsia"/>
          <w:bCs/>
          <w:sz w:val="24"/>
          <w:szCs w:val="24"/>
        </w:rPr>
        <w:t>，如能获得资助，</w:t>
      </w:r>
      <w:r>
        <w:rPr>
          <w:rFonts w:ascii="CIDFont + F3" w:eastAsia="CIDFont + F3" w:hAnsi="CIDFont + F3" w:cs="CIDFont + F3"/>
          <w:b w:val="0"/>
          <w:bCs w:val="0"/>
          <w:color w:val="000000"/>
          <w:sz w:val="24"/>
          <w:szCs w:val="24"/>
        </w:rPr>
        <w:t>必能按计划完成研究任务，有望取得科研成果新突破</w:t>
      </w:r>
      <w:r>
        <w:rPr>
          <w:rFonts w:ascii="CIDFont + F3" w:hAnsi="CIDFont + F3" w:cs="CIDFont + F3" w:hint="eastAsia"/>
          <w:b w:val="0"/>
          <w:bCs w:val="0"/>
          <w:color w:val="000000"/>
          <w:sz w:val="24"/>
          <w:szCs w:val="24"/>
          <w:lang w:eastAsia="zh-CN"/>
        </w:rPr>
        <w:t>。</w:t>
      </w:r>
    </w:p>
    <w:p w14:paraId="603FE14B">
      <w:pPr>
        <w:keepNext w:val="0"/>
        <w:keepLines w:val="0"/>
        <w:pageBreakBefore w:val="0"/>
        <w:kinsoku/>
        <w:wordWrap w:val="0"/>
        <w:overflowPunct/>
        <w:topLinePunct w:val="0"/>
        <w:autoSpaceDE/>
        <w:autoSpaceDN/>
        <w:bidi w:val="0"/>
        <w:adjustRightInd/>
        <w:snapToGrid w:val="0"/>
        <w:spacing w:line="360" w:lineRule="auto"/>
        <w:ind w:firstLine="560" w:firstLineChars="200"/>
        <w:textAlignment w:val="auto"/>
        <w:rPr>
          <w:rFonts w:ascii="楷体" w:eastAsia="楷体" w:hAnsi="楷体" w:cs="楷体"/>
        </w:rPr>
      </w:pPr>
      <w:r>
        <w:rPr>
          <w:rFonts w:ascii="楷体" w:eastAsia="楷体" w:hAnsi="楷体" w:cs="楷体" w:hint="eastAsia"/>
        </w:rPr>
        <w:t>2.年度计划安排（包括拟组织的重要学术交流活动、国际合作与交流计划等）</w:t>
      </w:r>
    </w:p>
    <w:p w14:paraId="357CD868">
      <w:pPr>
        <w:keepNext w:val="0"/>
        <w:keepLines w:val="0"/>
        <w:pageBreakBefore w:val="0"/>
        <w:kinsoku/>
        <w:overflowPunct/>
        <w:topLinePunct w:val="0"/>
        <w:autoSpaceDE/>
        <w:autoSpaceDN/>
        <w:bidi w:val="0"/>
        <w:adjustRightInd/>
        <w:snapToGrid w:val="0"/>
        <w:spacing w:line="360" w:lineRule="auto"/>
        <w:ind w:firstLine="470" w:firstLineChars="196"/>
        <w:textAlignment w:val="auto"/>
        <w:rPr>
          <w:rFonts w:eastAsiaTheme="minorEastAsia" w:hint="eastAsia"/>
          <w:sz w:val="24"/>
          <w:szCs w:val="24"/>
        </w:rPr>
      </w:pPr>
      <w:r>
        <w:rPr>
          <w:rFonts w:eastAsiaTheme="minorEastAsia" w:hint="eastAsia"/>
          <w:sz w:val="24"/>
          <w:szCs w:val="24"/>
        </w:rPr>
        <w:t>全部研究计划在</w:t>
      </w:r>
      <w:r>
        <w:rPr>
          <w:rFonts w:eastAsiaTheme="minorEastAsia" w:hint="eastAsia"/>
          <w:sz w:val="24"/>
          <w:szCs w:val="24"/>
          <w:lang w:val="en-US" w:eastAsia="zh-CN"/>
        </w:rPr>
        <w:t>三</w:t>
      </w:r>
      <w:r>
        <w:rPr>
          <w:rFonts w:eastAsiaTheme="minorEastAsia" w:hint="eastAsia"/>
          <w:sz w:val="24"/>
          <w:szCs w:val="24"/>
        </w:rPr>
        <w:t>年内完成：202</w:t>
      </w:r>
      <w:r>
        <w:rPr>
          <w:rFonts w:eastAsiaTheme="minorEastAsia" w:hint="eastAsia"/>
          <w:sz w:val="24"/>
          <w:szCs w:val="24"/>
          <w:lang w:val="en-US" w:eastAsia="zh-CN"/>
        </w:rPr>
        <w:t>5</w:t>
      </w:r>
      <w:r>
        <w:rPr>
          <w:rFonts w:eastAsiaTheme="minorEastAsia" w:hint="eastAsia"/>
          <w:sz w:val="24"/>
          <w:szCs w:val="24"/>
        </w:rPr>
        <w:t>年1月</w:t>
      </w:r>
      <w:r>
        <w:rPr>
          <w:rFonts w:eastAsiaTheme="minorEastAsia" w:hint="eastAsia"/>
          <w:sz w:val="24"/>
          <w:szCs w:val="24"/>
          <w:lang w:val="en-US" w:eastAsia="zh-CN"/>
        </w:rPr>
        <w:t>-</w:t>
      </w:r>
      <w:r>
        <w:rPr>
          <w:rFonts w:eastAsiaTheme="minorEastAsia" w:hint="eastAsia"/>
          <w:sz w:val="24"/>
          <w:szCs w:val="24"/>
        </w:rPr>
        <w:t>202</w:t>
      </w:r>
      <w:r>
        <w:rPr>
          <w:rFonts w:eastAsiaTheme="minorEastAsia" w:hint="eastAsia"/>
          <w:sz w:val="24"/>
          <w:szCs w:val="24"/>
          <w:lang w:val="en-US" w:eastAsia="zh-CN"/>
        </w:rPr>
        <w:t>7</w:t>
      </w:r>
      <w:r>
        <w:rPr>
          <w:rFonts w:eastAsiaTheme="minorEastAsia" w:hint="eastAsia"/>
          <w:sz w:val="24"/>
          <w:szCs w:val="24"/>
        </w:rPr>
        <w:t>年12月</w:t>
      </w:r>
    </w:p>
    <w:p w14:paraId="607C552C">
      <w:pPr>
        <w:keepNext w:val="0"/>
        <w:keepLines w:val="0"/>
        <w:pageBreakBefore w:val="0"/>
        <w:kinsoku/>
        <w:overflowPunct/>
        <w:topLinePunct w:val="0"/>
        <w:autoSpaceDE/>
        <w:autoSpaceDN/>
        <w:bidi w:val="0"/>
        <w:adjustRightInd/>
        <w:snapToGrid w:val="0"/>
        <w:spacing w:line="360" w:lineRule="auto"/>
        <w:ind w:firstLine="480" w:firstLineChars="200"/>
        <w:textAlignment w:val="auto"/>
        <w:rPr>
          <w:rFonts w:eastAsiaTheme="minorEastAsia" w:hint="eastAsia"/>
          <w:sz w:val="24"/>
          <w:szCs w:val="24"/>
        </w:rPr>
      </w:pPr>
      <w:r>
        <w:rPr>
          <w:rFonts w:eastAsiaTheme="minorEastAsia" w:hint="eastAsia"/>
          <w:sz w:val="24"/>
          <w:szCs w:val="24"/>
        </w:rPr>
        <w:t>（1）202</w:t>
      </w:r>
      <w:r>
        <w:rPr>
          <w:rFonts w:eastAsiaTheme="minorEastAsia" w:hint="eastAsia"/>
          <w:sz w:val="24"/>
          <w:szCs w:val="24"/>
          <w:lang w:val="en-US" w:eastAsia="zh-CN"/>
        </w:rPr>
        <w:t>5</w:t>
      </w:r>
      <w:r>
        <w:rPr>
          <w:rFonts w:eastAsiaTheme="minorEastAsia" w:hint="eastAsia"/>
          <w:sz w:val="24"/>
          <w:szCs w:val="24"/>
        </w:rPr>
        <w:t>年1月</w:t>
      </w:r>
      <w:r>
        <w:rPr>
          <w:rFonts w:eastAsiaTheme="minorEastAsia" w:hint="eastAsia"/>
          <w:sz w:val="24"/>
          <w:szCs w:val="24"/>
          <w:lang w:val="en-US" w:eastAsia="zh-CN"/>
        </w:rPr>
        <w:t>-</w:t>
      </w:r>
      <w:r>
        <w:rPr>
          <w:rFonts w:eastAsiaTheme="minorEastAsia" w:hint="eastAsia"/>
          <w:sz w:val="24"/>
          <w:szCs w:val="24"/>
        </w:rPr>
        <w:t>202</w:t>
      </w:r>
      <w:r>
        <w:rPr>
          <w:rFonts w:eastAsiaTheme="minorEastAsia" w:hint="eastAsia"/>
          <w:sz w:val="24"/>
          <w:szCs w:val="24"/>
          <w:lang w:val="en-US" w:eastAsia="zh-CN"/>
        </w:rPr>
        <w:t>5</w:t>
      </w:r>
      <w:r>
        <w:rPr>
          <w:rFonts w:eastAsiaTheme="minorEastAsia" w:hint="eastAsia"/>
          <w:sz w:val="24"/>
          <w:szCs w:val="24"/>
        </w:rPr>
        <w:t>年12月：</w:t>
      </w:r>
      <w:bookmarkStart w:id="73" w:name="_Hlk128080369"/>
      <w:r>
        <w:rPr>
          <w:rFonts w:eastAsiaTheme="minorEastAsia" w:hint="eastAsia"/>
          <w:sz w:val="24"/>
          <w:szCs w:val="24"/>
        </w:rPr>
        <w:t>分离、培养WT小鼠脾脏中的DC，给予休克肠淋巴液（PHSML）刺激，体外模拟失血性休克状态，检测内质网自噬</w:t>
      </w:r>
      <w:r>
        <w:rPr>
          <w:rFonts w:eastAsiaTheme="minorEastAsia" w:hint="eastAsia"/>
          <w:sz w:val="24"/>
          <w:szCs w:val="24"/>
          <w:lang w:val="en-US" w:eastAsia="zh-CN"/>
        </w:rPr>
        <w:t>活性、DC免疫功能状态</w:t>
      </w:r>
      <w:r>
        <w:rPr>
          <w:rFonts w:eastAsiaTheme="minorEastAsia" w:hint="eastAsia"/>
          <w:sz w:val="24"/>
          <w:szCs w:val="24"/>
        </w:rPr>
        <w:t>。应用WT小鼠，复制失血性休克模型，并进行肠淋巴液引流，在动物水平上检测DC细胞内质网自噬</w:t>
      </w:r>
      <w:r>
        <w:rPr>
          <w:rFonts w:eastAsiaTheme="minorEastAsia" w:hint="eastAsia"/>
          <w:sz w:val="24"/>
          <w:szCs w:val="24"/>
          <w:lang w:val="en-US" w:eastAsia="zh-CN"/>
        </w:rPr>
        <w:t>活性和DC免疫功能状态</w:t>
      </w:r>
      <w:r>
        <w:rPr>
          <w:rFonts w:eastAsiaTheme="minorEastAsia" w:hint="eastAsia"/>
          <w:sz w:val="24"/>
          <w:szCs w:val="24"/>
        </w:rPr>
        <w:t>。从不同角度验证、体内、外</w:t>
      </w:r>
      <w:r>
        <w:rPr>
          <w:rFonts w:eastAsiaTheme="minorEastAsia" w:hint="eastAsia"/>
          <w:sz w:val="24"/>
          <w:szCs w:val="24"/>
          <w:lang w:val="en-US" w:eastAsia="zh-CN"/>
        </w:rPr>
        <w:t>实验</w:t>
      </w:r>
      <w:r>
        <w:rPr>
          <w:rFonts w:eastAsiaTheme="minorEastAsia" w:hint="eastAsia"/>
          <w:sz w:val="24"/>
          <w:szCs w:val="24"/>
        </w:rPr>
        <w:t>分析失血性休克及休克肠淋巴液对小鼠DC内质网自噬水平的影响</w:t>
      </w:r>
      <w:r>
        <w:rPr>
          <w:rFonts w:eastAsiaTheme="minorEastAsia" w:hint="eastAsia"/>
          <w:sz w:val="24"/>
          <w:szCs w:val="24"/>
          <w:lang w:val="en-US" w:eastAsia="zh-CN"/>
        </w:rPr>
        <w:t>及与DC免疫功能变化的关联</w:t>
      </w:r>
      <w:r>
        <w:rPr>
          <w:rFonts w:eastAsiaTheme="minorEastAsia" w:hint="eastAsia"/>
          <w:sz w:val="24"/>
          <w:szCs w:val="24"/>
        </w:rPr>
        <w:t>。</w:t>
      </w:r>
      <w:bookmarkEnd w:id="73"/>
      <w:r>
        <w:rPr>
          <w:rFonts w:eastAsiaTheme="minorEastAsia" w:hint="eastAsia"/>
          <w:sz w:val="24"/>
          <w:szCs w:val="24"/>
        </w:rPr>
        <w:t>课题组已成功构建树突状细胞特异性</w:t>
      </w:r>
      <w:r>
        <w:rPr>
          <w:rFonts w:eastAsiaTheme="minorEastAsia" w:hint="eastAsia"/>
          <w:sz w:val="24"/>
          <w:szCs w:val="24"/>
          <w:lang w:eastAsia="zh-CN"/>
        </w:rPr>
        <w:t>T</w:t>
      </w:r>
      <w:r>
        <w:rPr>
          <w:rFonts w:eastAsiaTheme="minorEastAsia" w:hint="eastAsia"/>
          <w:sz w:val="24"/>
          <w:szCs w:val="24"/>
          <w:lang w:val="en-US" w:eastAsia="zh-CN"/>
        </w:rPr>
        <w:t>rim</w:t>
      </w:r>
      <w:r>
        <w:rPr>
          <w:rFonts w:eastAsiaTheme="minorEastAsia" w:hint="eastAsia"/>
          <w:sz w:val="24"/>
          <w:szCs w:val="24"/>
          <w:lang w:eastAsia="zh-CN"/>
        </w:rPr>
        <w:t>13</w:t>
      </w:r>
      <w:r>
        <w:rPr>
          <w:rFonts w:eastAsiaTheme="minorEastAsia" w:hint="eastAsia"/>
          <w:sz w:val="24"/>
          <w:szCs w:val="24"/>
        </w:rPr>
        <w:t>基因敲除小鼠</w:t>
      </w:r>
      <w:r>
        <w:rPr>
          <w:rFonts w:eastAsiaTheme="minorEastAsia" w:hint="eastAsia"/>
          <w:sz w:val="24"/>
          <w:szCs w:val="24"/>
          <w:lang w:val="en-US" w:eastAsia="zh-CN"/>
        </w:rPr>
        <w:t>（CD11c</w:t>
      </w:r>
      <w:r>
        <w:rPr>
          <w:rFonts w:eastAsiaTheme="minorEastAsia" w:hint="eastAsia"/>
          <w:sz w:val="24"/>
          <w:szCs w:val="24"/>
          <w:vertAlign w:val="superscript"/>
          <w:lang w:val="en-US" w:eastAsia="zh-CN"/>
        </w:rPr>
        <w:t>cre</w:t>
      </w:r>
      <w:r>
        <w:rPr>
          <w:rFonts w:eastAsiaTheme="minorEastAsia" w:hint="eastAsia"/>
          <w:sz w:val="24"/>
          <w:szCs w:val="24"/>
        </w:rPr>
        <w:t>Trim13</w:t>
      </w:r>
      <w:r>
        <w:rPr>
          <w:rFonts w:eastAsiaTheme="minorEastAsia" w:hint="eastAsia"/>
          <w:sz w:val="24"/>
          <w:szCs w:val="24"/>
          <w:vertAlign w:val="superscript"/>
          <w:lang w:val="en-US" w:eastAsia="zh-CN"/>
        </w:rPr>
        <w:t>fl</w:t>
      </w:r>
      <w:r>
        <w:rPr>
          <w:rFonts w:eastAsiaTheme="minorEastAsia" w:hint="eastAsia"/>
          <w:sz w:val="24"/>
          <w:szCs w:val="24"/>
          <w:vertAlign w:val="superscript"/>
        </w:rPr>
        <w:t>/</w:t>
      </w:r>
      <w:r>
        <w:rPr>
          <w:rFonts w:eastAsiaTheme="minorEastAsia" w:hint="eastAsia"/>
          <w:sz w:val="24"/>
          <w:szCs w:val="24"/>
          <w:vertAlign w:val="superscript"/>
          <w:lang w:val="en-US" w:eastAsia="zh-CN"/>
        </w:rPr>
        <w:t>fl</w:t>
      </w:r>
      <w:r>
        <w:rPr>
          <w:rFonts w:eastAsiaTheme="minorEastAsia" w:hint="eastAsia"/>
          <w:sz w:val="24"/>
          <w:szCs w:val="24"/>
        </w:rPr>
        <w:t>小鼠</w:t>
      </w:r>
      <w:r>
        <w:rPr>
          <w:rFonts w:eastAsiaTheme="minorEastAsia" w:hint="eastAsia"/>
          <w:sz w:val="24"/>
          <w:szCs w:val="24"/>
          <w:lang w:val="en-US" w:eastAsia="zh-CN"/>
        </w:rPr>
        <w:t>）</w:t>
      </w:r>
      <w:r>
        <w:rPr>
          <w:rFonts w:eastAsiaTheme="minorEastAsia" w:hint="eastAsia"/>
          <w:sz w:val="24"/>
          <w:szCs w:val="24"/>
        </w:rPr>
        <w:t>。</w:t>
      </w:r>
    </w:p>
    <w:p w14:paraId="1BFF209D">
      <w:pPr>
        <w:keepNext w:val="0"/>
        <w:keepLines w:val="0"/>
        <w:pageBreakBefore w:val="0"/>
        <w:kinsoku/>
        <w:overflowPunct/>
        <w:topLinePunct w:val="0"/>
        <w:autoSpaceDE/>
        <w:autoSpaceDN/>
        <w:bidi w:val="0"/>
        <w:adjustRightInd/>
        <w:snapToGrid w:val="0"/>
        <w:spacing w:line="360" w:lineRule="auto"/>
        <w:ind w:firstLine="480" w:firstLineChars="200"/>
        <w:textAlignment w:val="auto"/>
        <w:rPr>
          <w:rFonts w:eastAsiaTheme="minorEastAsia" w:hint="eastAsia"/>
          <w:sz w:val="24"/>
          <w:szCs w:val="24"/>
        </w:rPr>
      </w:pPr>
      <w:r>
        <w:rPr>
          <w:rFonts w:eastAsiaTheme="minorEastAsia" w:hint="eastAsia"/>
          <w:sz w:val="24"/>
          <w:szCs w:val="24"/>
        </w:rPr>
        <w:t>（2）202</w:t>
      </w:r>
      <w:r>
        <w:rPr>
          <w:rFonts w:eastAsiaTheme="minorEastAsia" w:hint="eastAsia"/>
          <w:sz w:val="24"/>
          <w:szCs w:val="24"/>
          <w:lang w:val="en-US" w:eastAsia="zh-CN"/>
        </w:rPr>
        <w:t>6</w:t>
      </w:r>
      <w:r>
        <w:rPr>
          <w:rFonts w:eastAsiaTheme="minorEastAsia" w:hint="eastAsia"/>
          <w:sz w:val="24"/>
          <w:szCs w:val="24"/>
        </w:rPr>
        <w:t>年1月</w:t>
      </w:r>
      <w:r>
        <w:rPr>
          <w:rFonts w:eastAsiaTheme="minorEastAsia" w:hint="eastAsia"/>
          <w:sz w:val="24"/>
          <w:szCs w:val="24"/>
          <w:lang w:val="en-US" w:eastAsia="zh-CN"/>
        </w:rPr>
        <w:t>-</w:t>
      </w:r>
      <w:r>
        <w:rPr>
          <w:rFonts w:eastAsiaTheme="minorEastAsia" w:hint="eastAsia"/>
          <w:sz w:val="24"/>
          <w:szCs w:val="24"/>
        </w:rPr>
        <w:t>202</w:t>
      </w:r>
      <w:r>
        <w:rPr>
          <w:rFonts w:eastAsiaTheme="minorEastAsia" w:hint="eastAsia"/>
          <w:sz w:val="24"/>
          <w:szCs w:val="24"/>
          <w:lang w:val="en-US" w:eastAsia="zh-CN"/>
        </w:rPr>
        <w:t>6</w:t>
      </w:r>
      <w:r>
        <w:rPr>
          <w:rFonts w:eastAsiaTheme="minorEastAsia" w:hint="eastAsia"/>
          <w:sz w:val="24"/>
          <w:szCs w:val="24"/>
        </w:rPr>
        <w:t>年12月：应用WT和</w:t>
      </w:r>
      <w:r>
        <w:rPr>
          <w:rFonts w:eastAsiaTheme="minorEastAsia" w:hint="eastAsia"/>
          <w:sz w:val="24"/>
          <w:szCs w:val="24"/>
          <w:lang w:val="en-US" w:eastAsia="zh-CN"/>
        </w:rPr>
        <w:t>CD11c</w:t>
      </w:r>
      <w:r>
        <w:rPr>
          <w:rFonts w:eastAsiaTheme="minorEastAsia" w:hint="eastAsia"/>
          <w:sz w:val="24"/>
          <w:szCs w:val="24"/>
          <w:vertAlign w:val="superscript"/>
          <w:lang w:val="en-US" w:eastAsia="zh-CN"/>
        </w:rPr>
        <w:t>cre</w:t>
      </w:r>
      <w:r>
        <w:rPr>
          <w:rFonts w:eastAsiaTheme="minorEastAsia" w:hint="eastAsia"/>
          <w:sz w:val="24"/>
          <w:szCs w:val="24"/>
        </w:rPr>
        <w:t>Trim13</w:t>
      </w:r>
      <w:r>
        <w:rPr>
          <w:rFonts w:eastAsiaTheme="minorEastAsia" w:hint="eastAsia"/>
          <w:sz w:val="24"/>
          <w:szCs w:val="24"/>
          <w:vertAlign w:val="superscript"/>
          <w:lang w:val="en-US" w:eastAsia="zh-CN"/>
        </w:rPr>
        <w:t>fl</w:t>
      </w:r>
      <w:r>
        <w:rPr>
          <w:rFonts w:eastAsiaTheme="minorEastAsia" w:hint="eastAsia"/>
          <w:sz w:val="24"/>
          <w:szCs w:val="24"/>
          <w:vertAlign w:val="superscript"/>
        </w:rPr>
        <w:t>/</w:t>
      </w:r>
      <w:r>
        <w:rPr>
          <w:rFonts w:eastAsiaTheme="minorEastAsia" w:hint="eastAsia"/>
          <w:sz w:val="24"/>
          <w:szCs w:val="24"/>
          <w:vertAlign w:val="superscript"/>
          <w:lang w:val="en-US" w:eastAsia="zh-CN"/>
        </w:rPr>
        <w:t>fl</w:t>
      </w:r>
      <w:r>
        <w:rPr>
          <w:rFonts w:eastAsiaTheme="minorEastAsia" w:hint="eastAsia"/>
          <w:sz w:val="24"/>
          <w:szCs w:val="24"/>
        </w:rPr>
        <w:t>小鼠，分别复制失血性休克模型，在动物水平上</w:t>
      </w:r>
      <w:r>
        <w:rPr>
          <w:rFonts w:eastAsiaTheme="minorEastAsia" w:hint="eastAsia"/>
          <w:sz w:val="24"/>
          <w:szCs w:val="24"/>
          <w:lang w:val="en-US" w:eastAsia="zh-CN"/>
        </w:rPr>
        <w:t>检测</w:t>
      </w:r>
      <w:r>
        <w:rPr>
          <w:rFonts w:eastAsiaTheme="minorEastAsia" w:hint="eastAsia"/>
          <w:sz w:val="24"/>
          <w:szCs w:val="24"/>
        </w:rPr>
        <w:t>T</w:t>
      </w:r>
      <w:r>
        <w:rPr>
          <w:rFonts w:eastAsiaTheme="minorEastAsia" w:hint="eastAsia"/>
          <w:sz w:val="24"/>
          <w:szCs w:val="24"/>
          <w:lang w:val="en-US" w:eastAsia="zh-CN"/>
        </w:rPr>
        <w:t>RIM</w:t>
      </w:r>
      <w:r>
        <w:rPr>
          <w:rFonts w:eastAsiaTheme="minorEastAsia" w:hint="eastAsia"/>
          <w:sz w:val="24"/>
          <w:szCs w:val="24"/>
        </w:rPr>
        <w:t>13介导的内质网</w:t>
      </w:r>
      <w:r>
        <w:rPr>
          <w:rFonts w:eastAsiaTheme="minorEastAsia" w:hint="eastAsia"/>
          <w:sz w:val="24"/>
          <w:szCs w:val="24"/>
          <w:lang w:val="en-US" w:eastAsia="zh-CN"/>
        </w:rPr>
        <w:t>自噬水平、DC免疫功能、TIPE2表达。利用</w:t>
      </w:r>
      <w:r>
        <w:rPr>
          <w:rFonts w:eastAsiaTheme="minorEastAsia" w:hint="eastAsia"/>
          <w:sz w:val="24"/>
          <w:szCs w:val="24"/>
        </w:rPr>
        <w:t>WT或</w:t>
      </w:r>
      <w:r>
        <w:rPr>
          <w:rFonts w:eastAsiaTheme="minorEastAsia" w:hint="eastAsia"/>
          <w:sz w:val="24"/>
          <w:szCs w:val="24"/>
          <w:lang w:val="en-US" w:eastAsia="zh-CN"/>
        </w:rPr>
        <w:t>CD11c</w:t>
      </w:r>
      <w:r>
        <w:rPr>
          <w:rFonts w:eastAsiaTheme="minorEastAsia" w:hint="eastAsia"/>
          <w:sz w:val="24"/>
          <w:szCs w:val="24"/>
          <w:vertAlign w:val="superscript"/>
          <w:lang w:val="en-US" w:eastAsia="zh-CN"/>
        </w:rPr>
        <w:t>cre</w:t>
      </w:r>
      <w:r>
        <w:rPr>
          <w:rFonts w:eastAsiaTheme="minorEastAsia" w:hint="eastAsia"/>
          <w:sz w:val="24"/>
          <w:szCs w:val="24"/>
        </w:rPr>
        <w:t>Trim13</w:t>
      </w:r>
      <w:r>
        <w:rPr>
          <w:rFonts w:eastAsiaTheme="minorEastAsia" w:hint="eastAsia"/>
          <w:sz w:val="24"/>
          <w:szCs w:val="24"/>
          <w:vertAlign w:val="superscript"/>
          <w:lang w:val="en-US" w:eastAsia="zh-CN"/>
        </w:rPr>
        <w:t>fl</w:t>
      </w:r>
      <w:r>
        <w:rPr>
          <w:rFonts w:eastAsiaTheme="minorEastAsia" w:hint="eastAsia"/>
          <w:sz w:val="24"/>
          <w:szCs w:val="24"/>
          <w:vertAlign w:val="superscript"/>
        </w:rPr>
        <w:t>/</w:t>
      </w:r>
      <w:r>
        <w:rPr>
          <w:rFonts w:eastAsiaTheme="minorEastAsia" w:hint="eastAsia"/>
          <w:sz w:val="24"/>
          <w:szCs w:val="24"/>
          <w:vertAlign w:val="superscript"/>
          <w:lang w:val="en-US" w:eastAsia="zh-CN"/>
        </w:rPr>
        <w:t>fl</w:t>
      </w:r>
      <w:r>
        <w:rPr>
          <w:rFonts w:eastAsiaTheme="minorEastAsia" w:hint="eastAsia"/>
          <w:sz w:val="24"/>
          <w:szCs w:val="24"/>
        </w:rPr>
        <w:t>小鼠</w:t>
      </w:r>
      <w:r>
        <w:rPr>
          <w:rFonts w:eastAsiaTheme="minorEastAsia" w:hint="eastAsia"/>
          <w:sz w:val="24"/>
          <w:szCs w:val="24"/>
          <w:lang w:val="en-US" w:eastAsia="zh-CN"/>
        </w:rPr>
        <w:t>分选</w:t>
      </w:r>
      <w:r>
        <w:rPr>
          <w:rFonts w:eastAsiaTheme="minorEastAsia" w:hint="eastAsia"/>
          <w:sz w:val="24"/>
          <w:szCs w:val="24"/>
        </w:rPr>
        <w:t>脾脏DC，</w:t>
      </w:r>
      <w:r>
        <w:rPr>
          <w:rFonts w:eastAsiaTheme="minorEastAsia" w:hint="eastAsia"/>
          <w:sz w:val="24"/>
          <w:szCs w:val="24"/>
          <w:lang w:val="en-US" w:eastAsia="zh-CN"/>
        </w:rPr>
        <w:t>并</w:t>
      </w:r>
      <w:r>
        <w:rPr>
          <w:rFonts w:eastAsiaTheme="minorEastAsia" w:hint="eastAsia"/>
          <w:sz w:val="24"/>
          <w:szCs w:val="24"/>
        </w:rPr>
        <w:t>给予不同浓度的PHSML刺激，检测TIPE2</w:t>
      </w:r>
      <w:r>
        <w:rPr>
          <w:rFonts w:eastAsiaTheme="minorEastAsia" w:hint="eastAsia"/>
          <w:sz w:val="24"/>
          <w:szCs w:val="24"/>
          <w:lang w:eastAsia="zh-CN"/>
        </w:rPr>
        <w:t>、</w:t>
      </w:r>
      <w:r>
        <w:rPr>
          <w:rFonts w:eastAsiaTheme="minorEastAsia" w:hint="eastAsia"/>
          <w:sz w:val="24"/>
          <w:szCs w:val="24"/>
          <w:lang w:val="en-US" w:eastAsia="zh-CN"/>
        </w:rPr>
        <w:t>内质网自噬水平</w:t>
      </w:r>
      <w:r>
        <w:rPr>
          <w:rFonts w:eastAsiaTheme="minorEastAsia" w:hint="eastAsia"/>
          <w:sz w:val="24"/>
          <w:szCs w:val="24"/>
        </w:rPr>
        <w:t>及</w:t>
      </w:r>
      <w:r>
        <w:rPr>
          <w:rFonts w:eastAsiaTheme="minorEastAsia" w:hint="eastAsia"/>
          <w:sz w:val="24"/>
          <w:szCs w:val="24"/>
          <w:lang w:val="en-US" w:eastAsia="zh-CN"/>
        </w:rPr>
        <w:t>DC免疫功能</w:t>
      </w:r>
      <w:r>
        <w:rPr>
          <w:rFonts w:eastAsiaTheme="minorEastAsia" w:hint="eastAsia"/>
          <w:sz w:val="24"/>
          <w:szCs w:val="24"/>
        </w:rPr>
        <w:t>。从体内、体外两个方面阐明</w:t>
      </w:r>
      <w:r>
        <w:rPr>
          <w:rFonts w:eastAsiaTheme="minorEastAsia" w:hint="eastAsia"/>
          <w:sz w:val="24"/>
          <w:szCs w:val="24"/>
          <w:lang w:eastAsia="zh-CN"/>
        </w:rPr>
        <w:t>TRIM13</w:t>
      </w:r>
      <w:r>
        <w:rPr>
          <w:rFonts w:eastAsiaTheme="minorEastAsia" w:hint="eastAsia"/>
          <w:sz w:val="24"/>
          <w:szCs w:val="24"/>
        </w:rPr>
        <w:t>介导的内质网自噬在失血性休克诱导DC免疫功能障碍中的重要作用</w:t>
      </w:r>
      <w:r>
        <w:rPr>
          <w:rFonts w:eastAsiaTheme="minorEastAsia" w:hint="eastAsia"/>
          <w:sz w:val="24"/>
          <w:szCs w:val="24"/>
          <w:lang w:val="en-US" w:eastAsia="zh-CN"/>
        </w:rPr>
        <w:t>及与TIPE2表达的内在联系</w:t>
      </w:r>
      <w:r>
        <w:rPr>
          <w:rFonts w:eastAsiaTheme="minorEastAsia" w:hint="eastAsia"/>
          <w:sz w:val="24"/>
          <w:szCs w:val="24"/>
        </w:rPr>
        <w:t>。</w:t>
      </w:r>
    </w:p>
    <w:p w14:paraId="0B161E0D">
      <w:pPr>
        <w:keepNext w:val="0"/>
        <w:keepLines w:val="0"/>
        <w:pageBreakBefore w:val="0"/>
        <w:kinsoku/>
        <w:overflowPunct/>
        <w:topLinePunct w:val="0"/>
        <w:autoSpaceDE/>
        <w:autoSpaceDN/>
        <w:bidi w:val="0"/>
        <w:adjustRightInd/>
        <w:snapToGrid w:val="0"/>
        <w:spacing w:line="360" w:lineRule="auto"/>
        <w:ind w:firstLine="480" w:firstLineChars="200"/>
        <w:textAlignment w:val="auto"/>
        <w:rPr>
          <w:rFonts w:eastAsiaTheme="minorEastAsia"/>
          <w:sz w:val="24"/>
          <w:szCs w:val="24"/>
        </w:rPr>
      </w:pPr>
      <w:r>
        <w:rPr>
          <w:rFonts w:eastAsiaTheme="minorEastAsia" w:hint="eastAsia"/>
          <w:sz w:val="24"/>
          <w:szCs w:val="24"/>
        </w:rPr>
        <w:t>（3）202</w:t>
      </w:r>
      <w:r>
        <w:rPr>
          <w:rFonts w:eastAsiaTheme="minorEastAsia" w:hint="eastAsia"/>
          <w:sz w:val="24"/>
          <w:szCs w:val="24"/>
          <w:lang w:val="en-US" w:eastAsia="zh-CN"/>
        </w:rPr>
        <w:t>7</w:t>
      </w:r>
      <w:r>
        <w:rPr>
          <w:rFonts w:eastAsiaTheme="minorEastAsia" w:hint="eastAsia"/>
          <w:sz w:val="24"/>
          <w:szCs w:val="24"/>
        </w:rPr>
        <w:t>年1月</w:t>
      </w:r>
      <w:r>
        <w:rPr>
          <w:rFonts w:eastAsiaTheme="minorEastAsia" w:hint="eastAsia"/>
          <w:sz w:val="24"/>
          <w:szCs w:val="24"/>
          <w:lang w:val="en-US" w:eastAsia="zh-CN"/>
        </w:rPr>
        <w:t>-</w:t>
      </w:r>
      <w:r>
        <w:rPr>
          <w:rFonts w:eastAsiaTheme="minorEastAsia" w:hint="eastAsia"/>
          <w:sz w:val="24"/>
          <w:szCs w:val="24"/>
        </w:rPr>
        <w:t>202</w:t>
      </w:r>
      <w:r>
        <w:rPr>
          <w:rFonts w:eastAsiaTheme="minorEastAsia" w:hint="eastAsia"/>
          <w:sz w:val="24"/>
          <w:szCs w:val="24"/>
          <w:lang w:val="en-US" w:eastAsia="zh-CN"/>
        </w:rPr>
        <w:t>7</w:t>
      </w:r>
      <w:r>
        <w:rPr>
          <w:rFonts w:eastAsiaTheme="minorEastAsia" w:hint="eastAsia"/>
          <w:sz w:val="24"/>
          <w:szCs w:val="24"/>
        </w:rPr>
        <w:t>年12月：应用携带TIPE2特异干扰片段的慢病毒尾静脉注入WT</w:t>
      </w:r>
      <w:r>
        <w:rPr>
          <w:rFonts w:eastAsiaTheme="minorEastAsia" w:hint="eastAsia"/>
          <w:sz w:val="24"/>
          <w:szCs w:val="24"/>
          <w:lang w:val="en-US" w:eastAsia="zh-CN"/>
        </w:rPr>
        <w:t>或TIPE2</w:t>
      </w:r>
      <w:r>
        <w:rPr>
          <w:rFonts w:eastAsiaTheme="minorEastAsia" w:hint="eastAsia"/>
          <w:sz w:val="24"/>
          <w:szCs w:val="24"/>
          <w:vertAlign w:val="superscript"/>
          <w:lang w:val="en-US" w:eastAsia="zh-CN"/>
        </w:rPr>
        <w:t>+/+</w:t>
      </w:r>
      <w:r>
        <w:rPr>
          <w:rFonts w:eastAsiaTheme="minorEastAsia" w:hint="eastAsia"/>
          <w:sz w:val="24"/>
          <w:szCs w:val="24"/>
        </w:rPr>
        <w:t>失血性休克小鼠</w:t>
      </w:r>
      <w:r>
        <w:rPr>
          <w:rFonts w:eastAsiaTheme="minorEastAsia" w:hint="eastAsia"/>
          <w:sz w:val="24"/>
          <w:szCs w:val="24"/>
          <w:lang w:val="en-US" w:eastAsia="zh-CN"/>
        </w:rPr>
        <w:t>体内</w:t>
      </w:r>
      <w:r>
        <w:rPr>
          <w:rFonts w:eastAsiaTheme="minorEastAsia" w:hint="eastAsia"/>
          <w:sz w:val="24"/>
          <w:szCs w:val="24"/>
        </w:rPr>
        <w:t>，应用携带TIPE2特异过表达片段的慢病毒尾静脉注入TIPE2</w:t>
      </w:r>
      <w:r>
        <w:rPr>
          <w:rFonts w:eastAsiaTheme="minorEastAsia" w:hint="eastAsia"/>
          <w:sz w:val="24"/>
          <w:szCs w:val="24"/>
          <w:vertAlign w:val="superscript"/>
        </w:rPr>
        <w:t>-/-</w:t>
      </w:r>
      <w:r>
        <w:rPr>
          <w:rFonts w:eastAsiaTheme="minorEastAsia" w:hint="eastAsia"/>
          <w:sz w:val="24"/>
          <w:szCs w:val="24"/>
        </w:rPr>
        <w:t>失血性休克小鼠，</w:t>
      </w:r>
      <w:r>
        <w:rPr>
          <w:rFonts w:eastAsiaTheme="minorEastAsia" w:hint="eastAsia"/>
          <w:sz w:val="24"/>
          <w:szCs w:val="24"/>
          <w:lang w:val="en-US" w:eastAsia="zh-CN"/>
        </w:rPr>
        <w:t>并</w:t>
      </w:r>
      <w:r>
        <w:rPr>
          <w:rFonts w:eastAsiaTheme="minorEastAsia" w:hint="eastAsia"/>
          <w:sz w:val="24"/>
          <w:szCs w:val="24"/>
        </w:rPr>
        <w:t>获取各实验组小鼠的脾脏DC，检测</w:t>
      </w:r>
      <w:r>
        <w:rPr>
          <w:rFonts w:eastAsiaTheme="minorEastAsia" w:hint="eastAsia"/>
          <w:sz w:val="24"/>
          <w:szCs w:val="24"/>
          <w:lang w:eastAsia="zh-CN"/>
        </w:rPr>
        <w:t>TRIM13</w:t>
      </w:r>
      <w:r>
        <w:rPr>
          <w:rFonts w:eastAsiaTheme="minorEastAsia" w:hint="eastAsia"/>
          <w:sz w:val="24"/>
          <w:szCs w:val="24"/>
        </w:rPr>
        <w:t>介导的内质网自噬</w:t>
      </w:r>
      <w:r>
        <w:rPr>
          <w:rFonts w:eastAsiaTheme="minorEastAsia" w:hint="eastAsia"/>
          <w:sz w:val="24"/>
          <w:szCs w:val="24"/>
          <w:lang w:val="en-US" w:eastAsia="zh-CN"/>
        </w:rPr>
        <w:t>水平、DC免疫功能</w:t>
      </w:r>
      <w:r>
        <w:rPr>
          <w:rFonts w:eastAsiaTheme="minorEastAsia" w:hint="eastAsia"/>
          <w:sz w:val="24"/>
          <w:szCs w:val="24"/>
        </w:rPr>
        <w:t>。应用携带TIPE2特异干扰片段的慢病毒</w:t>
      </w:r>
      <w:r>
        <w:rPr>
          <w:rFonts w:eastAsiaTheme="minorEastAsia" w:hint="eastAsia"/>
          <w:sz w:val="24"/>
          <w:szCs w:val="24"/>
          <w:lang w:val="en-US" w:eastAsia="zh-CN"/>
        </w:rPr>
        <w:t>体外</w:t>
      </w:r>
      <w:r>
        <w:rPr>
          <w:rFonts w:eastAsiaTheme="minorEastAsia" w:hint="eastAsia"/>
          <w:sz w:val="24"/>
          <w:szCs w:val="24"/>
        </w:rPr>
        <w:t>转染WT DC或</w:t>
      </w:r>
      <w:r>
        <w:rPr>
          <w:rFonts w:eastAsiaTheme="minorEastAsia" w:hint="eastAsia"/>
          <w:sz w:val="24"/>
          <w:szCs w:val="24"/>
          <w:lang w:val="en-US" w:eastAsia="zh-CN"/>
        </w:rPr>
        <w:t>TIPE2</w:t>
      </w:r>
      <w:r>
        <w:rPr>
          <w:rFonts w:eastAsiaTheme="minorEastAsia" w:hint="eastAsia"/>
          <w:sz w:val="24"/>
          <w:szCs w:val="24"/>
          <w:vertAlign w:val="superscript"/>
          <w:lang w:val="en-US" w:eastAsia="zh-CN"/>
        </w:rPr>
        <w:t>+/+</w:t>
      </w:r>
      <w:r>
        <w:rPr>
          <w:rFonts w:eastAsiaTheme="minorEastAsia" w:hint="eastAsia"/>
          <w:sz w:val="24"/>
          <w:szCs w:val="24"/>
        </w:rPr>
        <w:t>DC，给予PHSML刺激，应用携带TIPE2特异过表达片段的慢病毒转染TIPE2</w:t>
      </w:r>
      <w:r>
        <w:rPr>
          <w:rFonts w:eastAsiaTheme="minorEastAsia" w:hint="eastAsia"/>
          <w:sz w:val="24"/>
          <w:szCs w:val="24"/>
          <w:vertAlign w:val="superscript"/>
        </w:rPr>
        <w:t>-/-</w:t>
      </w:r>
      <w:r>
        <w:rPr>
          <w:rFonts w:eastAsiaTheme="minorEastAsia" w:hint="eastAsia"/>
          <w:sz w:val="24"/>
          <w:szCs w:val="24"/>
        </w:rPr>
        <w:t xml:space="preserve"> DC，检测内质网自噬</w:t>
      </w:r>
      <w:r>
        <w:rPr>
          <w:rFonts w:eastAsiaTheme="minorEastAsia" w:hint="eastAsia"/>
          <w:sz w:val="24"/>
          <w:szCs w:val="24"/>
          <w:lang w:val="en-US" w:eastAsia="zh-CN"/>
        </w:rPr>
        <w:t>水平、DC免疫功能、TRIM13及TIPE2分子的表达。</w:t>
      </w:r>
      <w:r>
        <w:rPr>
          <w:rFonts w:eastAsiaTheme="minorEastAsia" w:hint="eastAsia"/>
          <w:sz w:val="24"/>
          <w:szCs w:val="24"/>
        </w:rPr>
        <w:t>体内外实验验证、分析TIPE2调控</w:t>
      </w:r>
      <w:r>
        <w:rPr>
          <w:rFonts w:eastAsiaTheme="minorEastAsia" w:hint="eastAsia"/>
          <w:sz w:val="24"/>
          <w:szCs w:val="24"/>
          <w:lang w:eastAsia="zh-CN"/>
        </w:rPr>
        <w:t>TRIM13</w:t>
      </w:r>
      <w:r>
        <w:rPr>
          <w:rFonts w:eastAsiaTheme="minorEastAsia" w:hint="eastAsia"/>
          <w:sz w:val="24"/>
          <w:szCs w:val="24"/>
        </w:rPr>
        <w:t>介导的内质网自噬在失血性休克后DC免疫功能中的</w:t>
      </w:r>
      <w:r>
        <w:rPr>
          <w:rFonts w:eastAsiaTheme="minorEastAsia" w:hint="eastAsia"/>
          <w:sz w:val="24"/>
          <w:szCs w:val="24"/>
          <w:lang w:val="en-US" w:eastAsia="zh-CN"/>
        </w:rPr>
        <w:t>重要</w:t>
      </w:r>
      <w:r>
        <w:rPr>
          <w:rFonts w:eastAsiaTheme="minorEastAsia" w:hint="eastAsia"/>
          <w:sz w:val="24"/>
          <w:szCs w:val="24"/>
        </w:rPr>
        <w:t>作用。</w:t>
      </w:r>
    </w:p>
    <w:p w14:paraId="33F4A7F0">
      <w:pPr>
        <w:keepNext w:val="0"/>
        <w:keepLines w:val="0"/>
        <w:pageBreakBefore w:val="0"/>
        <w:kinsoku/>
        <w:wordWrap w:val="0"/>
        <w:overflowPunct/>
        <w:topLinePunct w:val="0"/>
        <w:autoSpaceDE/>
        <w:autoSpaceDN/>
        <w:bidi w:val="0"/>
        <w:adjustRightInd/>
        <w:spacing w:line="360" w:lineRule="auto"/>
        <w:ind w:firstLine="560" w:firstLineChars="200"/>
        <w:textAlignment w:val="auto"/>
        <w:outlineLvl w:val="0"/>
        <w:rPr>
          <w:rFonts w:ascii="楷体" w:eastAsia="楷体" w:hAnsi="楷体" w:cs="楷体"/>
          <w:b/>
        </w:rPr>
      </w:pPr>
      <w:r>
        <w:rPr>
          <w:rFonts w:ascii="楷体" w:eastAsia="楷体" w:hAnsi="楷体" w:cs="楷体" w:hint="eastAsia"/>
          <w:b/>
        </w:rPr>
        <w:t>四、研究基础与工作条件</w:t>
      </w:r>
    </w:p>
    <w:p w14:paraId="27FD0B12">
      <w:pPr>
        <w:keepNext w:val="0"/>
        <w:keepLines w:val="0"/>
        <w:pageBreakBefore w:val="0"/>
        <w:kinsoku/>
        <w:wordWrap w:val="0"/>
        <w:overflowPunct/>
        <w:topLinePunct w:val="0"/>
        <w:autoSpaceDE/>
        <w:autoSpaceDN/>
        <w:bidi w:val="0"/>
        <w:adjustRightInd/>
        <w:spacing w:line="360" w:lineRule="auto"/>
        <w:ind w:firstLine="560" w:firstLineChars="200"/>
        <w:textAlignment w:val="auto"/>
        <w:rPr>
          <w:rFonts w:ascii="楷体" w:eastAsia="楷体" w:hAnsi="楷体" w:cs="楷体"/>
        </w:rPr>
      </w:pPr>
      <w:r>
        <w:rPr>
          <w:rFonts w:ascii="楷体" w:eastAsia="楷体" w:hAnsi="楷体" w:cs="楷体" w:hint="eastAsia"/>
        </w:rPr>
        <w:t>1.研究基础（与本项目相关的研究工作积累和已取得的研究工作成绩）</w:t>
      </w:r>
    </w:p>
    <w:p w14:paraId="2C703F97">
      <w:pPr>
        <w:keepNext w:val="0"/>
        <w:keepLines w:val="0"/>
        <w:pageBreakBefore w:val="0"/>
        <w:kinsoku/>
        <w:overflowPunct/>
        <w:topLinePunct w:val="0"/>
        <w:autoSpaceDE/>
        <w:autoSpaceDN/>
        <w:bidi w:val="0"/>
        <w:adjustRightInd/>
        <w:snapToGrid w:val="0"/>
        <w:spacing w:line="360" w:lineRule="auto"/>
        <w:ind w:firstLine="480" w:firstLineChars="200"/>
        <w:textAlignment w:val="auto"/>
        <w:rPr>
          <w:rFonts w:asciiTheme="minorEastAsia" w:eastAsiaTheme="minorEastAsia" w:hAnsiTheme="minorEastAsia"/>
          <w:b/>
          <w:bCs/>
          <w:sz w:val="24"/>
          <w:szCs w:val="24"/>
        </w:rPr>
      </w:pPr>
      <w:r>
        <w:rPr>
          <w:rFonts w:asciiTheme="minorEastAsia" w:eastAsiaTheme="minorEastAsia" w:hAnsiTheme="minorEastAsia" w:hint="eastAsia"/>
          <w:b/>
          <w:bCs/>
          <w:sz w:val="24"/>
          <w:szCs w:val="24"/>
        </w:rPr>
        <w:t>1.1 相关研究工作积累与成绩</w:t>
      </w:r>
    </w:p>
    <w:p w14:paraId="1D7F7818">
      <w:pPr>
        <w:pStyle w:val="NormalWeb0"/>
        <w:keepNext w:val="0"/>
        <w:keepLines w:val="0"/>
        <w:pageBreakBefore w:val="0"/>
        <w:widowControl w:val="0"/>
        <w:kinsoku/>
        <w:overflowPunct/>
        <w:topLinePunct w:val="0"/>
        <w:autoSpaceDE/>
        <w:autoSpaceDN/>
        <w:bidi w:val="0"/>
        <w:adjustRightInd/>
        <w:spacing w:before="0" w:beforeAutospacing="0" w:after="0" w:afterAutospacing="0" w:line="360" w:lineRule="auto"/>
        <w:ind w:firstLine="480" w:firstLineChars="200"/>
        <w:jc w:val="both"/>
        <w:textAlignment w:val="auto"/>
        <w:rPr>
          <w:rFonts w:asciiTheme="minorEastAsia" w:eastAsiaTheme="minorEastAsia" w:hAnsiTheme="minorEastAsia" w:hint="eastAsia"/>
          <w:b/>
          <w:bCs/>
          <w:sz w:val="24"/>
          <w:szCs w:val="24"/>
        </w:rPr>
      </w:pPr>
      <w:r>
        <w:rPr>
          <w:rFonts w:ascii="Times New Roman" w:hAnsi="Times New Roman" w:eastAsiaTheme="minorEastAsia" w:cs="Times New Roman" w:hint="eastAsia"/>
          <w:kern w:val="2"/>
          <w:sz w:val="24"/>
          <w:szCs w:val="24"/>
          <w:lang w:val="en-US" w:eastAsia="zh-CN" w:bidi="ar-SA"/>
        </w:rPr>
        <w:t>项目负责人具有较强的独立实验及科研管理能力，有多年从事失血性休克发病机制及防治策略的研究经历，在相关理论知识及技术方法上已有较好的工作积累。2010年至2011年，由学校委派到国内危重病研究领先的全军重点实验室（解放军总医院第四医学中心烧伤研究所/创伤研究室，姚咏明教授实验室）进修学习，主要进行“脓毒症免疫功能紊乱的机制研究”。2011年，加入到牛春雨教授的研究团队，从事“重症休克、创伤的免疫学机制”研究。于2013年8月至2017年6月攻读吉林大学基础医学院免疫学专业博士，导师：台桂香教授，博士学习期间充分利用其先进的实验平台和基因敲除小鼠资源等，以TLR2/TLR4为切入点，对MBP联合BCG体外及体内对树突状细胞成熟的影响及通过树突状细胞诱导Th1活化的作用机制进行了深入探讨，为本项目开展奠定了基础。现任中国研究型医院学会休克与脓毒症专业委员会委员、微生物学会微生物毒素专业委员会委员、中国中西医结合微循环专业委员会委员、中国微循环学会休克专业委员会委员、河北省免疫学会理事、河北省中西医结合微循环专业委员会委员。申请者及项目组依托的微循环研究所现为河北省急危重症发病机制及干预重点实验室。自上个世纪80年代以来，一直从事重症休克、多器官损伤和淋巴微循环的发病机制及干预研究，已完成多项国家自然科学基金课题，在SHOCK等期刊发表多篇学术论文（SCI收录50余篇），相关研究成果获河北省科技进步一等奖1项、二等奖2项、三等奖5项，对于重症休克及其多器官损伤淋巴机制的研究有一定的积累，也形成了一定的学术见解。</w:t>
      </w:r>
    </w:p>
    <w:p w14:paraId="7F0A847D">
      <w:pPr>
        <w:keepNext w:val="0"/>
        <w:keepLines w:val="0"/>
        <w:pageBreakBefore w:val="0"/>
        <w:kinsoku/>
        <w:overflowPunct/>
        <w:topLinePunct w:val="0"/>
        <w:autoSpaceDE/>
        <w:autoSpaceDN/>
        <w:bidi w:val="0"/>
        <w:adjustRightInd/>
        <w:snapToGrid w:val="0"/>
        <w:spacing w:line="360" w:lineRule="auto"/>
        <w:ind w:firstLine="480"/>
        <w:textAlignment w:val="auto"/>
        <w:rPr>
          <w:rFonts w:asciiTheme="minorEastAsia" w:eastAsiaTheme="minorEastAsia" w:hAnsiTheme="minorEastAsia"/>
          <w:b/>
          <w:bCs/>
          <w:sz w:val="24"/>
          <w:szCs w:val="24"/>
        </w:rPr>
      </w:pPr>
      <w:r>
        <w:rPr>
          <w:rFonts w:asciiTheme="minorEastAsia" w:eastAsiaTheme="minorEastAsia" w:hAnsiTheme="minorEastAsia" w:hint="eastAsia"/>
          <w:b/>
          <w:bCs/>
          <w:sz w:val="24"/>
          <w:szCs w:val="24"/>
        </w:rPr>
        <w:t>1.2 相关预实验结果</w:t>
      </w:r>
    </w:p>
    <w:p w14:paraId="5189A13A">
      <w:pPr>
        <w:keepNext w:val="0"/>
        <w:keepLines w:val="0"/>
        <w:pageBreakBefore w:val="0"/>
        <w:kinsoku/>
        <w:overflowPunct/>
        <w:topLinePunct w:val="0"/>
        <w:autoSpaceDE/>
        <w:autoSpaceDN/>
        <w:bidi w:val="0"/>
        <w:adjustRightInd/>
        <w:snapToGrid w:val="0"/>
        <w:spacing w:line="360" w:lineRule="auto"/>
        <w:ind w:firstLine="480"/>
        <w:textAlignment w:val="auto"/>
        <w:rPr>
          <w:sz w:val="24"/>
          <w:szCs w:val="24"/>
        </w:rPr>
      </w:pPr>
      <w:r>
        <w:rPr>
          <w:rFonts w:hint="eastAsia"/>
          <w:sz w:val="24"/>
          <w:szCs w:val="24"/>
        </w:rPr>
        <w:t>1</w:t>
      </w:r>
      <w:r>
        <w:rPr>
          <w:sz w:val="24"/>
          <w:szCs w:val="24"/>
        </w:rPr>
        <w:t>.</w:t>
      </w:r>
      <w:r>
        <w:rPr>
          <w:rFonts w:hint="eastAsia"/>
          <w:sz w:val="24"/>
          <w:szCs w:val="24"/>
        </w:rPr>
        <w:t>2.1 休克肠淋巴液刺激诱导DC细胞TIPE2表达上调</w:t>
      </w:r>
    </w:p>
    <w:p w14:paraId="27FB049D">
      <w:pPr>
        <w:keepNext w:val="0"/>
        <w:keepLines w:val="0"/>
        <w:pageBreakBefore w:val="0"/>
        <w:kinsoku/>
        <w:overflowPunct/>
        <w:topLinePunct w:val="0"/>
        <w:autoSpaceDE/>
        <w:autoSpaceDN/>
        <w:bidi w:val="0"/>
        <w:adjustRightInd/>
        <w:snapToGrid w:val="0"/>
        <w:spacing w:line="360" w:lineRule="auto"/>
        <w:ind w:firstLine="480" w:firstLineChars="200"/>
        <w:textAlignment w:val="auto"/>
        <w:rPr>
          <w:sz w:val="24"/>
          <w:szCs w:val="24"/>
        </w:rPr>
      </w:pPr>
      <w:r>
        <w:rPr>
          <w:rFonts w:hint="eastAsia"/>
          <w:sz w:val="24"/>
          <w:szCs w:val="24"/>
        </w:rPr>
        <w:t>应用WT小鼠制备失血性休克模型，</w:t>
      </w:r>
      <w:r>
        <w:rPr>
          <w:sz w:val="24"/>
          <w:szCs w:val="24"/>
        </w:rPr>
        <w:t>Western blotting</w:t>
      </w:r>
      <w:r>
        <w:rPr>
          <w:rFonts w:hint="eastAsia"/>
          <w:sz w:val="24"/>
          <w:szCs w:val="24"/>
        </w:rPr>
        <w:t>检测脾组织中T</w:t>
      </w:r>
      <w:r>
        <w:rPr>
          <w:sz w:val="24"/>
          <w:szCs w:val="24"/>
        </w:rPr>
        <w:t>IPE2</w:t>
      </w:r>
      <w:r>
        <w:rPr>
          <w:rFonts w:hint="eastAsia"/>
          <w:sz w:val="24"/>
          <w:szCs w:val="24"/>
        </w:rPr>
        <w:t>蛋白的表达水平，发现失血性休克后T</w:t>
      </w:r>
      <w:r>
        <w:rPr>
          <w:sz w:val="24"/>
          <w:szCs w:val="24"/>
        </w:rPr>
        <w:t>IPE2</w:t>
      </w:r>
      <w:r>
        <w:rPr>
          <w:rFonts w:hint="eastAsia"/>
          <w:sz w:val="24"/>
          <w:szCs w:val="24"/>
        </w:rPr>
        <w:t>的表达升高(图1A)。DC细胞体外培养给予8%PHSML刺激24h，激光共聚焦显微镜结果显示TIPE2的表达明显升高（图1B）。</w:t>
      </w:r>
    </w:p>
    <w:p w14:paraId="63ECCD01">
      <w:pPr>
        <w:keepNext w:val="0"/>
        <w:keepLines w:val="0"/>
        <w:pageBreakBefore w:val="0"/>
        <w:kinsoku/>
        <w:overflowPunct/>
        <w:topLinePunct w:val="0"/>
        <w:autoSpaceDE/>
        <w:autoSpaceDN/>
        <w:bidi w:val="0"/>
        <w:adjustRightInd/>
        <w:snapToGrid w:val="0"/>
        <w:spacing w:line="360" w:lineRule="auto"/>
        <w:jc w:val="center"/>
        <w:textAlignment w:val="auto"/>
        <w:rPr>
          <w:sz w:val="24"/>
          <w:szCs w:val="24"/>
        </w:rPr>
      </w:pPr>
      <w:r>
        <w:rPr>
          <w:rFonts w:hint="eastAsia"/>
          <w:sz w:val="24"/>
          <w:szCs w:val="24"/>
        </w:rPr>
        <w:drawing>
          <wp:inline distT="0" distB="0" distL="114300" distR="114300">
            <wp:extent cx="4162425" cy="3745865"/>
            <wp:effectExtent l="0" t="0" r="0" b="6985"/>
            <wp:docPr id="2" name="图片 2" descr="e162927aede033f9756055c1e6ac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13642" name="图片 2" descr="e162927aede033f9756055c1e6acbb8"/>
                    <pic:cNvPicPr>
                      <a:picLocks noChangeAspect="1"/>
                    </pic:cNvPicPr>
                  </pic:nvPicPr>
                  <pic:blipFill>
                    <a:blip xmlns:r="http://schemas.openxmlformats.org/officeDocument/2006/relationships" r:embed="rId11"/>
                    <a:srcRect l="588" t="2498" r="14882"/>
                    <a:stretch>
                      <a:fillRect/>
                    </a:stretch>
                  </pic:blipFill>
                  <pic:spPr>
                    <a:xfrm>
                      <a:off x="0" y="0"/>
                      <a:ext cx="4162425" cy="3745865"/>
                    </a:xfrm>
                    <a:prstGeom prst="rect">
                      <a:avLst/>
                    </a:prstGeom>
                  </pic:spPr>
                </pic:pic>
              </a:graphicData>
            </a:graphic>
          </wp:inline>
        </w:drawing>
      </w:r>
    </w:p>
    <w:p w14:paraId="0F614224">
      <w:pPr>
        <w:keepNext w:val="0"/>
        <w:keepLines w:val="0"/>
        <w:pageBreakBefore w:val="0"/>
        <w:kinsoku/>
        <w:overflowPunct/>
        <w:topLinePunct w:val="0"/>
        <w:autoSpaceDE/>
        <w:autoSpaceDN/>
        <w:bidi w:val="0"/>
        <w:adjustRightInd/>
        <w:snapToGrid w:val="0"/>
        <w:spacing w:line="360" w:lineRule="auto"/>
        <w:ind w:firstLine="482"/>
        <w:jc w:val="center"/>
        <w:textAlignment w:val="auto"/>
        <w:rPr>
          <w:rFonts w:hint="eastAsia"/>
          <w:sz w:val="24"/>
          <w:szCs w:val="24"/>
        </w:rPr>
      </w:pPr>
      <w:r>
        <w:rPr>
          <w:rFonts w:hint="eastAsia"/>
          <w:sz w:val="24"/>
          <w:szCs w:val="24"/>
        </w:rPr>
        <w:t>图1 失血性休克对小鼠脾组织和DC中TIPE2表达的影响</w:t>
      </w:r>
    </w:p>
    <w:p w14:paraId="1C2FA23B">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sz w:val="24"/>
          <w:szCs w:val="24"/>
        </w:rPr>
      </w:pPr>
      <w:r>
        <w:rPr>
          <w:rFonts w:hint="eastAsia"/>
          <w:sz w:val="24"/>
          <w:szCs w:val="24"/>
        </w:rPr>
        <w:t>1.2.2 TIPE2对失血性休克小鼠生存率的影响</w:t>
      </w:r>
    </w:p>
    <w:p w14:paraId="74D355A2">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left"/>
        <w:textAlignment w:val="auto"/>
        <w:rPr>
          <w:rFonts w:hint="eastAsia"/>
          <w:sz w:val="24"/>
          <w:szCs w:val="24"/>
          <w:lang w:eastAsia="zh-CN"/>
        </w:rPr>
      </w:pPr>
      <w:r>
        <w:rPr>
          <w:rFonts w:hint="eastAsia"/>
          <w:sz w:val="24"/>
          <w:szCs w:val="24"/>
        </w:rPr>
        <w:t>应用WT、TIPE2</w:t>
      </w:r>
      <w:r>
        <w:rPr>
          <w:rFonts w:hint="eastAsia"/>
          <w:sz w:val="24"/>
          <w:szCs w:val="24"/>
          <w:vertAlign w:val="superscript"/>
        </w:rPr>
        <w:t>-/-</w:t>
      </w:r>
      <w:r>
        <w:rPr>
          <w:rFonts w:hint="eastAsia"/>
          <w:sz w:val="24"/>
          <w:szCs w:val="24"/>
        </w:rPr>
        <w:t>和TIPE2</w:t>
      </w:r>
      <w:r>
        <w:rPr>
          <w:rFonts w:hint="eastAsia"/>
          <w:sz w:val="24"/>
          <w:szCs w:val="24"/>
          <w:vertAlign w:val="superscript"/>
        </w:rPr>
        <w:t>+/+</w:t>
      </w:r>
      <w:r>
        <w:rPr>
          <w:rFonts w:hint="eastAsia"/>
          <w:sz w:val="24"/>
          <w:szCs w:val="24"/>
        </w:rPr>
        <w:t>小鼠分别构建失血性休克模型，同时设置假手术组，观察各组小鼠存活时间</w:t>
      </w:r>
      <w:r>
        <w:rPr>
          <w:rFonts w:hint="eastAsia"/>
          <w:sz w:val="24"/>
          <w:szCs w:val="24"/>
          <w:lang w:val="en-US" w:eastAsia="zh-CN"/>
        </w:rPr>
        <w:t>，计算各组小鼠脾系数。结果如图A所示，在失血性休克组，WT、</w:t>
      </w:r>
      <w:r>
        <w:rPr>
          <w:rFonts w:hint="eastAsia"/>
          <w:sz w:val="24"/>
          <w:szCs w:val="24"/>
        </w:rPr>
        <w:t>TIPE2</w:t>
      </w:r>
      <w:r>
        <w:rPr>
          <w:rFonts w:hint="eastAsia"/>
          <w:sz w:val="24"/>
          <w:szCs w:val="24"/>
          <w:vertAlign w:val="superscript"/>
        </w:rPr>
        <w:t>+/+</w:t>
      </w:r>
      <w:r>
        <w:rPr>
          <w:rFonts w:hint="eastAsia"/>
          <w:sz w:val="24"/>
          <w:szCs w:val="24"/>
          <w:vertAlign w:val="superscript"/>
          <w:lang w:val="en-US" w:eastAsia="zh-CN"/>
        </w:rPr>
        <w:t xml:space="preserve"> </w:t>
      </w:r>
      <w:r>
        <w:rPr>
          <w:rFonts w:hint="eastAsia"/>
          <w:sz w:val="24"/>
          <w:szCs w:val="24"/>
          <w:lang w:val="en-US" w:eastAsia="zh-CN"/>
        </w:rPr>
        <w:t>小鼠分别在3天和5天内全部死亡，而</w:t>
      </w:r>
      <w:r>
        <w:rPr>
          <w:rFonts w:hint="eastAsia"/>
          <w:sz w:val="24"/>
          <w:szCs w:val="24"/>
        </w:rPr>
        <w:t>TIPE2</w:t>
      </w:r>
      <w:r>
        <w:rPr>
          <w:rFonts w:hint="eastAsia"/>
          <w:sz w:val="24"/>
          <w:szCs w:val="24"/>
          <w:vertAlign w:val="superscript"/>
        </w:rPr>
        <w:t>-/-</w:t>
      </w:r>
      <w:r>
        <w:rPr>
          <w:rFonts w:hint="eastAsia"/>
          <w:sz w:val="24"/>
          <w:szCs w:val="24"/>
          <w:lang w:val="en-US" w:eastAsia="zh-CN"/>
        </w:rPr>
        <w:t>小鼠生存时间明显延长，TIPE2的缺失对小鼠总体存活率表现出保护效应。脾系数结果显示，相较Sham组，WT小鼠失血性休克后脾系数显著降低</w:t>
      </w:r>
      <w:r>
        <w:rPr>
          <w:rFonts w:hint="eastAsia"/>
          <w:sz w:val="24"/>
          <w:szCs w:val="24"/>
          <w:lang w:eastAsia="zh-CN"/>
        </w:rPr>
        <w:t>，</w:t>
      </w:r>
      <w:r>
        <w:rPr>
          <w:rFonts w:hint="eastAsia"/>
          <w:sz w:val="24"/>
          <w:szCs w:val="24"/>
          <w:lang w:val="en-US" w:eastAsia="zh-CN"/>
        </w:rPr>
        <w:t>在失血性休克状态下，</w:t>
      </w:r>
      <w:r>
        <w:rPr>
          <w:rFonts w:hint="eastAsia"/>
          <w:sz w:val="24"/>
          <w:szCs w:val="24"/>
        </w:rPr>
        <w:t>TIPE2</w:t>
      </w:r>
      <w:r>
        <w:rPr>
          <w:rFonts w:hint="eastAsia"/>
          <w:sz w:val="24"/>
          <w:szCs w:val="24"/>
          <w:vertAlign w:val="superscript"/>
        </w:rPr>
        <w:t>-/-</w:t>
      </w:r>
      <w:r>
        <w:rPr>
          <w:rFonts w:hint="eastAsia"/>
          <w:sz w:val="24"/>
          <w:szCs w:val="24"/>
        </w:rPr>
        <w:t>小鼠</w:t>
      </w:r>
      <w:r>
        <w:rPr>
          <w:rFonts w:hint="eastAsia"/>
          <w:sz w:val="24"/>
          <w:szCs w:val="24"/>
          <w:lang w:val="en-US" w:eastAsia="zh-CN"/>
        </w:rPr>
        <w:t>较WT</w:t>
      </w:r>
      <w:r>
        <w:rPr>
          <w:rFonts w:hint="eastAsia"/>
          <w:sz w:val="24"/>
          <w:szCs w:val="24"/>
        </w:rPr>
        <w:t>小鼠</w:t>
      </w:r>
      <w:r>
        <w:rPr>
          <w:rFonts w:hint="eastAsia"/>
          <w:sz w:val="24"/>
          <w:szCs w:val="24"/>
          <w:lang w:val="en-US" w:eastAsia="zh-CN"/>
        </w:rPr>
        <w:t>脾系数升高，</w:t>
      </w:r>
      <w:r>
        <w:rPr>
          <w:rFonts w:hint="eastAsia"/>
          <w:sz w:val="24"/>
          <w:szCs w:val="24"/>
        </w:rPr>
        <w:t>TIPE2</w:t>
      </w:r>
      <w:r>
        <w:rPr>
          <w:rFonts w:hint="eastAsia"/>
          <w:sz w:val="24"/>
          <w:szCs w:val="24"/>
          <w:vertAlign w:val="superscript"/>
        </w:rPr>
        <w:t>+/+</w:t>
      </w:r>
      <w:r>
        <w:rPr>
          <w:rFonts w:hint="eastAsia"/>
          <w:sz w:val="24"/>
          <w:szCs w:val="24"/>
        </w:rPr>
        <w:t>小鼠</w:t>
      </w:r>
      <w:r>
        <w:rPr>
          <w:rFonts w:hint="eastAsia"/>
          <w:sz w:val="24"/>
          <w:szCs w:val="24"/>
          <w:lang w:val="en-US" w:eastAsia="zh-CN"/>
        </w:rPr>
        <w:t>较</w:t>
      </w:r>
      <w:r>
        <w:rPr>
          <w:rFonts w:hint="eastAsia"/>
          <w:sz w:val="24"/>
          <w:szCs w:val="24"/>
        </w:rPr>
        <w:t>TIPE2</w:t>
      </w:r>
      <w:r>
        <w:rPr>
          <w:rFonts w:hint="eastAsia"/>
          <w:sz w:val="24"/>
          <w:szCs w:val="24"/>
          <w:vertAlign w:val="superscript"/>
        </w:rPr>
        <w:t>-/-</w:t>
      </w:r>
      <w:r>
        <w:rPr>
          <w:rFonts w:hint="eastAsia"/>
          <w:sz w:val="24"/>
          <w:szCs w:val="24"/>
        </w:rPr>
        <w:t>小鼠</w:t>
      </w:r>
      <w:r>
        <w:rPr>
          <w:rFonts w:hint="eastAsia"/>
          <w:sz w:val="24"/>
          <w:szCs w:val="24"/>
          <w:lang w:val="en-US" w:eastAsia="zh-CN"/>
        </w:rPr>
        <w:t>脾系数降低</w:t>
      </w:r>
      <w:r>
        <w:rPr>
          <w:rFonts w:hint="eastAsia"/>
          <w:sz w:val="24"/>
          <w:szCs w:val="24"/>
          <w:lang w:eastAsia="zh-CN"/>
        </w:rPr>
        <w:t>。</w:t>
      </w:r>
    </w:p>
    <w:p w14:paraId="2B62B263">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left"/>
        <w:textAlignment w:val="auto"/>
        <w:rPr>
          <w:rFonts w:hint="eastAsia"/>
          <w:sz w:val="24"/>
          <w:szCs w:val="24"/>
          <w:lang w:eastAsia="zh-CN"/>
        </w:rPr>
      </w:pPr>
    </w:p>
    <w:p w14:paraId="30970580">
      <w:pPr>
        <w:keepNext w:val="0"/>
        <w:keepLines w:val="0"/>
        <w:pageBreakBefore w:val="0"/>
        <w:kinsoku/>
        <w:overflowPunct/>
        <w:topLinePunct w:val="0"/>
        <w:autoSpaceDE/>
        <w:autoSpaceDN/>
        <w:bidi w:val="0"/>
        <w:adjustRightInd/>
        <w:snapToGrid w:val="0"/>
        <w:spacing w:line="360" w:lineRule="auto"/>
        <w:jc w:val="center"/>
        <w:textAlignment w:val="auto"/>
        <w:rPr>
          <w:rFonts w:eastAsia="宋体" w:hint="eastAsia"/>
          <w:sz w:val="24"/>
          <w:szCs w:val="24"/>
          <w:lang w:eastAsia="zh-CN"/>
        </w:rPr>
      </w:pPr>
      <w:r>
        <w:rPr>
          <w:rFonts w:eastAsia="宋体" w:hint="eastAsia"/>
          <w:sz w:val="24"/>
          <w:szCs w:val="24"/>
          <w:lang w:eastAsia="zh-CN"/>
        </w:rPr>
        <w:drawing>
          <wp:inline distT="0" distB="0" distL="114300" distR="114300">
            <wp:extent cx="5402580" cy="1655445"/>
            <wp:effectExtent l="0" t="0" r="7620" b="1905"/>
            <wp:docPr id="5" name="图片 5" descr="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71767" name="图片 5" descr="Fig 6"/>
                    <pic:cNvPicPr>
                      <a:picLocks noChangeAspect="1"/>
                    </pic:cNvPicPr>
                  </pic:nvPicPr>
                  <pic:blipFill>
                    <a:blip xmlns:r="http://schemas.openxmlformats.org/officeDocument/2006/relationships" r:embed="rId12"/>
                    <a:stretch>
                      <a:fillRect/>
                    </a:stretch>
                  </pic:blipFill>
                  <pic:spPr>
                    <a:xfrm>
                      <a:off x="0" y="0"/>
                      <a:ext cx="5402580" cy="1655445"/>
                    </a:xfrm>
                    <a:prstGeom prst="rect">
                      <a:avLst/>
                    </a:prstGeom>
                  </pic:spPr>
                </pic:pic>
              </a:graphicData>
            </a:graphic>
          </wp:inline>
        </w:drawing>
      </w:r>
    </w:p>
    <w:p w14:paraId="57531371">
      <w:pPr>
        <w:keepNext w:val="0"/>
        <w:keepLines w:val="0"/>
        <w:pageBreakBefore w:val="0"/>
        <w:kinsoku/>
        <w:overflowPunct/>
        <w:topLinePunct w:val="0"/>
        <w:autoSpaceDE/>
        <w:autoSpaceDN/>
        <w:bidi w:val="0"/>
        <w:adjustRightInd/>
        <w:snapToGrid w:val="0"/>
        <w:spacing w:line="360" w:lineRule="auto"/>
        <w:ind w:firstLine="480"/>
        <w:jc w:val="center"/>
        <w:textAlignment w:val="auto"/>
        <w:rPr>
          <w:rFonts w:hint="eastAsia"/>
          <w:sz w:val="24"/>
          <w:szCs w:val="24"/>
        </w:rPr>
      </w:pPr>
      <w:r>
        <w:rPr>
          <w:sz w:val="24"/>
          <w:szCs w:val="24"/>
        </w:rPr>
        <w:t>图</w:t>
      </w:r>
      <w:r>
        <w:rPr>
          <w:rFonts w:hint="eastAsia"/>
          <w:sz w:val="24"/>
          <w:szCs w:val="24"/>
        </w:rPr>
        <w:t>2 TIPE2对</w:t>
      </w:r>
      <w:r>
        <w:rPr>
          <w:sz w:val="24"/>
          <w:szCs w:val="24"/>
        </w:rPr>
        <w:t>失血性休克</w:t>
      </w:r>
      <w:r>
        <w:rPr>
          <w:rFonts w:hint="eastAsia"/>
          <w:sz w:val="24"/>
          <w:szCs w:val="24"/>
        </w:rPr>
        <w:t>小鼠生存率的影响</w:t>
      </w:r>
    </w:p>
    <w:p w14:paraId="2A401734">
      <w:pPr>
        <w:keepNext w:val="0"/>
        <w:keepLines w:val="0"/>
        <w:pageBreakBefore w:val="0"/>
        <w:widowControl w:val="0"/>
        <w:kinsoku/>
        <w:wordWrap/>
        <w:overflowPunct/>
        <w:topLinePunct w:val="0"/>
        <w:autoSpaceDE/>
        <w:autoSpaceDN/>
        <w:bidi w:val="0"/>
        <w:adjustRightInd/>
        <w:snapToGrid w:val="0"/>
        <w:spacing w:line="360" w:lineRule="auto"/>
        <w:ind w:firstLine="482"/>
        <w:textAlignment w:val="auto"/>
        <w:rPr>
          <w:sz w:val="24"/>
          <w:szCs w:val="24"/>
        </w:rPr>
      </w:pPr>
      <w:r>
        <w:rPr>
          <w:rFonts w:hint="eastAsia"/>
          <w:sz w:val="24"/>
          <w:szCs w:val="24"/>
        </w:rPr>
        <w:t>1.2.3 PHSML对DC内质网自噬活化及机制的影响</w:t>
      </w:r>
    </w:p>
    <w:p w14:paraId="77C701E6">
      <w:pPr>
        <w:keepNext w:val="0"/>
        <w:keepLines w:val="0"/>
        <w:pageBreakBefore w:val="0"/>
        <w:widowControl w:val="0"/>
        <w:kinsoku/>
        <w:wordWrap/>
        <w:overflowPunct/>
        <w:topLinePunct w:val="0"/>
        <w:autoSpaceDE/>
        <w:autoSpaceDN/>
        <w:bidi w:val="0"/>
        <w:adjustRightInd/>
        <w:snapToGrid w:val="0"/>
        <w:spacing w:line="360" w:lineRule="auto"/>
        <w:ind w:firstLine="482"/>
        <w:textAlignment w:val="auto"/>
        <w:rPr>
          <w:sz w:val="24"/>
          <w:szCs w:val="24"/>
        </w:rPr>
      </w:pPr>
      <w:r>
        <w:rPr>
          <w:rFonts w:hint="eastAsia"/>
          <w:sz w:val="24"/>
          <w:szCs w:val="24"/>
        </w:rPr>
        <w:t>为探讨PHSML对DC自噬水平的影响，我们利用DC2.4细胞开展了体外实验。分别用PHSML、PHSML+3-MA或PHSML+MK-2206处理细胞24小时，随后检测DC中LC3、Beclin-1和p62的表达情况。与对照组相比，经PHSML刺激后DC中LC3表达显著升高，而用3-MA处理后，LC3表达较PHSML组显著降低（图3A）。然而，各实验组间Beclin-1水平并没有显著变化（图3B）。经PHSML刺激后，p62表达降低，但3-MA处理后p62表达较PHSML组升高（图3C）。这些结果表明，PHSML刺激可提高DC的自噬水平。</w:t>
      </w:r>
    </w:p>
    <w:p w14:paraId="28A0D6DB">
      <w:pPr>
        <w:keepNext w:val="0"/>
        <w:keepLines w:val="0"/>
        <w:pageBreakBefore w:val="0"/>
        <w:kinsoku/>
        <w:overflowPunct/>
        <w:topLinePunct w:val="0"/>
        <w:autoSpaceDE/>
        <w:autoSpaceDN/>
        <w:bidi w:val="0"/>
        <w:adjustRightInd/>
        <w:snapToGrid w:val="0"/>
        <w:spacing w:line="360" w:lineRule="auto"/>
        <w:ind w:firstLine="482"/>
        <w:textAlignment w:val="auto"/>
        <w:rPr>
          <w:sz w:val="24"/>
          <w:szCs w:val="24"/>
        </w:rPr>
      </w:pPr>
      <w:r>
        <w:rPr>
          <w:rFonts w:hint="eastAsia"/>
          <w:sz w:val="24"/>
          <w:szCs w:val="24"/>
        </w:rPr>
        <w:t>为进一步阐明PHSML诱导DC自噬的分子机制，我们检测了P-PI3K、PI3K、P-Akt和Akt的表达。结果显示，各实验组间P-PI3K和PI3K水平没有显著差异（图 3D）。在用MK-2206处理细胞以激活自噬后，与PHSML组相比，P-Akt/Akt比值显著降低（P &lt; 0.05）（图3E），这表明MK-2206通过抑制Akt磷酸化来影响自噬。</w:t>
      </w:r>
    </w:p>
    <w:p w14:paraId="3CE500CB">
      <w:pPr>
        <w:keepNext w:val="0"/>
        <w:keepLines w:val="0"/>
        <w:pageBreakBefore w:val="0"/>
        <w:kinsoku/>
        <w:overflowPunct/>
        <w:topLinePunct w:val="0"/>
        <w:autoSpaceDE/>
        <w:autoSpaceDN/>
        <w:bidi w:val="0"/>
        <w:adjustRightInd/>
        <w:snapToGrid w:val="0"/>
        <w:spacing w:line="360" w:lineRule="auto"/>
        <w:ind w:firstLine="482"/>
        <w:textAlignment w:val="auto"/>
        <w:rPr>
          <w:rFonts w:hint="eastAsia"/>
          <w:sz w:val="24"/>
          <w:szCs w:val="24"/>
        </w:rPr>
      </w:pPr>
      <w:r>
        <w:rPr>
          <w:rFonts w:hint="eastAsia"/>
          <w:sz w:val="24"/>
          <w:szCs w:val="24"/>
        </w:rPr>
        <w:t>此外，我们应用透射电子显微镜观察了DC2.4细胞中内质网自噬体的形成情况。结果显示，经PHSML刺激后，含有内质网的自噬体数量增加（图3F）。通过荧光显微镜观察了DC2.4细胞中内质网（ER-tracker）与自噬体（LC3B）的共定位。结果表明，与对照组相比，PHSML刺激显著增强了内质网与自噬体的共定位（图 3G），提高了DC内质网自噬的水平。</w:t>
      </w:r>
    </w:p>
    <w:p w14:paraId="352B1BCF">
      <w:pPr>
        <w:keepNext w:val="0"/>
        <w:keepLines w:val="0"/>
        <w:pageBreakBefore w:val="0"/>
        <w:kinsoku/>
        <w:overflowPunct/>
        <w:topLinePunct w:val="0"/>
        <w:autoSpaceDE/>
        <w:autoSpaceDN/>
        <w:bidi w:val="0"/>
        <w:adjustRightInd/>
        <w:snapToGrid w:val="0"/>
        <w:spacing w:line="360" w:lineRule="auto"/>
        <w:ind w:firstLine="482"/>
        <w:textAlignment w:val="auto"/>
        <w:rPr>
          <w:rFonts w:hint="eastAsia"/>
          <w:sz w:val="24"/>
          <w:szCs w:val="24"/>
        </w:rPr>
      </w:pPr>
    </w:p>
    <w:p w14:paraId="0FA34802">
      <w:pPr>
        <w:keepNext w:val="0"/>
        <w:keepLines w:val="0"/>
        <w:pageBreakBefore w:val="0"/>
        <w:kinsoku/>
        <w:overflowPunct/>
        <w:topLinePunct w:val="0"/>
        <w:autoSpaceDE/>
        <w:autoSpaceDN/>
        <w:bidi w:val="0"/>
        <w:adjustRightInd/>
        <w:snapToGrid w:val="0"/>
        <w:spacing w:line="360" w:lineRule="auto"/>
        <w:jc w:val="center"/>
        <w:textAlignment w:val="auto"/>
        <w:rPr>
          <w:sz w:val="24"/>
          <w:szCs w:val="24"/>
        </w:rPr>
      </w:pPr>
      <w:r>
        <w:rPr>
          <w:rFonts w:ascii="Arial" w:hAnsi="Arial" w:cs="Arial" w:hint="eastAsia"/>
          <w:sz w:val="24"/>
          <w:szCs w:val="24"/>
        </w:rPr>
        <w:drawing>
          <wp:inline distT="0" distB="0" distL="114300" distR="114300">
            <wp:extent cx="5266690" cy="2966085"/>
            <wp:effectExtent l="0" t="0" r="635" b="5715"/>
            <wp:docPr id="26" name="图片 26"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97118" name="图片 26" descr="图2"/>
                    <pic:cNvPicPr>
                      <a:picLocks noChangeAspect="1"/>
                    </pic:cNvPicPr>
                  </pic:nvPicPr>
                  <pic:blipFill>
                    <a:blip xmlns:r="http://schemas.openxmlformats.org/officeDocument/2006/relationships" r:embed="rId13"/>
                    <a:stretch>
                      <a:fillRect/>
                    </a:stretch>
                  </pic:blipFill>
                  <pic:spPr>
                    <a:xfrm>
                      <a:off x="0" y="0"/>
                      <a:ext cx="5266690" cy="2966085"/>
                    </a:xfrm>
                    <a:prstGeom prst="rect">
                      <a:avLst/>
                    </a:prstGeom>
                  </pic:spPr>
                </pic:pic>
              </a:graphicData>
            </a:graphic>
          </wp:inline>
        </w:drawing>
      </w:r>
    </w:p>
    <w:p w14:paraId="3C0A5719">
      <w:pPr>
        <w:keepNext w:val="0"/>
        <w:keepLines w:val="0"/>
        <w:pageBreakBefore w:val="0"/>
        <w:kinsoku/>
        <w:overflowPunct/>
        <w:topLinePunct w:val="0"/>
        <w:autoSpaceDE/>
        <w:autoSpaceDN/>
        <w:bidi w:val="0"/>
        <w:adjustRightInd/>
        <w:snapToGrid w:val="0"/>
        <w:spacing w:line="360" w:lineRule="auto"/>
        <w:jc w:val="center"/>
        <w:textAlignment w:val="auto"/>
        <w:rPr>
          <w:rFonts w:hint="eastAsia"/>
          <w:sz w:val="24"/>
          <w:szCs w:val="24"/>
        </w:rPr>
      </w:pPr>
      <w:r>
        <w:rPr>
          <w:sz w:val="24"/>
          <w:szCs w:val="24"/>
        </w:rPr>
        <w:t>图</w:t>
      </w:r>
      <w:r>
        <w:rPr>
          <w:rFonts w:hint="eastAsia"/>
          <w:sz w:val="24"/>
          <w:szCs w:val="24"/>
          <w:lang w:val="en-US" w:eastAsia="zh-CN"/>
        </w:rPr>
        <w:t>3</w:t>
      </w:r>
      <w:r>
        <w:rPr>
          <w:rFonts w:hint="eastAsia"/>
          <w:sz w:val="24"/>
          <w:szCs w:val="24"/>
        </w:rPr>
        <w:t xml:space="preserve"> 休克肠淋巴液</w:t>
      </w:r>
      <w:r>
        <w:rPr>
          <w:sz w:val="24"/>
          <w:szCs w:val="24"/>
        </w:rPr>
        <w:t>对DC</w:t>
      </w:r>
      <w:r>
        <w:rPr>
          <w:rFonts w:hint="eastAsia"/>
          <w:sz w:val="24"/>
          <w:szCs w:val="24"/>
        </w:rPr>
        <w:t>内质网自噬及信号机制的影响</w:t>
      </w:r>
    </w:p>
    <w:p w14:paraId="675FED9D">
      <w:pPr>
        <w:keepNext w:val="0"/>
        <w:keepLines w:val="0"/>
        <w:pageBreakBefore w:val="0"/>
        <w:widowControl w:val="0"/>
        <w:kinsoku/>
        <w:wordWrap/>
        <w:overflowPunct/>
        <w:topLinePunct w:val="0"/>
        <w:autoSpaceDE/>
        <w:autoSpaceDN/>
        <w:bidi w:val="0"/>
        <w:adjustRightInd/>
        <w:snapToGrid w:val="0"/>
        <w:spacing w:line="360" w:lineRule="auto"/>
        <w:ind w:firstLine="482"/>
        <w:textAlignment w:val="auto"/>
        <w:rPr>
          <w:sz w:val="24"/>
          <w:szCs w:val="24"/>
        </w:rPr>
      </w:pPr>
      <w:r>
        <w:rPr>
          <w:rFonts w:hint="eastAsia"/>
          <w:sz w:val="24"/>
          <w:szCs w:val="24"/>
        </w:rPr>
        <w:t xml:space="preserve">1.2.4 </w:t>
      </w:r>
      <w:r>
        <w:rPr>
          <w:sz w:val="24"/>
          <w:szCs w:val="24"/>
        </w:rPr>
        <w:t>TIPE2</w:t>
      </w:r>
      <w:r>
        <w:rPr>
          <w:rFonts w:hint="eastAsia"/>
          <w:sz w:val="24"/>
          <w:szCs w:val="24"/>
        </w:rPr>
        <w:t>与失血性休克后T</w:t>
      </w:r>
      <w:r>
        <w:rPr>
          <w:rFonts w:hint="eastAsia"/>
          <w:sz w:val="24"/>
          <w:szCs w:val="24"/>
          <w:lang w:val="en-US" w:eastAsia="zh-CN"/>
        </w:rPr>
        <w:t>RIM</w:t>
      </w:r>
      <w:r>
        <w:rPr>
          <w:rFonts w:hint="eastAsia"/>
          <w:sz w:val="24"/>
          <w:szCs w:val="24"/>
        </w:rPr>
        <w:t>13介导的内质网自噬水平有关</w:t>
      </w:r>
    </w:p>
    <w:p w14:paraId="662B8D5B">
      <w:pPr>
        <w:keepNext w:val="0"/>
        <w:keepLines w:val="0"/>
        <w:pageBreakBefore w:val="0"/>
        <w:widowControl w:val="0"/>
        <w:kinsoku/>
        <w:wordWrap/>
        <w:overflowPunct/>
        <w:topLinePunct w:val="0"/>
        <w:autoSpaceDE/>
        <w:autoSpaceDN/>
        <w:bidi w:val="0"/>
        <w:adjustRightInd/>
        <w:snapToGrid w:val="0"/>
        <w:spacing w:line="360" w:lineRule="auto"/>
        <w:ind w:firstLine="480" w:firstLineChars="200"/>
        <w:textAlignment w:val="auto"/>
        <w:rPr>
          <w:sz w:val="24"/>
          <w:szCs w:val="24"/>
        </w:rPr>
      </w:pPr>
      <w:r>
        <w:rPr>
          <w:rFonts w:hint="eastAsia"/>
          <w:sz w:val="24"/>
          <w:szCs w:val="24"/>
        </w:rPr>
        <w:t>应用WT、T</w:t>
      </w:r>
      <w:r>
        <w:rPr>
          <w:sz w:val="24"/>
          <w:szCs w:val="24"/>
        </w:rPr>
        <w:t>IPE2</w:t>
      </w:r>
      <w:r>
        <w:rPr>
          <w:sz w:val="24"/>
          <w:szCs w:val="24"/>
          <w:vertAlign w:val="superscript"/>
        </w:rPr>
        <w:t>-/-</w:t>
      </w:r>
      <w:r>
        <w:rPr>
          <w:rFonts w:hint="eastAsia"/>
          <w:sz w:val="24"/>
          <w:szCs w:val="24"/>
        </w:rPr>
        <w:t>和T</w:t>
      </w:r>
      <w:r>
        <w:rPr>
          <w:sz w:val="24"/>
          <w:szCs w:val="24"/>
        </w:rPr>
        <w:t>IPE2</w:t>
      </w:r>
      <w:r>
        <w:rPr>
          <w:rFonts w:hint="eastAsia"/>
          <w:sz w:val="24"/>
          <w:szCs w:val="24"/>
          <w:vertAlign w:val="superscript"/>
        </w:rPr>
        <w:t>+</w:t>
      </w:r>
      <w:r>
        <w:rPr>
          <w:sz w:val="24"/>
          <w:szCs w:val="24"/>
          <w:vertAlign w:val="superscript"/>
        </w:rPr>
        <w:t>/</w:t>
      </w:r>
      <w:r>
        <w:rPr>
          <w:rFonts w:hint="eastAsia"/>
          <w:sz w:val="24"/>
          <w:szCs w:val="24"/>
          <w:vertAlign w:val="superscript"/>
        </w:rPr>
        <w:t>+</w:t>
      </w:r>
      <w:r>
        <w:rPr>
          <w:rFonts w:hint="eastAsia"/>
          <w:sz w:val="24"/>
          <w:szCs w:val="24"/>
        </w:rPr>
        <w:t>小鼠分别构建失血性休克模型，同时设置假手术组，采用W</w:t>
      </w:r>
      <w:r>
        <w:rPr>
          <w:sz w:val="24"/>
          <w:szCs w:val="24"/>
        </w:rPr>
        <w:t>estern blotting</w:t>
      </w:r>
      <w:r>
        <w:rPr>
          <w:rFonts w:hint="eastAsia"/>
          <w:sz w:val="24"/>
          <w:szCs w:val="24"/>
        </w:rPr>
        <w:t>技术检测各组小鼠脾组织TRIM13、LC3、SEC61B的表达。结果如图4A所示，WT Sham组、TIPE2</w:t>
      </w:r>
      <w:r>
        <w:rPr>
          <w:sz w:val="24"/>
          <w:szCs w:val="24"/>
          <w:vertAlign w:val="superscript"/>
        </w:rPr>
        <w:t>-/-</w:t>
      </w:r>
      <w:r>
        <w:rPr>
          <w:rFonts w:hint="eastAsia"/>
          <w:sz w:val="24"/>
          <w:szCs w:val="24"/>
        </w:rPr>
        <w:t xml:space="preserve"> Sham组的TRIM13表达低，而T</w:t>
      </w:r>
      <w:r>
        <w:rPr>
          <w:sz w:val="24"/>
          <w:szCs w:val="24"/>
        </w:rPr>
        <w:t>IPE2</w:t>
      </w:r>
      <w:r>
        <w:rPr>
          <w:rFonts w:hint="eastAsia"/>
          <w:sz w:val="24"/>
          <w:szCs w:val="24"/>
          <w:vertAlign w:val="superscript"/>
        </w:rPr>
        <w:t>+</w:t>
      </w:r>
      <w:r>
        <w:rPr>
          <w:sz w:val="24"/>
          <w:szCs w:val="24"/>
          <w:vertAlign w:val="superscript"/>
        </w:rPr>
        <w:t>/</w:t>
      </w:r>
      <w:r>
        <w:rPr>
          <w:rFonts w:hint="eastAsia"/>
          <w:sz w:val="24"/>
          <w:szCs w:val="24"/>
          <w:vertAlign w:val="superscript"/>
        </w:rPr>
        <w:t>+</w:t>
      </w:r>
      <w:r>
        <w:rPr>
          <w:rFonts w:hint="eastAsia"/>
          <w:sz w:val="24"/>
          <w:szCs w:val="24"/>
        </w:rPr>
        <w:t xml:space="preserve"> Sham组TRIM13的表达高，显示生理状态下TIPE2的表达与TRIM13的表达呈一致的趋势；失血性休克上调了TRIM13的表达，与WT Shock组相比，TIPE2</w:t>
      </w:r>
      <w:r>
        <w:rPr>
          <w:sz w:val="24"/>
          <w:szCs w:val="24"/>
          <w:vertAlign w:val="superscript"/>
        </w:rPr>
        <w:t>-/-</w:t>
      </w:r>
      <w:r>
        <w:rPr>
          <w:rFonts w:hint="eastAsia"/>
          <w:sz w:val="24"/>
          <w:szCs w:val="24"/>
          <w:vertAlign w:val="superscript"/>
        </w:rPr>
        <w:t xml:space="preserve"> </w:t>
      </w:r>
      <w:r>
        <w:rPr>
          <w:rFonts w:hint="eastAsia"/>
          <w:sz w:val="24"/>
          <w:szCs w:val="24"/>
        </w:rPr>
        <w:t>Shock组和TIPE2</w:t>
      </w:r>
      <w:r>
        <w:rPr>
          <w:rFonts w:hint="eastAsia"/>
          <w:sz w:val="24"/>
          <w:szCs w:val="24"/>
          <w:vertAlign w:val="superscript"/>
        </w:rPr>
        <w:t>+</w:t>
      </w:r>
      <w:r>
        <w:rPr>
          <w:sz w:val="24"/>
          <w:szCs w:val="24"/>
          <w:vertAlign w:val="superscript"/>
        </w:rPr>
        <w:t>/</w:t>
      </w:r>
      <w:r>
        <w:rPr>
          <w:rFonts w:hint="eastAsia"/>
          <w:sz w:val="24"/>
          <w:szCs w:val="24"/>
          <w:vertAlign w:val="superscript"/>
        </w:rPr>
        <w:t>+</w:t>
      </w:r>
      <w:r>
        <w:rPr>
          <w:rFonts w:hint="eastAsia"/>
          <w:sz w:val="24"/>
          <w:szCs w:val="24"/>
        </w:rPr>
        <w:t xml:space="preserve"> Shock组TRIM13的表达均降低，提示TIPE2和T</w:t>
      </w:r>
      <w:r>
        <w:rPr>
          <w:rFonts w:hint="eastAsia"/>
          <w:sz w:val="24"/>
          <w:szCs w:val="24"/>
          <w:lang w:val="en-US" w:eastAsia="zh-CN"/>
        </w:rPr>
        <w:t>RIM</w:t>
      </w:r>
      <w:r>
        <w:rPr>
          <w:rFonts w:hint="eastAsia"/>
          <w:sz w:val="24"/>
          <w:szCs w:val="24"/>
        </w:rPr>
        <w:t>13的表达存在相互调控作用。</w:t>
      </w:r>
    </w:p>
    <w:p w14:paraId="3984689D">
      <w:pPr>
        <w:keepNext w:val="0"/>
        <w:keepLines w:val="0"/>
        <w:pageBreakBefore w:val="0"/>
        <w:kinsoku/>
        <w:overflowPunct/>
        <w:topLinePunct w:val="0"/>
        <w:autoSpaceDE/>
        <w:autoSpaceDN/>
        <w:bidi w:val="0"/>
        <w:adjustRightInd/>
        <w:snapToGrid w:val="0"/>
        <w:spacing w:line="360" w:lineRule="auto"/>
        <w:ind w:firstLine="482"/>
        <w:jc w:val="left"/>
        <w:textAlignment w:val="auto"/>
        <w:rPr>
          <w:rFonts w:hint="eastAsia"/>
          <w:sz w:val="24"/>
          <w:szCs w:val="24"/>
        </w:rPr>
      </w:pPr>
      <w:r>
        <w:rPr>
          <w:rFonts w:hint="eastAsia"/>
          <w:sz w:val="24"/>
          <w:szCs w:val="24"/>
        </w:rPr>
        <w:t>与Sham组相比，WT小鼠失血性休克后LC3II/I比值明显升高，SEC61B的表达明显降低，提示小鼠失血性休克后脾组织中内质网自噬水平升高；相较WT Shock组，TIPE2</w:t>
      </w:r>
      <w:r>
        <w:rPr>
          <w:rFonts w:hint="eastAsia"/>
          <w:sz w:val="24"/>
          <w:szCs w:val="24"/>
          <w:vertAlign w:val="superscript"/>
        </w:rPr>
        <w:t xml:space="preserve">-/- </w:t>
      </w:r>
      <w:r>
        <w:rPr>
          <w:rFonts w:hint="eastAsia"/>
          <w:sz w:val="24"/>
          <w:szCs w:val="24"/>
        </w:rPr>
        <w:t>Shock组LC3II/I比值降低，SEC61B的表达升高，提示小鼠在失血性休克状态下，TIPE2缺失后脾组织内质网自噬水平减弱；而TIPE2</w:t>
      </w:r>
      <w:r>
        <w:rPr>
          <w:rFonts w:hint="eastAsia"/>
          <w:sz w:val="24"/>
          <w:szCs w:val="24"/>
          <w:vertAlign w:val="superscript"/>
        </w:rPr>
        <w:t>+/+</w:t>
      </w:r>
      <w:r>
        <w:rPr>
          <w:rFonts w:hint="eastAsia"/>
          <w:sz w:val="24"/>
          <w:szCs w:val="24"/>
        </w:rPr>
        <w:t>小鼠失血性休克后LC3II/I比值和SEC61B的表达无统计学差异；但是TIPE2</w:t>
      </w:r>
      <w:r>
        <w:rPr>
          <w:rFonts w:hint="eastAsia"/>
          <w:sz w:val="24"/>
          <w:szCs w:val="24"/>
          <w:vertAlign w:val="superscript"/>
        </w:rPr>
        <w:t>+/+</w:t>
      </w:r>
      <w:r>
        <w:rPr>
          <w:rFonts w:hint="eastAsia"/>
          <w:sz w:val="24"/>
          <w:szCs w:val="24"/>
        </w:rPr>
        <w:t>小鼠较TIPE2</w:t>
      </w:r>
      <w:r>
        <w:rPr>
          <w:rFonts w:hint="eastAsia"/>
          <w:sz w:val="24"/>
          <w:szCs w:val="24"/>
          <w:vertAlign w:val="superscript"/>
        </w:rPr>
        <w:t>-/-</w:t>
      </w:r>
      <w:r>
        <w:rPr>
          <w:rFonts w:hint="eastAsia"/>
          <w:sz w:val="24"/>
          <w:szCs w:val="24"/>
        </w:rPr>
        <w:t>小鼠失血性休克后LC3II/I比值明显升高，SEC61B的表达明显降低，提示小鼠在失血性休克状态下，TIPE2的过表达会增强脾组织内质网自噬水平。以上结果表明，TIPE2可影响小鼠失血性休克后脾组织内质网自噬水平。</w:t>
      </w:r>
    </w:p>
    <w:p w14:paraId="61A35C81">
      <w:pPr>
        <w:keepNext w:val="0"/>
        <w:keepLines w:val="0"/>
        <w:pageBreakBefore w:val="0"/>
        <w:kinsoku/>
        <w:overflowPunct/>
        <w:topLinePunct w:val="0"/>
        <w:autoSpaceDE/>
        <w:autoSpaceDN/>
        <w:bidi w:val="0"/>
        <w:adjustRightInd/>
        <w:snapToGrid w:val="0"/>
        <w:spacing w:line="360" w:lineRule="auto"/>
        <w:jc w:val="center"/>
        <w:textAlignment w:val="auto"/>
        <w:rPr>
          <w:rFonts w:hint="eastAsia"/>
          <w:sz w:val="24"/>
          <w:szCs w:val="24"/>
        </w:rPr>
      </w:pPr>
      <w:r>
        <w:rPr>
          <w:rFonts w:hint="eastAsia"/>
          <w:sz w:val="24"/>
          <w:szCs w:val="24"/>
        </w:rPr>
        <w:drawing>
          <wp:inline distT="0" distB="0" distL="114300" distR="114300">
            <wp:extent cx="4175125" cy="3695065"/>
            <wp:effectExtent l="0" t="0" r="6350" b="635"/>
            <wp:docPr id="20" name="图片 20" descr="d3ac006ae07a6e199d2a66b55c6c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7640" name="图片 20" descr="d3ac006ae07a6e199d2a66b55c6c24f"/>
                    <pic:cNvPicPr>
                      <a:picLocks noChangeAspect="1"/>
                    </pic:cNvPicPr>
                  </pic:nvPicPr>
                  <pic:blipFill>
                    <a:blip xmlns:r="http://schemas.openxmlformats.org/officeDocument/2006/relationships" r:embed="rId14"/>
                    <a:stretch>
                      <a:fillRect/>
                    </a:stretch>
                  </pic:blipFill>
                  <pic:spPr>
                    <a:xfrm>
                      <a:off x="0" y="0"/>
                      <a:ext cx="4175125" cy="3695065"/>
                    </a:xfrm>
                    <a:prstGeom prst="rect">
                      <a:avLst/>
                    </a:prstGeom>
                  </pic:spPr>
                </pic:pic>
              </a:graphicData>
            </a:graphic>
          </wp:inline>
        </w:drawing>
      </w:r>
    </w:p>
    <w:p w14:paraId="76149348">
      <w:pPr>
        <w:keepNext w:val="0"/>
        <w:keepLines w:val="0"/>
        <w:pageBreakBefore w:val="0"/>
        <w:kinsoku/>
        <w:overflowPunct/>
        <w:topLinePunct w:val="0"/>
        <w:autoSpaceDE/>
        <w:autoSpaceDN/>
        <w:bidi w:val="0"/>
        <w:adjustRightInd/>
        <w:snapToGrid w:val="0"/>
        <w:spacing w:line="360" w:lineRule="auto"/>
        <w:ind w:firstLine="482"/>
        <w:jc w:val="center"/>
        <w:textAlignment w:val="auto"/>
        <w:rPr>
          <w:rFonts w:hint="eastAsia"/>
          <w:sz w:val="24"/>
          <w:szCs w:val="24"/>
        </w:rPr>
      </w:pPr>
      <w:r>
        <w:rPr>
          <w:rFonts w:hint="eastAsia"/>
          <w:sz w:val="24"/>
          <w:szCs w:val="24"/>
        </w:rPr>
        <w:t>图4 TIPE2表达对失血性休克后脾组织内质网自噬水平变化的影响</w:t>
      </w:r>
    </w:p>
    <w:p w14:paraId="79AD2C63">
      <w:pPr>
        <w:keepNext w:val="0"/>
        <w:keepLines w:val="0"/>
        <w:pageBreakBefore w:val="0"/>
        <w:widowControl w:val="0"/>
        <w:kinsoku/>
        <w:wordWrap/>
        <w:overflowPunct/>
        <w:topLinePunct w:val="0"/>
        <w:autoSpaceDE/>
        <w:autoSpaceDN/>
        <w:bidi w:val="0"/>
        <w:adjustRightInd/>
        <w:snapToGrid w:val="0"/>
        <w:spacing w:line="360" w:lineRule="auto"/>
        <w:ind w:firstLine="482"/>
        <w:textAlignment w:val="auto"/>
        <w:rPr>
          <w:rFonts w:hint="eastAsia"/>
          <w:sz w:val="24"/>
          <w:szCs w:val="24"/>
          <w:lang w:val="en-GB"/>
        </w:rPr>
      </w:pPr>
      <w:r>
        <w:rPr>
          <w:rFonts w:hint="eastAsia"/>
          <w:sz w:val="24"/>
          <w:szCs w:val="24"/>
        </w:rPr>
        <w:t>1.2.</w:t>
      </w:r>
      <w:r>
        <w:rPr>
          <w:rFonts w:hint="eastAsia"/>
          <w:sz w:val="24"/>
          <w:szCs w:val="24"/>
          <w:lang w:val="en-US" w:eastAsia="zh-CN"/>
        </w:rPr>
        <w:t>5</w:t>
      </w:r>
      <w:r>
        <w:rPr>
          <w:rFonts w:hint="eastAsia"/>
          <w:sz w:val="24"/>
          <w:szCs w:val="24"/>
        </w:rPr>
        <w:t xml:space="preserve"> </w:t>
      </w:r>
      <w:r>
        <w:rPr>
          <w:rFonts w:hint="eastAsia"/>
          <w:sz w:val="24"/>
          <w:szCs w:val="24"/>
          <w:lang w:val="en-GB"/>
        </w:rPr>
        <w:t>LPS刺激对DC2.4</w:t>
      </w:r>
      <w:r>
        <w:rPr>
          <w:rFonts w:hint="eastAsia"/>
          <w:sz w:val="24"/>
          <w:szCs w:val="24"/>
          <w:lang w:val="en-US" w:eastAsia="zh-CN"/>
        </w:rPr>
        <w:t>细胞</w:t>
      </w:r>
      <w:r>
        <w:rPr>
          <w:rFonts w:hint="eastAsia"/>
          <w:sz w:val="24"/>
          <w:szCs w:val="24"/>
          <w:lang w:val="en-GB"/>
        </w:rPr>
        <w:t>TRIM13和ER-phagy的影响</w:t>
      </w:r>
    </w:p>
    <w:p w14:paraId="5287D59C">
      <w:pPr>
        <w:keepNext w:val="0"/>
        <w:keepLines w:val="0"/>
        <w:pageBreakBefore w:val="0"/>
        <w:widowControl w:val="0"/>
        <w:kinsoku/>
        <w:wordWrap/>
        <w:overflowPunct/>
        <w:topLinePunct w:val="0"/>
        <w:autoSpaceDE/>
        <w:autoSpaceDN/>
        <w:bidi w:val="0"/>
        <w:adjustRightInd/>
        <w:snapToGrid w:val="0"/>
        <w:spacing w:line="360" w:lineRule="auto"/>
        <w:ind w:firstLine="482"/>
        <w:textAlignment w:val="auto"/>
        <w:rPr>
          <w:rFonts w:hint="eastAsia"/>
          <w:sz w:val="24"/>
          <w:szCs w:val="24"/>
          <w:lang w:val="en-GB"/>
        </w:rPr>
      </w:pPr>
      <w:r>
        <w:rPr>
          <w:rFonts w:hint="eastAsia"/>
          <w:sz w:val="24"/>
          <w:szCs w:val="24"/>
          <w:lang w:val="en-US" w:eastAsia="zh-CN"/>
        </w:rPr>
        <w:t>预实验</w:t>
      </w:r>
      <w:r>
        <w:rPr>
          <w:rFonts w:hint="eastAsia"/>
          <w:sz w:val="24"/>
          <w:szCs w:val="24"/>
        </w:rPr>
        <w:t>应</w:t>
      </w:r>
      <w:r>
        <w:rPr>
          <w:rFonts w:hint="eastAsia"/>
          <w:sz w:val="24"/>
          <w:szCs w:val="24"/>
          <w:lang w:val="en-GB"/>
        </w:rPr>
        <w:t>用LPS（1</w:t>
      </w:r>
      <w:r>
        <w:rPr>
          <w:color w:val="auto"/>
          <w:szCs w:val="28"/>
          <w:lang w:val="en-GB" w:eastAsia="zh-TW"/>
        </w:rPr>
        <w:t>μ</w:t>
      </w:r>
      <w:r>
        <w:rPr>
          <w:color w:val="auto"/>
          <w:szCs w:val="28"/>
          <w:lang w:val="en-GB"/>
        </w:rPr>
        <w:t>g/mL</w:t>
      </w:r>
      <w:r>
        <w:rPr>
          <w:rFonts w:hint="eastAsia"/>
          <w:sz w:val="24"/>
          <w:szCs w:val="24"/>
          <w:lang w:val="en-GB"/>
        </w:rPr>
        <w:t>）刺激DC2.4，培养12h和24h后</w:t>
      </w:r>
      <w:r>
        <w:rPr>
          <w:rFonts w:hint="eastAsia"/>
          <w:sz w:val="24"/>
          <w:szCs w:val="24"/>
        </w:rPr>
        <w:t>分别</w:t>
      </w:r>
      <w:r>
        <w:rPr>
          <w:rFonts w:hint="eastAsia"/>
          <w:sz w:val="24"/>
          <w:szCs w:val="24"/>
          <w:lang w:val="en-GB"/>
        </w:rPr>
        <w:t>收集细胞，提取细胞总蛋白，采用Western Blotting分析TRIM13蛋白表达变化。</w:t>
      </w:r>
      <w:bookmarkStart w:id="74" w:name="OLE_LINK17"/>
      <w:r>
        <w:rPr>
          <w:rFonts w:hint="eastAsia"/>
          <w:sz w:val="24"/>
          <w:szCs w:val="24"/>
          <w:lang w:val="en-GB"/>
        </w:rPr>
        <w:t>结果如图</w:t>
      </w:r>
      <w:r>
        <w:rPr>
          <w:rFonts w:hint="eastAsia"/>
          <w:sz w:val="24"/>
          <w:szCs w:val="24"/>
          <w:lang w:val="en-US" w:eastAsia="zh-CN"/>
        </w:rPr>
        <w:t>5</w:t>
      </w:r>
      <w:r>
        <w:rPr>
          <w:rFonts w:hint="eastAsia"/>
          <w:sz w:val="24"/>
          <w:szCs w:val="24"/>
          <w:lang w:val="en-GB"/>
        </w:rPr>
        <w:t>所示，TRIM13 蛋白表达随LPS刺激时间的延长呈显著增加。</w:t>
      </w:r>
      <w:bookmarkEnd w:id="74"/>
      <w:bookmarkStart w:id="75" w:name="OLE_LINK18"/>
    </w:p>
    <w:p w14:paraId="0D37D970">
      <w:pPr>
        <w:keepNext w:val="0"/>
        <w:keepLines w:val="0"/>
        <w:pageBreakBefore w:val="0"/>
        <w:kinsoku/>
        <w:overflowPunct/>
        <w:topLinePunct w:val="0"/>
        <w:autoSpaceDE/>
        <w:autoSpaceDN/>
        <w:bidi w:val="0"/>
        <w:adjustRightInd/>
        <w:snapToGrid w:val="0"/>
        <w:spacing w:line="360" w:lineRule="auto"/>
        <w:ind w:firstLine="0" w:firstLineChars="0"/>
        <w:jc w:val="center"/>
        <w:textAlignment w:val="auto"/>
        <w:rPr>
          <w:rFonts w:hint="eastAsia"/>
          <w:sz w:val="24"/>
          <w:szCs w:val="24"/>
          <w:lang w:val="en-GB"/>
        </w:rPr>
      </w:pPr>
      <w:r>
        <w:rPr>
          <w:rFonts w:hint="eastAsia"/>
          <w:sz w:val="24"/>
          <w:szCs w:val="24"/>
          <w:lang w:val="en-GB"/>
        </w:rPr>
        <w:drawing>
          <wp:inline distT="0" distB="0" distL="0" distR="0">
            <wp:extent cx="4187825" cy="2459355"/>
            <wp:effectExtent l="0" t="0" r="0" b="0"/>
            <wp:docPr id="15126068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2157" name="图片 15"/>
                    <pic:cNvPicPr>
                      <a:picLocks noChangeAspect="1"/>
                    </pic:cNvPicPr>
                  </pic:nvPicPr>
                  <pic:blipFill>
                    <a:blip xmlns:r="http://schemas.openxmlformats.org/officeDocument/2006/relationships" r:embed="rId15"/>
                    <a:stretch>
                      <a:fillRect/>
                    </a:stretch>
                  </pic:blipFill>
                  <pic:spPr>
                    <a:xfrm>
                      <a:off x="0" y="0"/>
                      <a:ext cx="4233268" cy="2459355"/>
                    </a:xfrm>
                    <a:prstGeom prst="rect">
                      <a:avLst/>
                    </a:prstGeom>
                  </pic:spPr>
                </pic:pic>
              </a:graphicData>
            </a:graphic>
          </wp:inline>
        </w:drawing>
      </w:r>
    </w:p>
    <w:p w14:paraId="372B4A4C">
      <w:pPr>
        <w:keepNext w:val="0"/>
        <w:keepLines w:val="0"/>
        <w:pageBreakBefore w:val="0"/>
        <w:kinsoku/>
        <w:overflowPunct/>
        <w:topLinePunct w:val="0"/>
        <w:autoSpaceDE/>
        <w:autoSpaceDN/>
        <w:bidi w:val="0"/>
        <w:adjustRightInd/>
        <w:snapToGrid w:val="0"/>
        <w:spacing w:line="360" w:lineRule="auto"/>
        <w:ind w:firstLine="0" w:firstLineChars="0"/>
        <w:jc w:val="center"/>
        <w:textAlignment w:val="auto"/>
        <w:rPr>
          <w:rFonts w:hint="eastAsia"/>
          <w:sz w:val="24"/>
          <w:szCs w:val="24"/>
          <w:lang w:val="en-GB"/>
        </w:rPr>
      </w:pPr>
      <w:r>
        <w:rPr>
          <w:rFonts w:hint="eastAsia"/>
          <w:sz w:val="24"/>
          <w:szCs w:val="24"/>
          <w:lang w:val="en-GB"/>
        </w:rPr>
        <w:t>图</w:t>
      </w:r>
      <w:r>
        <w:rPr>
          <w:rFonts w:hint="eastAsia"/>
          <w:sz w:val="24"/>
          <w:szCs w:val="24"/>
          <w:lang w:val="en-US" w:eastAsia="zh-CN"/>
        </w:rPr>
        <w:t>5</w:t>
      </w:r>
      <w:r>
        <w:rPr>
          <w:rFonts w:hint="eastAsia"/>
          <w:sz w:val="24"/>
          <w:szCs w:val="24"/>
          <w:lang w:val="en-GB"/>
        </w:rPr>
        <w:t xml:space="preserve">  LPS刺激DC2.4</w:t>
      </w:r>
      <w:r>
        <w:rPr>
          <w:rFonts w:hint="eastAsia"/>
          <w:sz w:val="24"/>
          <w:szCs w:val="24"/>
        </w:rPr>
        <w:t>后</w:t>
      </w:r>
      <w:r>
        <w:rPr>
          <w:rFonts w:hint="eastAsia"/>
          <w:sz w:val="24"/>
          <w:szCs w:val="24"/>
          <w:lang w:val="en-GB"/>
        </w:rPr>
        <w:t>TRIM13表达变化</w:t>
      </w:r>
    </w:p>
    <w:p w14:paraId="520FFF18">
      <w:pPr>
        <w:keepNext w:val="0"/>
        <w:keepLines w:val="0"/>
        <w:pageBreakBefore w:val="0"/>
        <w:kinsoku/>
        <w:overflowPunct/>
        <w:topLinePunct w:val="0"/>
        <w:autoSpaceDE/>
        <w:autoSpaceDN/>
        <w:bidi w:val="0"/>
        <w:adjustRightInd/>
        <w:snapToGrid w:val="0"/>
        <w:spacing w:line="360" w:lineRule="auto"/>
        <w:ind w:firstLine="482"/>
        <w:textAlignment w:val="auto"/>
        <w:rPr>
          <w:rFonts w:hint="eastAsia"/>
          <w:sz w:val="24"/>
          <w:szCs w:val="24"/>
          <w:lang w:val="en-GB"/>
        </w:rPr>
      </w:pPr>
      <w:r>
        <w:rPr>
          <w:rFonts w:hint="eastAsia"/>
          <w:sz w:val="24"/>
          <w:szCs w:val="24"/>
          <w:lang w:val="en-GB"/>
        </w:rPr>
        <w:t>进一步使用透射电子显微镜观察各组细胞ER形态变化。观察结果显示，同对照组（Control）相比，LPS刺激后DC2.4细胞出现明显的ER肿胀、紊乱，自噬体和包含有ER结构的自噬体明显增多</w:t>
      </w:r>
      <w:r>
        <w:rPr>
          <w:rFonts w:hint="eastAsia"/>
          <w:sz w:val="24"/>
          <w:szCs w:val="24"/>
        </w:rPr>
        <w:t>（见图</w:t>
      </w:r>
      <w:r>
        <w:rPr>
          <w:rFonts w:hint="eastAsia"/>
          <w:sz w:val="24"/>
          <w:szCs w:val="24"/>
          <w:lang w:val="en-US" w:eastAsia="zh-CN"/>
        </w:rPr>
        <w:t>6</w:t>
      </w:r>
      <w:r>
        <w:rPr>
          <w:rFonts w:hint="eastAsia"/>
          <w:sz w:val="24"/>
          <w:szCs w:val="24"/>
        </w:rPr>
        <w:t>）</w:t>
      </w:r>
      <w:r>
        <w:rPr>
          <w:rFonts w:hint="eastAsia"/>
          <w:sz w:val="24"/>
          <w:szCs w:val="24"/>
          <w:lang w:val="en-GB"/>
        </w:rPr>
        <w:t>。</w:t>
      </w:r>
      <w:bookmarkEnd w:id="75"/>
    </w:p>
    <w:p w14:paraId="3E9C7C8A">
      <w:pPr>
        <w:keepNext w:val="0"/>
        <w:keepLines w:val="0"/>
        <w:pageBreakBefore w:val="0"/>
        <w:kinsoku/>
        <w:overflowPunct/>
        <w:topLinePunct w:val="0"/>
        <w:autoSpaceDE/>
        <w:autoSpaceDN/>
        <w:bidi w:val="0"/>
        <w:adjustRightInd/>
        <w:snapToGrid w:val="0"/>
        <w:spacing w:line="360" w:lineRule="auto"/>
        <w:ind w:firstLine="0" w:firstLineChars="0"/>
        <w:jc w:val="center"/>
        <w:textAlignment w:val="auto"/>
        <w:rPr>
          <w:rFonts w:hint="eastAsia"/>
          <w:sz w:val="24"/>
          <w:szCs w:val="24"/>
          <w:lang w:eastAsia="zh-TW"/>
        </w:rPr>
      </w:pPr>
      <w:r>
        <w:rPr>
          <w:rFonts w:hint="eastAsia"/>
          <w:sz w:val="24"/>
          <w:szCs w:val="24"/>
          <w:lang w:eastAsia="zh-TW"/>
        </w:rPr>
        <w:drawing>
          <wp:inline distT="0" distB="0" distL="0" distR="0">
            <wp:extent cx="5616575" cy="2945130"/>
            <wp:effectExtent l="0" t="0" r="3175" b="7620"/>
            <wp:docPr id="37882437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62432" name="图片 13"/>
                    <pic:cNvPicPr>
                      <a:picLocks noChangeAspect="1"/>
                    </pic:cNvPicPr>
                  </pic:nvPicPr>
                  <pic:blipFill>
                    <a:blip xmlns:r="http://schemas.openxmlformats.org/officeDocument/2006/relationships" r:embed="rId16"/>
                    <a:stretch>
                      <a:fillRect/>
                    </a:stretch>
                  </pic:blipFill>
                  <pic:spPr>
                    <a:xfrm>
                      <a:off x="0" y="0"/>
                      <a:ext cx="5616575" cy="2945130"/>
                    </a:xfrm>
                    <a:prstGeom prst="rect">
                      <a:avLst/>
                    </a:prstGeom>
                  </pic:spPr>
                </pic:pic>
              </a:graphicData>
            </a:graphic>
          </wp:inline>
        </w:drawing>
      </w:r>
    </w:p>
    <w:p w14:paraId="401DD261">
      <w:pPr>
        <w:keepNext w:val="0"/>
        <w:keepLines w:val="0"/>
        <w:pageBreakBefore w:val="0"/>
        <w:kinsoku/>
        <w:overflowPunct/>
        <w:topLinePunct w:val="0"/>
        <w:autoSpaceDE/>
        <w:autoSpaceDN/>
        <w:bidi w:val="0"/>
        <w:adjustRightInd/>
        <w:snapToGrid w:val="0"/>
        <w:spacing w:line="360" w:lineRule="auto"/>
        <w:ind w:firstLine="0" w:firstLineChars="0"/>
        <w:jc w:val="center"/>
        <w:textAlignment w:val="auto"/>
        <w:rPr>
          <w:rFonts w:hint="eastAsia"/>
          <w:sz w:val="24"/>
          <w:szCs w:val="24"/>
          <w:lang w:val="en-GB"/>
        </w:rPr>
      </w:pPr>
      <w:r>
        <w:rPr>
          <w:rFonts w:hint="eastAsia"/>
          <w:sz w:val="24"/>
          <w:szCs w:val="24"/>
          <w:lang w:val="en-GB"/>
        </w:rPr>
        <w:t>图</w:t>
      </w:r>
      <w:r>
        <w:rPr>
          <w:rFonts w:hint="eastAsia"/>
          <w:sz w:val="24"/>
          <w:szCs w:val="24"/>
          <w:lang w:val="en-US" w:eastAsia="zh-CN"/>
        </w:rPr>
        <w:t>6</w:t>
      </w:r>
      <w:r>
        <w:rPr>
          <w:rFonts w:hint="eastAsia"/>
          <w:sz w:val="24"/>
          <w:szCs w:val="24"/>
          <w:lang w:val="en-GB"/>
        </w:rPr>
        <w:t xml:space="preserve"> TEM观察LPS刺激DC2.4中ER形态和含有ER结构自噬体的变化</w:t>
      </w:r>
    </w:p>
    <w:p w14:paraId="40423CCC">
      <w:pPr>
        <w:keepNext w:val="0"/>
        <w:keepLines w:val="0"/>
        <w:pageBreakBefore w:val="0"/>
        <w:kinsoku/>
        <w:overflowPunct/>
        <w:topLinePunct w:val="0"/>
        <w:autoSpaceDE/>
        <w:autoSpaceDN/>
        <w:bidi w:val="0"/>
        <w:adjustRightInd/>
        <w:snapToGrid w:val="0"/>
        <w:spacing w:line="360" w:lineRule="auto"/>
        <w:ind w:firstLine="0" w:firstLineChars="0"/>
        <w:jc w:val="left"/>
        <w:textAlignment w:val="auto"/>
        <w:rPr>
          <w:rFonts w:hint="eastAsia"/>
          <w:sz w:val="24"/>
          <w:szCs w:val="24"/>
          <w:lang w:val="en-GB"/>
        </w:rPr>
      </w:pPr>
      <w:r>
        <w:rPr>
          <w:rFonts w:hint="eastAsia"/>
          <w:sz w:val="24"/>
          <w:szCs w:val="24"/>
          <w:lang w:val="en-US" w:eastAsia="zh-CN"/>
        </w:rPr>
        <w:t xml:space="preserve">    </w:t>
      </w:r>
      <w:r>
        <w:rPr>
          <w:rFonts w:hint="eastAsia"/>
          <w:sz w:val="24"/>
          <w:szCs w:val="24"/>
          <w:lang w:val="en-GB"/>
        </w:rPr>
        <w:t>我们通过共聚焦显微镜观察各组细胞中ER和自噬体共定位情况，结果显示，同对照组相比，LPS刺激后DC2.4细胞中LC3（绿色）荧光强度明显增强、数量明显增多，同ER-Tracker（红色）共定位程度也明显增强</w:t>
      </w:r>
      <w:r>
        <w:rPr>
          <w:rFonts w:hint="eastAsia"/>
          <w:sz w:val="24"/>
          <w:szCs w:val="24"/>
        </w:rPr>
        <w:t>（见图</w:t>
      </w:r>
      <w:r>
        <w:rPr>
          <w:rFonts w:hint="eastAsia"/>
          <w:sz w:val="24"/>
          <w:szCs w:val="24"/>
          <w:lang w:val="en-US" w:eastAsia="zh-CN"/>
        </w:rPr>
        <w:t>7</w:t>
      </w:r>
      <w:r>
        <w:rPr>
          <w:rFonts w:hint="eastAsia"/>
          <w:sz w:val="24"/>
          <w:szCs w:val="24"/>
        </w:rPr>
        <w:t>）</w:t>
      </w:r>
      <w:r>
        <w:rPr>
          <w:rFonts w:hint="eastAsia"/>
          <w:sz w:val="24"/>
          <w:szCs w:val="24"/>
          <w:lang w:val="en-GB"/>
        </w:rPr>
        <w:t>。</w:t>
      </w:r>
    </w:p>
    <w:p w14:paraId="0717FEDF">
      <w:pPr>
        <w:keepNext w:val="0"/>
        <w:keepLines w:val="0"/>
        <w:pageBreakBefore w:val="0"/>
        <w:kinsoku/>
        <w:overflowPunct/>
        <w:topLinePunct w:val="0"/>
        <w:autoSpaceDE/>
        <w:autoSpaceDN/>
        <w:bidi w:val="0"/>
        <w:adjustRightInd/>
        <w:snapToGrid w:val="0"/>
        <w:spacing w:line="360" w:lineRule="auto"/>
        <w:ind w:firstLine="0" w:firstLineChars="0"/>
        <w:jc w:val="center"/>
        <w:textAlignment w:val="auto"/>
        <w:rPr>
          <w:rFonts w:hint="eastAsia"/>
          <w:sz w:val="24"/>
          <w:szCs w:val="24"/>
          <w:lang w:val="en-GB"/>
        </w:rPr>
      </w:pPr>
      <w:r>
        <w:rPr>
          <w:rFonts w:hint="eastAsia"/>
          <w:sz w:val="24"/>
          <w:szCs w:val="24"/>
          <w:lang w:val="en-GB"/>
        </w:rPr>
        <w:drawing>
          <wp:inline distT="0" distB="0" distL="0" distR="0">
            <wp:extent cx="4975860" cy="3068320"/>
            <wp:effectExtent l="0" t="0" r="5715" b="8255"/>
            <wp:docPr id="138810430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92586" name="图片 26"/>
                    <pic:cNvPicPr>
                      <a:picLocks noChangeAspect="1"/>
                    </pic:cNvPicPr>
                  </pic:nvPicPr>
                  <pic:blipFill>
                    <a:blip xmlns:r="http://schemas.openxmlformats.org/officeDocument/2006/relationships" r:embed="rId17"/>
                    <a:stretch>
                      <a:fillRect/>
                    </a:stretch>
                  </pic:blipFill>
                  <pic:spPr>
                    <a:xfrm>
                      <a:off x="0" y="0"/>
                      <a:ext cx="4975860" cy="3068320"/>
                    </a:xfrm>
                    <a:prstGeom prst="rect">
                      <a:avLst/>
                    </a:prstGeom>
                  </pic:spPr>
                </pic:pic>
              </a:graphicData>
            </a:graphic>
          </wp:inline>
        </w:drawing>
      </w:r>
    </w:p>
    <w:p w14:paraId="7703D364">
      <w:pPr>
        <w:keepNext w:val="0"/>
        <w:keepLines w:val="0"/>
        <w:pageBreakBefore w:val="0"/>
        <w:kinsoku/>
        <w:overflowPunct/>
        <w:topLinePunct w:val="0"/>
        <w:autoSpaceDE/>
        <w:autoSpaceDN/>
        <w:bidi w:val="0"/>
        <w:adjustRightInd/>
        <w:snapToGrid w:val="0"/>
        <w:spacing w:line="360" w:lineRule="auto"/>
        <w:ind w:firstLine="0" w:firstLineChars="0"/>
        <w:jc w:val="center"/>
        <w:textAlignment w:val="auto"/>
        <w:rPr>
          <w:rFonts w:hint="eastAsia"/>
          <w:sz w:val="24"/>
          <w:szCs w:val="24"/>
          <w:lang w:val="en-GB"/>
        </w:rPr>
      </w:pPr>
      <w:r>
        <w:rPr>
          <w:rFonts w:hint="eastAsia"/>
          <w:sz w:val="24"/>
          <w:szCs w:val="24"/>
          <w:lang w:val="en-GB"/>
        </w:rPr>
        <w:t>图</w:t>
      </w:r>
      <w:r>
        <w:rPr>
          <w:rFonts w:hint="eastAsia"/>
          <w:sz w:val="24"/>
          <w:szCs w:val="24"/>
          <w:lang w:val="en-US" w:eastAsia="zh-CN"/>
        </w:rPr>
        <w:t>7</w:t>
      </w:r>
      <w:r>
        <w:rPr>
          <w:rFonts w:hint="eastAsia"/>
          <w:sz w:val="24"/>
          <w:szCs w:val="24"/>
          <w:lang w:val="en-GB"/>
        </w:rPr>
        <w:t>激光共聚焦显微镜观察LPS刺激条件下DC2.4 ER-phagy的活化</w:t>
      </w:r>
    </w:p>
    <w:p w14:paraId="5197043F">
      <w:pPr>
        <w:keepNext w:val="0"/>
        <w:keepLines w:val="0"/>
        <w:pageBreakBefore w:val="0"/>
        <w:kinsoku/>
        <w:overflowPunct/>
        <w:topLinePunct w:val="0"/>
        <w:autoSpaceDE/>
        <w:autoSpaceDN/>
        <w:bidi w:val="0"/>
        <w:adjustRightInd/>
        <w:snapToGrid w:val="0"/>
        <w:spacing w:line="360" w:lineRule="auto"/>
        <w:ind w:firstLine="482"/>
        <w:textAlignment w:val="auto"/>
        <w:rPr>
          <w:rFonts w:hint="eastAsia"/>
          <w:sz w:val="24"/>
          <w:szCs w:val="24"/>
          <w:lang w:val="en-GB"/>
        </w:rPr>
      </w:pPr>
      <w:r>
        <w:rPr>
          <w:rFonts w:hint="eastAsia"/>
          <w:sz w:val="24"/>
          <w:szCs w:val="24"/>
          <w:lang w:val="en-GB"/>
        </w:rPr>
        <w:t>结合Western Blotting和透射电镜观察结果提示，LPS刺激后DC2.4的TRIM13蛋白表达明显升高，ER-phagy强度也明显增加。由于在CLP术后以及LPS刺激后24 h均出现明显的TRIM13表达和ER-phagy强度的增加。</w:t>
      </w:r>
    </w:p>
    <w:p w14:paraId="07F7F574">
      <w:pPr>
        <w:keepNext w:val="0"/>
        <w:keepLines w:val="0"/>
        <w:pageBreakBefore w:val="0"/>
        <w:kinsoku/>
        <w:overflowPunct/>
        <w:topLinePunct w:val="0"/>
        <w:autoSpaceDE/>
        <w:autoSpaceDN/>
        <w:bidi w:val="0"/>
        <w:adjustRightInd/>
        <w:snapToGrid w:val="0"/>
        <w:spacing w:line="360" w:lineRule="auto"/>
        <w:ind w:firstLine="480" w:firstLineChars="200"/>
        <w:jc w:val="left"/>
        <w:textAlignment w:val="auto"/>
        <w:rPr>
          <w:rFonts w:hint="eastAsia"/>
          <w:sz w:val="24"/>
          <w:szCs w:val="24"/>
          <w:lang w:val="en-GB"/>
        </w:rPr>
      </w:pPr>
      <w:r>
        <w:rPr>
          <w:rFonts w:hint="eastAsia"/>
          <w:sz w:val="24"/>
          <w:szCs w:val="24"/>
        </w:rPr>
        <w:t>1.2.</w:t>
      </w:r>
      <w:r>
        <w:rPr>
          <w:rFonts w:hint="eastAsia"/>
          <w:sz w:val="24"/>
          <w:szCs w:val="24"/>
          <w:lang w:val="en-US" w:eastAsia="zh-CN"/>
        </w:rPr>
        <w:t>6</w:t>
      </w:r>
      <w:r>
        <w:rPr>
          <w:rFonts w:hint="eastAsia"/>
          <w:sz w:val="24"/>
          <w:szCs w:val="24"/>
        </w:rPr>
        <w:t xml:space="preserve"> </w:t>
      </w:r>
      <w:r>
        <w:rPr>
          <w:rFonts w:hint="eastAsia"/>
          <w:sz w:val="24"/>
          <w:szCs w:val="24"/>
          <w:lang w:val="en-GB"/>
        </w:rPr>
        <w:t>Trim13基因</w:t>
      </w:r>
      <w:r>
        <w:rPr>
          <w:rFonts w:hint="eastAsia"/>
          <w:sz w:val="24"/>
          <w:szCs w:val="24"/>
        </w:rPr>
        <w:t>缺陷对</w:t>
      </w:r>
      <w:r>
        <w:rPr>
          <w:rFonts w:hint="eastAsia"/>
          <w:sz w:val="24"/>
          <w:szCs w:val="24"/>
          <w:lang w:val="en-GB"/>
        </w:rPr>
        <w:t>脓毒症时DC功能的影响</w:t>
      </w:r>
    </w:p>
    <w:p w14:paraId="37B559F4">
      <w:pPr>
        <w:keepNext w:val="0"/>
        <w:keepLines w:val="0"/>
        <w:pageBreakBefore w:val="0"/>
        <w:kinsoku/>
        <w:overflowPunct/>
        <w:topLinePunct w:val="0"/>
        <w:autoSpaceDE/>
        <w:autoSpaceDN/>
        <w:bidi w:val="0"/>
        <w:adjustRightInd/>
        <w:snapToGrid w:val="0"/>
        <w:spacing w:line="360" w:lineRule="auto"/>
        <w:ind w:firstLine="480" w:firstLineChars="200"/>
        <w:jc w:val="both"/>
        <w:textAlignment w:val="auto"/>
        <w:rPr>
          <w:rFonts w:hint="eastAsia"/>
          <w:sz w:val="24"/>
          <w:szCs w:val="24"/>
          <w:lang w:val="en-GB" w:eastAsia="zh-CN"/>
        </w:rPr>
      </w:pPr>
      <w:r>
        <w:rPr>
          <w:rFonts w:hint="eastAsia"/>
          <w:sz w:val="24"/>
          <w:szCs w:val="24"/>
          <w:lang w:val="en-GB"/>
        </w:rPr>
        <w:t>为了研究TRIM13对脓毒症后DC功能的影响，应用DC Trim13基因条件性敲除（Cd11c</w:t>
      </w:r>
      <w:r>
        <w:rPr>
          <w:rFonts w:hint="eastAsia"/>
          <w:sz w:val="24"/>
          <w:szCs w:val="24"/>
          <w:vertAlign w:val="superscript"/>
          <w:lang w:val="en-GB"/>
        </w:rPr>
        <w:t>cre</w:t>
      </w:r>
      <w:r>
        <w:rPr>
          <w:rFonts w:hint="eastAsia"/>
          <w:sz w:val="24"/>
          <w:szCs w:val="24"/>
          <w:lang w:val="en-GB"/>
        </w:rPr>
        <w:t>Trim13</w:t>
      </w:r>
      <w:r>
        <w:rPr>
          <w:rFonts w:hint="eastAsia"/>
          <w:sz w:val="24"/>
          <w:szCs w:val="24"/>
          <w:vertAlign w:val="superscript"/>
          <w:lang w:val="en-GB"/>
        </w:rPr>
        <w:t>fl/fl</w:t>
      </w:r>
      <w:r>
        <w:rPr>
          <w:rFonts w:hint="eastAsia"/>
          <w:sz w:val="24"/>
          <w:szCs w:val="24"/>
          <w:lang w:val="en-GB"/>
        </w:rPr>
        <w:t>）小鼠和Trim13</w:t>
      </w:r>
      <w:r>
        <w:rPr>
          <w:rFonts w:hint="eastAsia"/>
          <w:sz w:val="24"/>
          <w:szCs w:val="24"/>
          <w:vertAlign w:val="superscript"/>
          <w:lang w:val="en-GB"/>
        </w:rPr>
        <w:t>fl/fl</w:t>
      </w:r>
      <w:r>
        <w:rPr>
          <w:rFonts w:hint="eastAsia"/>
          <w:sz w:val="24"/>
          <w:szCs w:val="24"/>
          <w:lang w:val="en-GB"/>
        </w:rPr>
        <w:t>小鼠（对照组）CLP造模24 h后，免疫磁珠分选脾脏DC，流式细胞术检测DC表面分子的表达。结果显示</w:t>
      </w:r>
      <w:r>
        <w:rPr>
          <w:rFonts w:hint="eastAsia"/>
          <w:sz w:val="24"/>
          <w:szCs w:val="24"/>
        </w:rPr>
        <w:t>（见图</w:t>
      </w:r>
      <w:r>
        <w:rPr>
          <w:rFonts w:hint="eastAsia"/>
          <w:sz w:val="24"/>
          <w:szCs w:val="24"/>
          <w:lang w:val="en-US" w:eastAsia="zh-CN"/>
        </w:rPr>
        <w:t>8</w:t>
      </w:r>
      <w:r>
        <w:rPr>
          <w:rFonts w:hint="eastAsia"/>
          <w:sz w:val="24"/>
          <w:szCs w:val="24"/>
        </w:rPr>
        <w:t>）</w:t>
      </w:r>
      <w:r>
        <w:rPr>
          <w:rFonts w:hint="eastAsia"/>
          <w:sz w:val="24"/>
          <w:szCs w:val="24"/>
          <w:lang w:val="en-GB"/>
        </w:rPr>
        <w:t>，与对照组相比，Cd11c</w:t>
      </w:r>
      <w:r>
        <w:rPr>
          <w:rFonts w:hint="eastAsia"/>
          <w:sz w:val="24"/>
          <w:szCs w:val="24"/>
          <w:vertAlign w:val="superscript"/>
          <w:lang w:val="en-GB"/>
        </w:rPr>
        <w:t>cre</w:t>
      </w:r>
      <w:r>
        <w:rPr>
          <w:rFonts w:hint="eastAsia"/>
          <w:sz w:val="24"/>
          <w:szCs w:val="24"/>
          <w:lang w:val="en-GB"/>
        </w:rPr>
        <w:t>Trim13</w:t>
      </w:r>
      <w:r>
        <w:rPr>
          <w:rFonts w:hint="eastAsia"/>
          <w:sz w:val="24"/>
          <w:szCs w:val="24"/>
          <w:vertAlign w:val="superscript"/>
          <w:lang w:val="en-GB"/>
        </w:rPr>
        <w:t>fl/fl</w:t>
      </w:r>
      <w:r>
        <w:rPr>
          <w:rFonts w:hint="eastAsia"/>
          <w:sz w:val="24"/>
          <w:szCs w:val="24"/>
          <w:lang w:val="en-GB"/>
        </w:rPr>
        <w:t xml:space="preserve"> DC在正常状态下表现出CD40表达显著升高、MHC-II表达明显降低。而在脓毒症的情况下，DC出现明显的活化，而Cd11c</w:t>
      </w:r>
      <w:r>
        <w:rPr>
          <w:rFonts w:hint="eastAsia"/>
          <w:sz w:val="24"/>
          <w:szCs w:val="24"/>
          <w:vertAlign w:val="superscript"/>
          <w:lang w:val="en-GB"/>
        </w:rPr>
        <w:t>cre</w:t>
      </w:r>
      <w:r>
        <w:rPr>
          <w:rFonts w:hint="eastAsia"/>
          <w:sz w:val="24"/>
          <w:szCs w:val="24"/>
          <w:lang w:val="en-GB"/>
        </w:rPr>
        <w:t>Trim13</w:t>
      </w:r>
      <w:r>
        <w:rPr>
          <w:rFonts w:hint="eastAsia"/>
          <w:sz w:val="24"/>
          <w:szCs w:val="24"/>
          <w:vertAlign w:val="superscript"/>
          <w:lang w:val="en-GB"/>
        </w:rPr>
        <w:t>fl/fl</w:t>
      </w:r>
      <w:r>
        <w:rPr>
          <w:rFonts w:hint="eastAsia"/>
          <w:sz w:val="24"/>
          <w:szCs w:val="24"/>
          <w:lang w:val="en-GB"/>
        </w:rPr>
        <w:t xml:space="preserve"> DC的活化程度明显增强，表现为CD80和MHC-II的表达显著高于Trim13</w:t>
      </w:r>
      <w:r>
        <w:rPr>
          <w:rFonts w:hint="eastAsia"/>
          <w:sz w:val="24"/>
          <w:szCs w:val="24"/>
          <w:vertAlign w:val="superscript"/>
          <w:lang w:val="en-GB"/>
        </w:rPr>
        <w:t>fl/fl</w:t>
      </w:r>
      <w:r>
        <w:rPr>
          <w:rFonts w:hint="eastAsia"/>
          <w:sz w:val="24"/>
          <w:szCs w:val="24"/>
          <w:lang w:val="en-GB"/>
        </w:rPr>
        <w:t xml:space="preserve"> DC，CD86的表达也有上升的趋势</w:t>
      </w:r>
      <w:r>
        <w:rPr>
          <w:rFonts w:hint="eastAsia"/>
          <w:sz w:val="24"/>
          <w:szCs w:val="24"/>
          <w:lang w:val="en-GB" w:eastAsia="zh-CN"/>
        </w:rPr>
        <w:t>。</w:t>
      </w:r>
    </w:p>
    <w:p w14:paraId="7F1D2843">
      <w:pPr>
        <w:keepNext w:val="0"/>
        <w:keepLines w:val="0"/>
        <w:pageBreakBefore w:val="0"/>
        <w:kinsoku/>
        <w:overflowPunct/>
        <w:topLinePunct w:val="0"/>
        <w:autoSpaceDE/>
        <w:autoSpaceDN/>
        <w:bidi w:val="0"/>
        <w:adjustRightInd/>
        <w:snapToGrid w:val="0"/>
        <w:spacing w:line="360" w:lineRule="auto"/>
        <w:ind w:firstLine="480" w:firstLineChars="200"/>
        <w:jc w:val="left"/>
        <w:textAlignment w:val="auto"/>
        <w:rPr>
          <w:rFonts w:hint="eastAsia"/>
          <w:sz w:val="24"/>
          <w:szCs w:val="24"/>
          <w:lang w:val="en-GB" w:eastAsia="zh-CN"/>
        </w:rPr>
      </w:pPr>
      <w:r>
        <w:rPr>
          <w:rFonts w:eastAsia="宋体" w:hint="eastAsia"/>
          <w:sz w:val="24"/>
          <w:szCs w:val="24"/>
          <w:lang w:val="en-GB" w:eastAsia="zh-CN"/>
        </w:rPr>
        <w:drawing>
          <wp:inline distT="0" distB="0" distL="114300" distR="114300">
            <wp:extent cx="5394325" cy="4363085"/>
            <wp:effectExtent l="0" t="0" r="0" b="0"/>
            <wp:docPr id="11" name="图片 11" descr="TRIM13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73171" name="图片 11" descr="TRIM13的图"/>
                    <pic:cNvPicPr>
                      <a:picLocks noChangeAspect="1"/>
                    </pic:cNvPicPr>
                  </pic:nvPicPr>
                  <pic:blipFill>
                    <a:blip xmlns:r="http://schemas.openxmlformats.org/officeDocument/2006/relationships" r:embed="rId18"/>
                    <a:stretch>
                      <a:fillRect/>
                    </a:stretch>
                  </pic:blipFill>
                  <pic:spPr>
                    <a:xfrm>
                      <a:off x="0" y="0"/>
                      <a:ext cx="5394325" cy="4363085"/>
                    </a:xfrm>
                    <a:prstGeom prst="rect">
                      <a:avLst/>
                    </a:prstGeom>
                  </pic:spPr>
                </pic:pic>
              </a:graphicData>
            </a:graphic>
          </wp:inline>
        </w:drawing>
      </w:r>
    </w:p>
    <w:p w14:paraId="6692BC69">
      <w:pPr>
        <w:keepNext w:val="0"/>
        <w:keepLines w:val="0"/>
        <w:pageBreakBefore w:val="0"/>
        <w:kinsoku/>
        <w:overflowPunct/>
        <w:topLinePunct w:val="0"/>
        <w:autoSpaceDE/>
        <w:autoSpaceDN/>
        <w:bidi w:val="0"/>
        <w:adjustRightInd/>
        <w:snapToGrid w:val="0"/>
        <w:spacing w:line="360" w:lineRule="auto"/>
        <w:jc w:val="center"/>
        <w:textAlignment w:val="auto"/>
        <w:rPr>
          <w:rFonts w:eastAsia="宋体" w:hint="eastAsia"/>
          <w:sz w:val="24"/>
          <w:szCs w:val="24"/>
          <w:lang w:val="en-GB" w:eastAsia="zh-CN"/>
        </w:rPr>
      </w:pPr>
      <w:r>
        <w:rPr>
          <w:rFonts w:eastAsia="宋体" w:hint="eastAsia"/>
          <w:sz w:val="24"/>
          <w:szCs w:val="24"/>
          <w:lang w:val="en-GB" w:eastAsia="zh-CN"/>
        </w:rPr>
        <w:t>图</w:t>
      </w:r>
      <w:r>
        <w:rPr>
          <w:rFonts w:hint="eastAsia"/>
          <w:sz w:val="24"/>
          <w:szCs w:val="24"/>
          <w:lang w:val="en-US" w:eastAsia="zh-CN"/>
        </w:rPr>
        <w:t>8</w:t>
      </w:r>
      <w:r>
        <w:rPr>
          <w:rFonts w:eastAsia="宋体" w:hint="eastAsia"/>
          <w:sz w:val="24"/>
          <w:szCs w:val="24"/>
          <w:lang w:val="en-GB" w:eastAsia="zh-CN"/>
        </w:rPr>
        <w:t xml:space="preserve"> Trim13缺陷对脓毒症状态下DC表面功能分子表达的影响</w:t>
      </w:r>
    </w:p>
    <w:p w14:paraId="2D111359">
      <w:pPr>
        <w:keepNext w:val="0"/>
        <w:keepLines w:val="0"/>
        <w:pageBreakBefore w:val="0"/>
        <w:numPr>
          <w:ilvl w:val="255"/>
          <w:numId w:val="0"/>
        </w:numPr>
        <w:kinsoku/>
        <w:wordWrap w:val="0"/>
        <w:overflowPunct/>
        <w:topLinePunct w:val="0"/>
        <w:autoSpaceDE/>
        <w:autoSpaceDN/>
        <w:bidi w:val="0"/>
        <w:adjustRightInd/>
        <w:spacing w:line="360" w:lineRule="auto"/>
        <w:ind w:firstLine="560" w:firstLineChars="200"/>
        <w:textAlignment w:val="auto"/>
        <w:rPr>
          <w:rFonts w:ascii="楷体" w:eastAsia="楷体" w:hAnsi="楷体" w:cs="楷体"/>
        </w:rPr>
      </w:pPr>
      <w:r>
        <w:rPr>
          <w:rFonts w:ascii="楷体" w:eastAsia="楷体" w:hAnsi="楷体" w:cs="楷体" w:hint="eastAsia"/>
        </w:rPr>
        <w:t>2.工作条件（已具备的实验条件，尚缺少的实验条件和拟解决的途径）</w:t>
      </w:r>
    </w:p>
    <w:p w14:paraId="439C943E">
      <w:pPr>
        <w:keepNext w:val="0"/>
        <w:keepLines w:val="0"/>
        <w:pageBreakBefore w:val="0"/>
        <w:kinsoku/>
        <w:overflowPunct/>
        <w:topLinePunct w:val="0"/>
        <w:autoSpaceDE/>
        <w:autoSpaceDN/>
        <w:bidi w:val="0"/>
        <w:adjustRightInd/>
        <w:snapToGrid w:val="0"/>
        <w:spacing w:line="360" w:lineRule="auto"/>
        <w:ind w:firstLine="480" w:firstLineChars="200"/>
        <w:jc w:val="left"/>
        <w:textAlignment w:val="auto"/>
        <w:rPr>
          <w:rFonts w:hint="eastAsia"/>
          <w:sz w:val="24"/>
          <w:szCs w:val="24"/>
          <w:lang w:val="en-GB"/>
        </w:rPr>
      </w:pPr>
      <w:r>
        <w:rPr>
          <w:rFonts w:hint="eastAsia"/>
          <w:sz w:val="24"/>
          <w:szCs w:val="24"/>
          <w:lang w:val="en-GB"/>
        </w:rPr>
        <w:t>经过多年的研究与建设，项目组现已具备开展本项目研究相关的实验技术和实验平台，为本项目的顺利开展提供了坚实的工作基础、设备条件基础、方法学基础。</w:t>
      </w:r>
    </w:p>
    <w:p w14:paraId="68EFE2E4">
      <w:pPr>
        <w:keepNext w:val="0"/>
        <w:keepLines w:val="0"/>
        <w:pageBreakBefore w:val="0"/>
        <w:kinsoku/>
        <w:overflowPunct/>
        <w:topLinePunct w:val="0"/>
        <w:autoSpaceDE/>
        <w:autoSpaceDN/>
        <w:bidi w:val="0"/>
        <w:adjustRightInd/>
        <w:snapToGrid w:val="0"/>
        <w:spacing w:line="360" w:lineRule="auto"/>
        <w:ind w:firstLine="480" w:firstLineChars="200"/>
        <w:jc w:val="both"/>
        <w:textAlignment w:val="auto"/>
        <w:rPr>
          <w:rFonts w:hint="eastAsia"/>
          <w:sz w:val="24"/>
          <w:szCs w:val="24"/>
          <w:lang w:val="en-GB"/>
        </w:rPr>
      </w:pPr>
      <w:r>
        <w:rPr>
          <w:rFonts w:hint="eastAsia"/>
          <w:sz w:val="24"/>
          <w:szCs w:val="24"/>
          <w:lang w:val="en-GB"/>
        </w:rPr>
        <w:t>动物实验平台：PowerLab四道生理信号采集处理系统（ML8664/30、澳大利亚埃德）、自动抽注机（NE-1000，美国）、高速冷冻离心机（Labofuge 400R，德国科峻）、低温冰柜（702，美国热电）、制冰机（SIM-F40，日本三洋）、电子天平（LE225D，日本，1/10万）、手术显微镜（SZ61，日本奥林帕斯），主要用于</w:t>
      </w:r>
      <w:r>
        <w:rPr>
          <w:rFonts w:hint="eastAsia"/>
          <w:sz w:val="24"/>
          <w:szCs w:val="24"/>
          <w:lang w:val="en-US" w:eastAsia="zh-CN"/>
        </w:rPr>
        <w:t>小鼠</w:t>
      </w:r>
      <w:r>
        <w:rPr>
          <w:rFonts w:hint="eastAsia"/>
          <w:sz w:val="24"/>
          <w:szCs w:val="24"/>
          <w:lang w:val="en-GB"/>
        </w:rPr>
        <w:t>失血性休克模型制备和肠淋巴液引流。</w:t>
      </w:r>
    </w:p>
    <w:p w14:paraId="55E032E6">
      <w:pPr>
        <w:keepNext w:val="0"/>
        <w:keepLines w:val="0"/>
        <w:pageBreakBefore w:val="0"/>
        <w:kinsoku/>
        <w:overflowPunct/>
        <w:topLinePunct w:val="0"/>
        <w:autoSpaceDE/>
        <w:autoSpaceDN/>
        <w:bidi w:val="0"/>
        <w:adjustRightInd/>
        <w:snapToGrid w:val="0"/>
        <w:spacing w:line="360" w:lineRule="auto"/>
        <w:ind w:firstLine="480" w:firstLineChars="200"/>
        <w:jc w:val="both"/>
        <w:textAlignment w:val="auto"/>
        <w:rPr>
          <w:rFonts w:hint="eastAsia"/>
          <w:sz w:val="24"/>
          <w:szCs w:val="24"/>
          <w:lang w:val="en-GB"/>
        </w:rPr>
      </w:pPr>
      <w:r>
        <w:rPr>
          <w:rFonts w:hint="eastAsia"/>
          <w:sz w:val="24"/>
          <w:szCs w:val="24"/>
          <w:lang w:val="en-GB"/>
        </w:rPr>
        <w:t>形态学技术平台：透射电镜（H-7650、日本日立）、扫描电镜（S-3400N，日本日立）、冷冻超薄切片机（EM FC7，德国徕卡）、激光扫描共聚焦显微镜（C1si，日本尼康），主要用于DC细胞和CD4</w:t>
      </w:r>
      <w:r>
        <w:rPr>
          <w:rFonts w:hint="eastAsia"/>
          <w:sz w:val="24"/>
          <w:szCs w:val="24"/>
          <w:vertAlign w:val="superscript"/>
          <w:lang w:val="en-GB"/>
        </w:rPr>
        <w:t>+</w:t>
      </w:r>
      <w:r>
        <w:rPr>
          <w:rFonts w:hint="eastAsia"/>
          <w:sz w:val="24"/>
          <w:szCs w:val="24"/>
          <w:lang w:val="en-GB"/>
        </w:rPr>
        <w:t>T淋巴细胞的形态学观察、</w:t>
      </w:r>
      <w:r>
        <w:rPr>
          <w:rFonts w:hint="eastAsia"/>
          <w:sz w:val="24"/>
          <w:szCs w:val="24"/>
          <w:lang w:val="en-US" w:eastAsia="zh-CN"/>
        </w:rPr>
        <w:t>内质网</w:t>
      </w:r>
      <w:r>
        <w:rPr>
          <w:rFonts w:hint="eastAsia"/>
          <w:sz w:val="24"/>
          <w:szCs w:val="24"/>
          <w:lang w:val="en-GB"/>
        </w:rPr>
        <w:t>自噬体的</w:t>
      </w:r>
      <w:r>
        <w:rPr>
          <w:rFonts w:hint="eastAsia"/>
          <w:sz w:val="24"/>
          <w:szCs w:val="24"/>
          <w:lang w:val="en-US" w:eastAsia="zh-CN"/>
        </w:rPr>
        <w:t>共定位</w:t>
      </w:r>
      <w:r>
        <w:rPr>
          <w:rFonts w:hint="eastAsia"/>
          <w:sz w:val="24"/>
          <w:szCs w:val="24"/>
          <w:lang w:val="en-GB"/>
        </w:rPr>
        <w:t>检测、TIPE2蛋白的定位检测等。</w:t>
      </w:r>
    </w:p>
    <w:p w14:paraId="150D74E1">
      <w:pPr>
        <w:keepNext w:val="0"/>
        <w:keepLines w:val="0"/>
        <w:pageBreakBefore w:val="0"/>
        <w:kinsoku/>
        <w:overflowPunct/>
        <w:topLinePunct w:val="0"/>
        <w:autoSpaceDE/>
        <w:autoSpaceDN/>
        <w:bidi w:val="0"/>
        <w:adjustRightInd/>
        <w:snapToGrid w:val="0"/>
        <w:spacing w:line="360" w:lineRule="auto"/>
        <w:ind w:firstLine="480" w:firstLineChars="200"/>
        <w:jc w:val="both"/>
        <w:textAlignment w:val="auto"/>
        <w:rPr>
          <w:rFonts w:hint="eastAsia"/>
          <w:sz w:val="24"/>
          <w:szCs w:val="24"/>
          <w:lang w:val="en-GB"/>
        </w:rPr>
      </w:pPr>
      <w:r>
        <w:rPr>
          <w:rFonts w:hint="eastAsia"/>
          <w:sz w:val="24"/>
          <w:szCs w:val="24"/>
          <w:lang w:val="en-GB"/>
        </w:rPr>
        <w:t>分子生物学技术平台：蛋白双向凝胶电泳系统（美国伯乐）、</w:t>
      </w:r>
      <w:bookmarkStart w:id="76" w:name="OLE_LINK7"/>
      <w:r>
        <w:rPr>
          <w:rFonts w:hint="eastAsia"/>
          <w:sz w:val="24"/>
          <w:szCs w:val="24"/>
          <w:lang w:val="en-GB"/>
        </w:rPr>
        <w:t>生物分子成像仪（ImageQuant LAS 4010</w:t>
      </w:r>
      <w:bookmarkEnd w:id="76"/>
      <w:r>
        <w:rPr>
          <w:rFonts w:hint="eastAsia"/>
          <w:sz w:val="24"/>
          <w:szCs w:val="24"/>
          <w:lang w:val="en-GB"/>
        </w:rPr>
        <w:t>，美国GE）、四色荧光PCR（Stepplus，美国ABI）、紫外分光光度计（Lambda 35，美国PE）、酶标仪（M3，美国MD）、超速离心机（Himac CP100WX，日本HITACHI）、生物安全柜（51025413，美国热电），用于与DC细胞TIPE2及</w:t>
      </w:r>
      <w:r>
        <w:rPr>
          <w:rFonts w:hint="eastAsia"/>
          <w:sz w:val="24"/>
          <w:szCs w:val="24"/>
          <w:lang w:val="en-US" w:eastAsia="zh-CN"/>
        </w:rPr>
        <w:t>内质网</w:t>
      </w:r>
      <w:r>
        <w:rPr>
          <w:rFonts w:hint="eastAsia"/>
          <w:sz w:val="24"/>
          <w:szCs w:val="24"/>
          <w:lang w:val="en-GB"/>
        </w:rPr>
        <w:t>自噬信号</w:t>
      </w:r>
      <w:r>
        <w:rPr>
          <w:rFonts w:hint="eastAsia"/>
          <w:sz w:val="24"/>
          <w:szCs w:val="24"/>
          <w:lang w:val="en-US" w:eastAsia="zh-CN"/>
        </w:rPr>
        <w:t>相关</w:t>
      </w:r>
      <w:r>
        <w:rPr>
          <w:rFonts w:hint="eastAsia"/>
          <w:sz w:val="24"/>
          <w:szCs w:val="24"/>
          <w:lang w:val="en-GB"/>
        </w:rPr>
        <w:t>蛋白</w:t>
      </w:r>
      <w:r>
        <w:rPr>
          <w:rFonts w:hint="eastAsia"/>
          <w:sz w:val="24"/>
          <w:szCs w:val="24"/>
          <w:lang w:val="en-US" w:eastAsia="zh-CN"/>
        </w:rPr>
        <w:t>的</w:t>
      </w:r>
      <w:r>
        <w:rPr>
          <w:rFonts w:hint="eastAsia"/>
          <w:sz w:val="24"/>
          <w:szCs w:val="24"/>
          <w:lang w:val="en-GB"/>
        </w:rPr>
        <w:t>检测。</w:t>
      </w:r>
    </w:p>
    <w:p w14:paraId="4D8C5510">
      <w:pPr>
        <w:keepNext w:val="0"/>
        <w:keepLines w:val="0"/>
        <w:pageBreakBefore w:val="0"/>
        <w:kinsoku/>
        <w:overflowPunct/>
        <w:topLinePunct w:val="0"/>
        <w:autoSpaceDE/>
        <w:autoSpaceDN/>
        <w:bidi w:val="0"/>
        <w:adjustRightInd/>
        <w:snapToGrid w:val="0"/>
        <w:spacing w:line="360" w:lineRule="auto"/>
        <w:ind w:firstLine="480" w:firstLineChars="200"/>
        <w:jc w:val="left"/>
        <w:textAlignment w:val="auto"/>
        <w:rPr>
          <w:rFonts w:hint="eastAsia"/>
          <w:sz w:val="24"/>
          <w:szCs w:val="24"/>
          <w:lang w:val="en-GB"/>
        </w:rPr>
      </w:pPr>
      <w:r>
        <w:rPr>
          <w:rFonts w:hint="eastAsia"/>
          <w:sz w:val="24"/>
          <w:szCs w:val="24"/>
          <w:lang w:val="en-GB"/>
        </w:rPr>
        <w:t>细胞生物学技术平台：二氧化碳培养箱（Forma 3111，美国热电）、培养基过滤器（90mm，美国密理博）、倒置荧光显微镜（4000B、德国徕卡）、流式细胞分析仪（FACS C6，美国BD），用于DC、DC与CD4</w:t>
      </w:r>
      <w:r>
        <w:rPr>
          <w:rFonts w:hint="eastAsia"/>
          <w:sz w:val="24"/>
          <w:szCs w:val="24"/>
          <w:vertAlign w:val="superscript"/>
          <w:lang w:val="en-GB"/>
        </w:rPr>
        <w:t>+</w:t>
      </w:r>
      <w:r>
        <w:rPr>
          <w:rFonts w:hint="eastAsia"/>
          <w:sz w:val="24"/>
          <w:szCs w:val="24"/>
          <w:lang w:val="en-GB"/>
        </w:rPr>
        <w:t>T细胞共培养、免疫功能检测</w:t>
      </w:r>
      <w:r>
        <w:rPr>
          <w:rFonts w:hint="eastAsia"/>
          <w:sz w:val="24"/>
          <w:szCs w:val="24"/>
          <w:lang w:val="en-US" w:eastAsia="zh-CN"/>
        </w:rPr>
        <w:t>等</w:t>
      </w:r>
      <w:r>
        <w:rPr>
          <w:rFonts w:hint="eastAsia"/>
          <w:sz w:val="24"/>
          <w:szCs w:val="24"/>
          <w:lang w:val="en-GB"/>
        </w:rPr>
        <w:t>。</w:t>
      </w:r>
    </w:p>
    <w:p w14:paraId="02C03B98">
      <w:pPr>
        <w:keepNext w:val="0"/>
        <w:keepLines w:val="0"/>
        <w:pageBreakBefore w:val="0"/>
        <w:kinsoku/>
        <w:wordWrap w:val="0"/>
        <w:overflowPunct/>
        <w:topLinePunct w:val="0"/>
        <w:autoSpaceDE/>
        <w:autoSpaceDN/>
        <w:bidi w:val="0"/>
        <w:adjustRightInd/>
        <w:spacing w:line="360" w:lineRule="auto"/>
        <w:ind w:firstLine="560" w:firstLineChars="200"/>
        <w:textAlignment w:val="auto"/>
        <w:rPr>
          <w:rFonts w:ascii="楷体" w:eastAsia="楷体" w:hAnsi="楷体" w:cs="楷体"/>
        </w:rPr>
      </w:pPr>
      <w:r>
        <w:rPr>
          <w:rFonts w:ascii="楷体" w:eastAsia="楷体" w:hAnsi="楷体" w:cs="楷体" w:hint="eastAsia"/>
        </w:rPr>
        <w:t>3.申请者和项目主要成员业务简历（分人填写申请人和项目组主要参与者的学历和研究工作简历，近五年已发表与本项目有关的主要论著目录和获得学术奖励情况及在本项目中承担的任务。论著目录要求详细列出所有作者、论著题目、期刊名或出版社名、年、卷（期）、起止页码等，申请人不超过6篇，参与者不超过3篇；奖励情况也须详细列出全部受奖人员、奖励名称等级、授奖年等）</w:t>
      </w:r>
    </w:p>
    <w:p w14:paraId="72E890E9">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left"/>
        <w:textAlignment w:val="auto"/>
        <w:rPr>
          <w:rFonts w:hint="eastAsia"/>
          <w:sz w:val="24"/>
          <w:szCs w:val="24"/>
          <w:lang w:val="en-GB"/>
        </w:rPr>
      </w:pPr>
      <w:r>
        <w:rPr>
          <w:rFonts w:hint="eastAsia"/>
          <w:b/>
          <w:bCs/>
          <w:sz w:val="24"/>
          <w:szCs w:val="24"/>
          <w:lang w:val="en-GB"/>
        </w:rPr>
        <w:t>蒋丽娜（项目负责人）</w:t>
      </w:r>
      <w:r>
        <w:rPr>
          <w:rFonts w:hint="eastAsia"/>
          <w:sz w:val="24"/>
          <w:szCs w:val="24"/>
          <w:lang w:val="en-GB"/>
        </w:rPr>
        <w:t>博士、教授</w:t>
      </w:r>
      <w:r>
        <w:rPr>
          <w:rFonts w:hint="eastAsia"/>
          <w:sz w:val="24"/>
          <w:szCs w:val="24"/>
          <w:lang w:val="en-GB" w:eastAsia="zh-CN"/>
        </w:rPr>
        <w:t>，硕士生导师</w:t>
      </w:r>
      <w:r>
        <w:rPr>
          <w:rFonts w:hint="eastAsia"/>
          <w:sz w:val="24"/>
          <w:szCs w:val="24"/>
          <w:lang w:val="en-GB"/>
        </w:rPr>
        <w:t>。2003年毕业于张家口医学院；2008年获得河北医科大学免疫学专业硕士学位。2010年至2011年，由学校委派到国内危重病研究领先的全军重点实验室（解放军总医院第一附属医院烧伤研究所/创伤研究室，姚咏明教授实验室）进修学习，主要进行“脓毒症免疫功能紊乱的机制研究”。2011年，加入到牛春雨教授的研究团队，从事“重症休克、创伤的免疫学机制”研究。2017年6月博士毕业</w:t>
      </w:r>
      <w:r>
        <w:rPr>
          <w:rFonts w:hint="eastAsia"/>
          <w:sz w:val="24"/>
          <w:szCs w:val="24"/>
          <w:lang w:val="en-US" w:eastAsia="zh-CN"/>
        </w:rPr>
        <w:t>于</w:t>
      </w:r>
      <w:r>
        <w:rPr>
          <w:rFonts w:hint="eastAsia"/>
          <w:sz w:val="24"/>
          <w:szCs w:val="24"/>
          <w:lang w:val="en-GB"/>
        </w:rPr>
        <w:t>吉林大学基础医学院免疫学专业。</w:t>
      </w:r>
      <w:r>
        <w:rPr>
          <w:rFonts w:hint="eastAsia"/>
          <w:sz w:val="24"/>
          <w:szCs w:val="24"/>
          <w:lang w:val="en-GB" w:eastAsia="zh-CN"/>
        </w:rPr>
        <w:t>现任中国研究型医院学会休克与脓毒症专业委员会青年委员、中国中西医结合微循环专业委员会青年委员、中国微循环学会休克专业委员会委员、河北省中西医结合微循环专业委员会委员、河北省免疫学会教育专业委员会委员。现为《</w:t>
      </w:r>
      <w:r>
        <w:rPr>
          <w:rFonts w:hint="eastAsia"/>
          <w:sz w:val="24"/>
          <w:szCs w:val="24"/>
          <w:lang w:val="en-US" w:eastAsia="zh-CN"/>
        </w:rPr>
        <w:t>中华创伤杂志</w:t>
      </w:r>
      <w:r>
        <w:rPr>
          <w:rFonts w:hint="eastAsia"/>
          <w:sz w:val="24"/>
          <w:szCs w:val="24"/>
          <w:lang w:val="en-GB" w:eastAsia="zh-CN"/>
        </w:rPr>
        <w:t>》</w:t>
      </w:r>
      <w:r>
        <w:rPr>
          <w:rFonts w:hint="eastAsia"/>
          <w:sz w:val="24"/>
          <w:szCs w:val="24"/>
          <w:lang w:val="en-US" w:eastAsia="zh-CN"/>
        </w:rPr>
        <w:t>特约</w:t>
      </w:r>
      <w:r>
        <w:rPr>
          <w:rFonts w:hint="eastAsia"/>
          <w:sz w:val="24"/>
          <w:szCs w:val="24"/>
          <w:lang w:val="en-GB" w:eastAsia="zh-CN"/>
        </w:rPr>
        <w:t>审稿专家。</w:t>
      </w:r>
      <w:r>
        <w:rPr>
          <w:rFonts w:hint="eastAsia"/>
          <w:sz w:val="24"/>
          <w:szCs w:val="24"/>
          <w:lang w:val="en-GB"/>
        </w:rPr>
        <w:t>在本项目承担课题设计，组织实施研究全过程，资料分析，及研究工作总结等。</w:t>
      </w:r>
    </w:p>
    <w:p w14:paraId="57F1E107">
      <w:pPr>
        <w:keepNext w:val="0"/>
        <w:keepLines w:val="0"/>
        <w:pageBreakBefore w:val="0"/>
        <w:kinsoku/>
        <w:overflowPunct/>
        <w:topLinePunct w:val="0"/>
        <w:autoSpaceDE/>
        <w:autoSpaceDN/>
        <w:bidi w:val="0"/>
        <w:adjustRightInd/>
        <w:snapToGrid w:val="0"/>
        <w:spacing w:line="360" w:lineRule="auto"/>
        <w:jc w:val="left"/>
        <w:textAlignment w:val="auto"/>
        <w:rPr>
          <w:rFonts w:hint="eastAsia"/>
          <w:sz w:val="24"/>
          <w:szCs w:val="24"/>
          <w:lang w:val="en-GB"/>
        </w:rPr>
      </w:pPr>
      <w:r>
        <w:rPr>
          <w:rFonts w:hint="eastAsia"/>
          <w:sz w:val="24"/>
          <w:szCs w:val="24"/>
          <w:lang w:val="en-GB"/>
        </w:rPr>
        <w:t>主要相关论著：</w:t>
      </w:r>
    </w:p>
    <w:p w14:paraId="1B673E0E">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hint="eastAsia"/>
          <w:sz w:val="24"/>
          <w:szCs w:val="24"/>
          <w:lang w:val="en-GB" w:eastAsia="zh-CN"/>
        </w:rPr>
      </w:pPr>
      <w:r>
        <w:rPr>
          <w:rFonts w:hint="eastAsia"/>
          <w:sz w:val="24"/>
          <w:szCs w:val="24"/>
          <w:lang w:val="en-US" w:eastAsia="zh-CN"/>
        </w:rPr>
        <w:t xml:space="preserve">(1) </w:t>
      </w:r>
      <w:r>
        <w:rPr>
          <w:rFonts w:hint="default"/>
          <w:sz w:val="24"/>
          <w:szCs w:val="24"/>
          <w:lang w:val="en-GB"/>
        </w:rPr>
        <w:t>Du HB</w:t>
      </w:r>
      <w:r>
        <w:rPr>
          <w:rFonts w:hint="default"/>
          <w:sz w:val="24"/>
          <w:szCs w:val="24"/>
          <w:vertAlign w:val="superscript"/>
          <w:lang w:val="en-GB"/>
        </w:rPr>
        <w:t>#</w:t>
      </w:r>
      <w:r>
        <w:rPr>
          <w:rFonts w:hint="default"/>
          <w:sz w:val="24"/>
          <w:szCs w:val="24"/>
          <w:lang w:val="en-GB"/>
        </w:rPr>
        <w:t>, Jiang SB</w:t>
      </w:r>
      <w:r>
        <w:rPr>
          <w:rFonts w:hint="default"/>
          <w:sz w:val="24"/>
          <w:szCs w:val="24"/>
          <w:vertAlign w:val="superscript"/>
          <w:lang w:val="en-GB"/>
        </w:rPr>
        <w:t>#</w:t>
      </w:r>
      <w:r>
        <w:rPr>
          <w:rFonts w:hint="default"/>
          <w:sz w:val="24"/>
          <w:szCs w:val="24"/>
          <w:lang w:val="en-GB"/>
        </w:rPr>
        <w:t>, Zhao ZA, Zhang H, Zhang LM, Wang Z, Guo YX, Zhai JY, Wang P, Zhao ZG</w:t>
      </w:r>
      <w:r>
        <w:rPr>
          <w:rFonts w:hint="default"/>
          <w:sz w:val="24"/>
          <w:szCs w:val="24"/>
          <w:vertAlign w:val="superscript"/>
          <w:lang w:val="en-GB"/>
        </w:rPr>
        <w:t>*</w:t>
      </w:r>
      <w:r>
        <w:rPr>
          <w:rFonts w:hint="default"/>
          <w:sz w:val="24"/>
          <w:szCs w:val="24"/>
          <w:lang w:val="en-GB"/>
        </w:rPr>
        <w:t>, Niu CY</w:t>
      </w:r>
      <w:r>
        <w:rPr>
          <w:rFonts w:hint="default"/>
          <w:sz w:val="24"/>
          <w:szCs w:val="24"/>
          <w:vertAlign w:val="superscript"/>
          <w:lang w:val="en-GB"/>
        </w:rPr>
        <w:t>*</w:t>
      </w:r>
      <w:r>
        <w:rPr>
          <w:rFonts w:hint="default"/>
          <w:sz w:val="24"/>
          <w:szCs w:val="24"/>
          <w:lang w:val="en-GB"/>
        </w:rPr>
        <w:t>, Jiang LN</w:t>
      </w:r>
      <w:r>
        <w:rPr>
          <w:rFonts w:hint="default"/>
          <w:sz w:val="24"/>
          <w:szCs w:val="24"/>
          <w:vertAlign w:val="superscript"/>
          <w:lang w:val="en-GB"/>
        </w:rPr>
        <w:t>*</w:t>
      </w:r>
      <w:r>
        <w:rPr>
          <w:rFonts w:hint="default"/>
          <w:sz w:val="24"/>
          <w:szCs w:val="24"/>
          <w:lang w:val="en-GB"/>
        </w:rPr>
        <w:t>. TLR2/TLR4-enhanced TIPE2 expression is involved in post-Hemorrhagic shock mesenteric lymph-induced activation of CD4</w:t>
      </w:r>
      <w:r>
        <w:rPr>
          <w:rFonts w:hint="default"/>
          <w:sz w:val="24"/>
          <w:szCs w:val="24"/>
          <w:vertAlign w:val="superscript"/>
          <w:lang w:val="en-GB"/>
        </w:rPr>
        <w:t>+</w:t>
      </w:r>
      <w:r>
        <w:rPr>
          <w:rFonts w:hint="default"/>
          <w:sz w:val="24"/>
          <w:szCs w:val="24"/>
          <w:lang w:val="en-GB"/>
        </w:rPr>
        <w:t xml:space="preserve">T cells, Frontiers in immunology, 2022:838618 </w:t>
      </w:r>
      <w:r>
        <w:rPr>
          <w:rFonts w:hint="eastAsia"/>
          <w:sz w:val="24"/>
          <w:szCs w:val="24"/>
          <w:lang w:val="en-GB" w:eastAsia="zh-CN"/>
        </w:rPr>
        <w:t>（通讯作者）</w:t>
      </w:r>
    </w:p>
    <w:p w14:paraId="223A995C">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hint="eastAsia"/>
          <w:sz w:val="24"/>
          <w:szCs w:val="24"/>
          <w:lang w:val="en-GB" w:eastAsia="zh-CN"/>
        </w:rPr>
      </w:pPr>
      <w:r>
        <w:rPr>
          <w:rFonts w:hint="eastAsia"/>
          <w:sz w:val="24"/>
          <w:szCs w:val="24"/>
          <w:lang w:val="en-US" w:eastAsia="zh-CN"/>
        </w:rPr>
        <w:t xml:space="preserve">(2) </w:t>
      </w:r>
      <w:r>
        <w:rPr>
          <w:rFonts w:hint="default"/>
          <w:sz w:val="24"/>
          <w:szCs w:val="24"/>
          <w:lang w:val="en-GB"/>
        </w:rPr>
        <w:t>Jiang LN, Mi YL, Zhang LM, Liu GQ, Wang HH, Zhao ZG</w:t>
      </w:r>
      <w:r>
        <w:rPr>
          <w:rFonts w:hint="default"/>
          <w:sz w:val="24"/>
          <w:szCs w:val="24"/>
          <w:vertAlign w:val="superscript"/>
          <w:lang w:val="en-GB"/>
        </w:rPr>
        <w:t>*</w:t>
      </w:r>
      <w:r>
        <w:rPr>
          <w:rFonts w:hint="default"/>
          <w:sz w:val="24"/>
          <w:szCs w:val="24"/>
          <w:lang w:val="en-GB"/>
        </w:rPr>
        <w:t>, Niu CY</w:t>
      </w:r>
      <w:r>
        <w:rPr>
          <w:rFonts w:hint="default"/>
          <w:sz w:val="24"/>
          <w:szCs w:val="24"/>
          <w:vertAlign w:val="superscript"/>
          <w:lang w:val="en-GB"/>
        </w:rPr>
        <w:t>*</w:t>
      </w:r>
      <w:r>
        <w:rPr>
          <w:rFonts w:hint="default"/>
          <w:sz w:val="24"/>
          <w:szCs w:val="24"/>
          <w:lang w:val="en-GB"/>
        </w:rPr>
        <w:t>. Engagement of post hemorrhagic shock mesenteric lymph on CD4 T lymphocytes in Vivo and in Vitro，Journal of surgical research, 2020,</w:t>
      </w:r>
      <w:r>
        <w:rPr>
          <w:rFonts w:hint="eastAsia"/>
          <w:sz w:val="24"/>
          <w:szCs w:val="24"/>
          <w:lang w:val="en-US" w:eastAsia="zh-CN"/>
        </w:rPr>
        <w:t xml:space="preserve"> </w:t>
      </w:r>
      <w:r>
        <w:rPr>
          <w:rFonts w:hint="default"/>
          <w:sz w:val="24"/>
          <w:szCs w:val="24"/>
          <w:lang w:val="en-GB"/>
        </w:rPr>
        <w:t xml:space="preserve">(256):220-230 </w:t>
      </w:r>
      <w:r>
        <w:rPr>
          <w:rFonts w:hint="eastAsia"/>
          <w:sz w:val="24"/>
          <w:szCs w:val="24"/>
          <w:lang w:val="en-GB" w:eastAsia="zh-CN"/>
        </w:rPr>
        <w:t>（第一作者）</w:t>
      </w:r>
    </w:p>
    <w:p w14:paraId="4327D2F3">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hint="default"/>
          <w:sz w:val="24"/>
          <w:szCs w:val="24"/>
          <w:lang w:val="en-GB"/>
        </w:rPr>
      </w:pPr>
      <w:r>
        <w:rPr>
          <w:rFonts w:hint="eastAsia"/>
          <w:sz w:val="24"/>
          <w:szCs w:val="24"/>
          <w:lang w:val="en-US" w:eastAsia="zh-CN"/>
        </w:rPr>
        <w:t xml:space="preserve">(3) </w:t>
      </w:r>
      <w:r>
        <w:rPr>
          <w:rFonts w:hint="default"/>
          <w:sz w:val="24"/>
          <w:szCs w:val="24"/>
          <w:lang w:val="en-GB"/>
        </w:rPr>
        <w:t>Zhang H, Zhai JY, Du HB, Zhang LM, Li LF, Bian AQ, Jiang LN</w:t>
      </w:r>
      <w:r>
        <w:rPr>
          <w:rFonts w:hint="default"/>
          <w:sz w:val="24"/>
          <w:szCs w:val="24"/>
          <w:vertAlign w:val="superscript"/>
          <w:lang w:val="en-GB"/>
        </w:rPr>
        <w:t>*</w:t>
      </w:r>
      <w:r>
        <w:rPr>
          <w:rFonts w:hint="default"/>
          <w:sz w:val="24"/>
          <w:szCs w:val="24"/>
          <w:lang w:val="en-GB"/>
        </w:rPr>
        <w:t xml:space="preserve">, Zhao ZG. Mesenteric lymph drainage alleviates hemorrhagic shock-induced spleen injury and inflammation, Acta Cir Bras, 2019, 34(9): e201900903 </w:t>
      </w:r>
      <w:r>
        <w:rPr>
          <w:rFonts w:hint="eastAsia"/>
          <w:sz w:val="24"/>
          <w:szCs w:val="24"/>
          <w:lang w:val="en-GB" w:eastAsia="zh-CN"/>
        </w:rPr>
        <w:t>（通讯作者）</w:t>
      </w:r>
    </w:p>
    <w:p w14:paraId="38B034B0">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0" w:firstLineChars="0"/>
        <w:jc w:val="both"/>
        <w:textAlignment w:val="auto"/>
        <w:rPr>
          <w:rFonts w:hint="eastAsia"/>
          <w:sz w:val="24"/>
          <w:szCs w:val="24"/>
          <w:lang w:val="en-GB" w:eastAsia="zh-CN"/>
        </w:rPr>
      </w:pPr>
      <w:r>
        <w:rPr>
          <w:rFonts w:hint="eastAsia"/>
          <w:sz w:val="24"/>
          <w:szCs w:val="24"/>
          <w:lang w:val="en-US" w:eastAsia="zh-CN"/>
        </w:rPr>
        <w:t>(4) 姜淼, 蒋丽娜, 董玥宏, 姚咏明</w:t>
      </w:r>
      <w:r>
        <w:rPr>
          <w:rFonts w:hint="default"/>
          <w:sz w:val="24"/>
          <w:szCs w:val="24"/>
          <w:vertAlign w:val="superscript"/>
          <w:lang w:val="en-US" w:eastAsia="zh-CN"/>
        </w:rPr>
        <w:t>*</w:t>
      </w:r>
      <w:r>
        <w:rPr>
          <w:rFonts w:hint="eastAsia"/>
          <w:sz w:val="24"/>
          <w:szCs w:val="24"/>
          <w:lang w:val="en-US" w:eastAsia="zh-CN"/>
        </w:rPr>
        <w:t>, 赵自刚</w:t>
      </w:r>
      <w:r>
        <w:rPr>
          <w:rFonts w:hint="default"/>
          <w:sz w:val="24"/>
          <w:szCs w:val="24"/>
          <w:vertAlign w:val="superscript"/>
          <w:lang w:val="en-US" w:eastAsia="zh-CN"/>
        </w:rPr>
        <w:t>*</w:t>
      </w:r>
      <w:r>
        <w:rPr>
          <w:rFonts w:hint="eastAsia"/>
          <w:sz w:val="24"/>
          <w:szCs w:val="24"/>
          <w:lang w:val="en-US" w:eastAsia="zh-CN"/>
        </w:rPr>
        <w:t>, 牛春雨</w:t>
      </w:r>
      <w:r>
        <w:rPr>
          <w:rFonts w:hint="default"/>
          <w:sz w:val="24"/>
          <w:szCs w:val="24"/>
          <w:vertAlign w:val="superscript"/>
          <w:lang w:val="en-US" w:eastAsia="zh-CN"/>
        </w:rPr>
        <w:t>*</w:t>
      </w:r>
      <w:r>
        <w:rPr>
          <w:rFonts w:hint="eastAsia"/>
          <w:sz w:val="24"/>
          <w:szCs w:val="24"/>
          <w:lang w:val="en-US" w:eastAsia="zh-CN"/>
        </w:rPr>
        <w:t>. 三方基序蛋白13的生物学特征和功能及与疾病发生的关系[J]. 生物化学与生物物理进展. 2025, 52(03):554-568.</w:t>
      </w:r>
      <w:r>
        <w:rPr>
          <w:rFonts w:hint="eastAsia"/>
          <w:sz w:val="24"/>
          <w:szCs w:val="24"/>
          <w:lang w:val="en-GB" w:eastAsia="zh-CN"/>
        </w:rPr>
        <w:t>（</w:t>
      </w:r>
      <w:r>
        <w:rPr>
          <w:rFonts w:hint="eastAsia"/>
          <w:sz w:val="24"/>
          <w:szCs w:val="24"/>
          <w:lang w:val="en-US" w:eastAsia="zh-CN"/>
        </w:rPr>
        <w:t>共</w:t>
      </w:r>
      <w:r>
        <w:rPr>
          <w:rFonts w:hint="eastAsia"/>
          <w:sz w:val="24"/>
          <w:szCs w:val="24"/>
          <w:lang w:val="en-GB" w:eastAsia="zh-CN"/>
        </w:rPr>
        <w:t>一作者）</w:t>
      </w:r>
    </w:p>
    <w:p w14:paraId="0D2CA179">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hint="default"/>
          <w:sz w:val="24"/>
          <w:szCs w:val="24"/>
          <w:lang w:val="en-US" w:eastAsia="zh-CN"/>
        </w:rPr>
      </w:pPr>
      <w:r>
        <w:rPr>
          <w:rFonts w:hint="eastAsia"/>
          <w:sz w:val="24"/>
          <w:szCs w:val="24"/>
          <w:lang w:val="en-US" w:eastAsia="zh-CN"/>
        </w:rPr>
        <w:t>(5) 周佳丽, 姜虎, 蒋丽娜. 内质网应激诱导内质网自噬的分子机制[J]. 中国生物化学与分子生物学报. 2024, 40(6): 788-796</w:t>
      </w:r>
      <w:r>
        <w:rPr>
          <w:rFonts w:hint="eastAsia"/>
          <w:sz w:val="24"/>
          <w:szCs w:val="24"/>
          <w:lang w:val="en-GB" w:eastAsia="zh-CN"/>
        </w:rPr>
        <w:t>（通讯作者）</w:t>
      </w:r>
    </w:p>
    <w:p w14:paraId="5740A901">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hint="eastAsia"/>
          <w:sz w:val="24"/>
          <w:szCs w:val="24"/>
          <w:lang w:val="en-GB" w:eastAsia="zh-CN"/>
        </w:rPr>
      </w:pPr>
      <w:r>
        <w:rPr>
          <w:rFonts w:hint="eastAsia"/>
          <w:sz w:val="24"/>
          <w:szCs w:val="24"/>
          <w:lang w:val="en-US" w:eastAsia="zh-CN"/>
        </w:rPr>
        <w:t xml:space="preserve">(6) </w:t>
      </w:r>
      <w:r>
        <w:rPr>
          <w:rFonts w:hint="default"/>
          <w:sz w:val="24"/>
          <w:szCs w:val="24"/>
          <w:lang w:val="en-US" w:eastAsia="zh-CN"/>
        </w:rPr>
        <w:t>蒋孙班, 王朝, 杜会博, 张立民, 赵振奥, 赵自刚, 蒋丽娜</w:t>
      </w:r>
      <w:r>
        <w:rPr>
          <w:rFonts w:hint="default"/>
          <w:sz w:val="24"/>
          <w:szCs w:val="24"/>
          <w:vertAlign w:val="superscript"/>
          <w:lang w:val="en-US" w:eastAsia="zh-CN"/>
        </w:rPr>
        <w:t>*</w:t>
      </w:r>
      <w:r>
        <w:rPr>
          <w:rFonts w:hint="default"/>
          <w:sz w:val="24"/>
          <w:szCs w:val="24"/>
          <w:lang w:val="en-US" w:eastAsia="zh-CN"/>
        </w:rPr>
        <w:t>. TLR2/TLR4在失血性休克引发的脾组织TIPE2和TLR2/TLR4信号通路分子表达上调中的作用. 免疫学杂志, 2023, 39(3): 199-207.</w:t>
      </w:r>
      <w:r>
        <w:rPr>
          <w:rFonts w:hint="eastAsia"/>
          <w:sz w:val="24"/>
          <w:szCs w:val="24"/>
          <w:lang w:val="en-GB" w:eastAsia="zh-CN"/>
        </w:rPr>
        <w:t>（通讯作者）</w:t>
      </w:r>
    </w:p>
    <w:p w14:paraId="79CD891B">
      <w:pPr>
        <w:keepNext w:val="0"/>
        <w:keepLines w:val="0"/>
        <w:pageBreakBefore w:val="0"/>
        <w:kinsoku/>
        <w:overflowPunct/>
        <w:topLinePunct w:val="0"/>
        <w:autoSpaceDE/>
        <w:autoSpaceDN/>
        <w:bidi w:val="0"/>
        <w:adjustRightInd/>
        <w:snapToGrid w:val="0"/>
        <w:spacing w:line="360" w:lineRule="auto"/>
        <w:jc w:val="left"/>
        <w:textAlignment w:val="auto"/>
        <w:rPr>
          <w:rFonts w:hint="eastAsia"/>
          <w:sz w:val="24"/>
          <w:szCs w:val="24"/>
          <w:lang w:val="en-US" w:eastAsia="zh-CN"/>
        </w:rPr>
      </w:pPr>
      <w:r>
        <w:rPr>
          <w:rFonts w:hint="eastAsia"/>
          <w:b/>
          <w:bCs/>
          <w:sz w:val="24"/>
          <w:szCs w:val="24"/>
          <w:lang w:val="en-US" w:eastAsia="zh-CN"/>
        </w:rPr>
        <w:t>耿丽娜（项目组主要成员）</w:t>
      </w:r>
      <w:r>
        <w:rPr>
          <w:rFonts w:hint="eastAsia"/>
          <w:sz w:val="24"/>
          <w:szCs w:val="24"/>
          <w:lang w:val="en-US" w:eastAsia="zh-CN"/>
        </w:rPr>
        <w:t>博士，主管技师。主要从事免疫细胞与自身免疫疾病的相关研究，熟练掌握免疫细胞实验以及分子生物学等相关技术。在本项目中主要承担流式细胞检测分析、资料分析、免疫学功能指标的检测等。</w:t>
      </w:r>
    </w:p>
    <w:p w14:paraId="5D299AAB">
      <w:pPr>
        <w:keepNext w:val="0"/>
        <w:keepLines w:val="0"/>
        <w:pageBreakBefore w:val="0"/>
        <w:kinsoku/>
        <w:overflowPunct/>
        <w:topLinePunct w:val="0"/>
        <w:autoSpaceDE/>
        <w:autoSpaceDN/>
        <w:bidi w:val="0"/>
        <w:adjustRightInd/>
        <w:snapToGrid w:val="0"/>
        <w:spacing w:line="360" w:lineRule="auto"/>
        <w:jc w:val="left"/>
        <w:textAlignment w:val="auto"/>
        <w:rPr>
          <w:rFonts w:hint="eastAsia"/>
          <w:sz w:val="24"/>
          <w:szCs w:val="24"/>
          <w:lang w:val="en-US" w:eastAsia="zh-CN"/>
        </w:rPr>
      </w:pPr>
      <w:r>
        <w:rPr>
          <w:rFonts w:hint="eastAsia"/>
          <w:sz w:val="24"/>
          <w:szCs w:val="24"/>
          <w:lang w:val="en-GB"/>
        </w:rPr>
        <w:t>主要相关论著：</w:t>
      </w:r>
    </w:p>
    <w:p w14:paraId="05C9E555">
      <w:pPr>
        <w:keepNext w:val="0"/>
        <w:keepLines w:val="0"/>
        <w:pageBreakBefore w:val="0"/>
        <w:numPr>
          <w:ilvl w:val="0"/>
          <w:numId w:val="2"/>
        </w:numPr>
        <w:kinsoku/>
        <w:overflowPunct/>
        <w:topLinePunct w:val="0"/>
        <w:autoSpaceDE/>
        <w:autoSpaceDN/>
        <w:bidi w:val="0"/>
        <w:adjustRightInd/>
        <w:snapToGrid w:val="0"/>
        <w:spacing w:line="360" w:lineRule="auto"/>
        <w:jc w:val="both"/>
        <w:textAlignment w:val="auto"/>
        <w:rPr>
          <w:rFonts w:hint="eastAsia"/>
          <w:sz w:val="24"/>
          <w:szCs w:val="24"/>
          <w:lang w:val="en-US" w:eastAsia="zh-CN"/>
        </w:rPr>
      </w:pPr>
      <w:r>
        <w:rPr>
          <w:rFonts w:hint="eastAsia"/>
          <w:sz w:val="24"/>
          <w:szCs w:val="24"/>
          <w:lang w:val="en-US" w:eastAsia="zh-CN"/>
        </w:rPr>
        <w:t>Geng LN, Li T, Liu Y, Liu XT, Wang J, Zhang L, Yang JL, Zhang B*. Lycium barbarum polysaccharide corrects CCR9+ Th17/ Treg imbalance in patients with rheumatoid arthritis. Clinical Rheumatology, 2025. DOI: 10.1007/s10067-025-07415-x.（第一作者，已在线发表）</w:t>
      </w:r>
    </w:p>
    <w:p w14:paraId="7A9C6D2F">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0" w:firstLine="0" w:leftChars="0" w:firstLineChars="0"/>
        <w:jc w:val="both"/>
        <w:textAlignment w:val="auto"/>
        <w:rPr>
          <w:rFonts w:hint="default"/>
          <w:sz w:val="24"/>
          <w:szCs w:val="24"/>
          <w:lang w:val="en-US" w:eastAsia="zh-CN"/>
        </w:rPr>
      </w:pPr>
      <w:r>
        <w:rPr>
          <w:rFonts w:hint="default"/>
          <w:sz w:val="24"/>
          <w:szCs w:val="24"/>
          <w:lang w:val="en-US" w:eastAsia="zh-CN"/>
        </w:rPr>
        <w:t>Geng</w:t>
      </w:r>
      <w:r>
        <w:rPr>
          <w:rFonts w:hint="eastAsia"/>
          <w:sz w:val="24"/>
          <w:szCs w:val="24"/>
          <w:lang w:val="en-US" w:eastAsia="zh-CN"/>
        </w:rPr>
        <w:t xml:space="preserve"> </w:t>
      </w:r>
      <w:r>
        <w:rPr>
          <w:rFonts w:hint="default"/>
          <w:sz w:val="24"/>
          <w:szCs w:val="24"/>
          <w:lang w:val="en-US" w:eastAsia="zh-CN"/>
        </w:rPr>
        <w:t>L</w:t>
      </w:r>
      <w:r>
        <w:rPr>
          <w:rFonts w:hint="eastAsia"/>
          <w:sz w:val="24"/>
          <w:szCs w:val="24"/>
          <w:lang w:val="en-US" w:eastAsia="zh-CN"/>
        </w:rPr>
        <w:t>N</w:t>
      </w:r>
      <w:r>
        <w:rPr>
          <w:rFonts w:hint="default"/>
          <w:sz w:val="24"/>
          <w:szCs w:val="24"/>
          <w:lang w:val="en-US" w:eastAsia="zh-CN"/>
        </w:rPr>
        <w:t xml:space="preserve"> </w:t>
      </w:r>
      <w:r>
        <w:rPr>
          <w:rFonts w:hint="eastAsia"/>
          <w:sz w:val="24"/>
          <w:szCs w:val="24"/>
          <w:lang w:val="en-US" w:eastAsia="zh-CN"/>
        </w:rPr>
        <w:t xml:space="preserve">, </w:t>
      </w:r>
      <w:r>
        <w:rPr>
          <w:rFonts w:hint="default"/>
          <w:sz w:val="24"/>
          <w:szCs w:val="24"/>
          <w:lang w:val="en-US" w:eastAsia="zh-CN"/>
        </w:rPr>
        <w:t>Qiang</w:t>
      </w:r>
      <w:r>
        <w:rPr>
          <w:rFonts w:hint="eastAsia"/>
          <w:sz w:val="24"/>
          <w:szCs w:val="24"/>
          <w:lang w:val="en-US" w:eastAsia="zh-CN"/>
        </w:rPr>
        <w:t xml:space="preserve"> </w:t>
      </w:r>
      <w:r>
        <w:rPr>
          <w:rFonts w:hint="default"/>
          <w:sz w:val="24"/>
          <w:szCs w:val="24"/>
          <w:lang w:val="en-US" w:eastAsia="zh-CN"/>
        </w:rPr>
        <w:t>C</w:t>
      </w:r>
      <w:r>
        <w:rPr>
          <w:rFonts w:hint="eastAsia"/>
          <w:sz w:val="24"/>
          <w:szCs w:val="24"/>
          <w:lang w:val="en-US" w:eastAsia="zh-CN"/>
        </w:rPr>
        <w:t xml:space="preserve">X, </w:t>
      </w:r>
      <w:r>
        <w:rPr>
          <w:rFonts w:hint="default"/>
          <w:sz w:val="24"/>
          <w:szCs w:val="24"/>
          <w:lang w:val="en-US" w:eastAsia="zh-CN"/>
        </w:rPr>
        <w:t>Zhang</w:t>
      </w:r>
      <w:r>
        <w:rPr>
          <w:rFonts w:hint="eastAsia"/>
          <w:sz w:val="24"/>
          <w:szCs w:val="24"/>
          <w:lang w:val="en-US" w:eastAsia="zh-CN"/>
        </w:rPr>
        <w:t xml:space="preserve"> </w:t>
      </w:r>
      <w:r>
        <w:rPr>
          <w:rFonts w:hint="default"/>
          <w:sz w:val="24"/>
          <w:szCs w:val="24"/>
          <w:lang w:val="en-US" w:eastAsia="zh-CN"/>
        </w:rPr>
        <w:t>X</w:t>
      </w:r>
      <w:r>
        <w:rPr>
          <w:rFonts w:hint="eastAsia"/>
          <w:sz w:val="24"/>
          <w:szCs w:val="24"/>
          <w:lang w:val="en-US" w:eastAsia="zh-CN"/>
        </w:rPr>
        <w:t xml:space="preserve">, </w:t>
      </w:r>
      <w:r>
        <w:rPr>
          <w:rFonts w:hint="default"/>
          <w:sz w:val="24"/>
          <w:szCs w:val="24"/>
          <w:lang w:val="en-US" w:eastAsia="zh-CN"/>
        </w:rPr>
        <w:t>Yang</w:t>
      </w:r>
      <w:r>
        <w:rPr>
          <w:rFonts w:hint="eastAsia"/>
          <w:sz w:val="24"/>
          <w:szCs w:val="24"/>
          <w:lang w:val="en-US" w:eastAsia="zh-CN"/>
        </w:rPr>
        <w:t xml:space="preserve"> </w:t>
      </w:r>
      <w:r>
        <w:rPr>
          <w:rFonts w:hint="default"/>
          <w:sz w:val="24"/>
          <w:szCs w:val="24"/>
          <w:lang w:val="en-US" w:eastAsia="zh-CN"/>
        </w:rPr>
        <w:t>J</w:t>
      </w:r>
      <w:r>
        <w:rPr>
          <w:rFonts w:hint="eastAsia"/>
          <w:sz w:val="24"/>
          <w:szCs w:val="24"/>
          <w:lang w:val="en-US" w:eastAsia="zh-CN"/>
        </w:rPr>
        <w:t xml:space="preserve">, </w:t>
      </w:r>
      <w:r>
        <w:rPr>
          <w:rFonts w:hint="default"/>
          <w:sz w:val="24"/>
          <w:szCs w:val="24"/>
          <w:lang w:val="en-US" w:eastAsia="zh-CN"/>
        </w:rPr>
        <w:t>Li</w:t>
      </w:r>
      <w:r>
        <w:rPr>
          <w:rFonts w:hint="eastAsia"/>
          <w:sz w:val="24"/>
          <w:szCs w:val="24"/>
          <w:lang w:val="en-US" w:eastAsia="zh-CN"/>
        </w:rPr>
        <w:t xml:space="preserve"> </w:t>
      </w:r>
      <w:r>
        <w:rPr>
          <w:rFonts w:hint="default"/>
          <w:sz w:val="24"/>
          <w:szCs w:val="24"/>
          <w:lang w:val="en-US" w:eastAsia="zh-CN"/>
        </w:rPr>
        <w:t>Z</w:t>
      </w:r>
      <w:r>
        <w:rPr>
          <w:rFonts w:hint="eastAsia"/>
          <w:sz w:val="24"/>
          <w:szCs w:val="24"/>
          <w:lang w:val="en-US" w:eastAsia="zh-CN"/>
        </w:rPr>
        <w:t>R,</w:t>
      </w:r>
      <w:r>
        <w:rPr>
          <w:rFonts w:hint="default"/>
          <w:sz w:val="24"/>
          <w:szCs w:val="24"/>
          <w:lang w:val="en-US" w:eastAsia="zh-CN"/>
        </w:rPr>
        <w:t xml:space="preserve"> Ouyang</w:t>
      </w:r>
      <w:r>
        <w:rPr>
          <w:rFonts w:hint="eastAsia"/>
          <w:sz w:val="24"/>
          <w:szCs w:val="24"/>
          <w:lang w:val="en-US" w:eastAsia="zh-CN"/>
        </w:rPr>
        <w:t xml:space="preserve"> </w:t>
      </w:r>
      <w:r>
        <w:rPr>
          <w:rFonts w:hint="default"/>
          <w:sz w:val="24"/>
          <w:szCs w:val="24"/>
          <w:lang w:val="en-US" w:eastAsia="zh-CN"/>
        </w:rPr>
        <w:t>Z</w:t>
      </w:r>
      <w:r>
        <w:rPr>
          <w:rFonts w:hint="eastAsia"/>
          <w:sz w:val="24"/>
          <w:szCs w:val="24"/>
          <w:lang w:val="en-US" w:eastAsia="zh-CN"/>
        </w:rPr>
        <w:t>R,</w:t>
      </w:r>
      <w:r>
        <w:rPr>
          <w:rFonts w:hint="default"/>
          <w:sz w:val="24"/>
          <w:szCs w:val="24"/>
          <w:lang w:val="en-US" w:eastAsia="zh-CN"/>
        </w:rPr>
        <w:t xml:space="preserve"> Li</w:t>
      </w:r>
      <w:r>
        <w:rPr>
          <w:rFonts w:hint="eastAsia"/>
          <w:sz w:val="24"/>
          <w:szCs w:val="24"/>
          <w:lang w:val="en-US" w:eastAsia="zh-CN"/>
        </w:rPr>
        <w:t xml:space="preserve"> </w:t>
      </w:r>
      <w:r>
        <w:rPr>
          <w:rFonts w:hint="default"/>
          <w:sz w:val="24"/>
          <w:szCs w:val="24"/>
          <w:lang w:val="en-US" w:eastAsia="zh-CN"/>
        </w:rPr>
        <w:t>J</w:t>
      </w:r>
      <w:r>
        <w:rPr>
          <w:rFonts w:hint="eastAsia"/>
          <w:sz w:val="24"/>
          <w:szCs w:val="24"/>
          <w:lang w:val="en-US" w:eastAsia="zh-CN"/>
        </w:rPr>
        <w:t>YR,</w:t>
      </w:r>
      <w:r>
        <w:rPr>
          <w:rFonts w:hint="default"/>
          <w:sz w:val="24"/>
          <w:szCs w:val="24"/>
          <w:lang w:val="en-US" w:eastAsia="zh-CN"/>
        </w:rPr>
        <w:t xml:space="preserve"> Zhang</w:t>
      </w:r>
      <w:r>
        <w:rPr>
          <w:rFonts w:hint="eastAsia"/>
          <w:sz w:val="24"/>
          <w:szCs w:val="24"/>
          <w:lang w:val="en-US" w:eastAsia="zh-CN"/>
        </w:rPr>
        <w:t xml:space="preserve"> </w:t>
      </w:r>
      <w:r>
        <w:rPr>
          <w:rFonts w:hint="default"/>
          <w:sz w:val="24"/>
          <w:szCs w:val="24"/>
          <w:lang w:val="en-US" w:eastAsia="zh-CN"/>
        </w:rPr>
        <w:t>Y</w:t>
      </w:r>
      <w:r>
        <w:rPr>
          <w:rFonts w:hint="eastAsia"/>
          <w:sz w:val="24"/>
          <w:szCs w:val="24"/>
          <w:lang w:val="en-US" w:eastAsia="zh-CN"/>
        </w:rPr>
        <w:t xml:space="preserve">L, </w:t>
      </w:r>
      <w:r>
        <w:rPr>
          <w:rFonts w:hint="default"/>
          <w:sz w:val="24"/>
          <w:szCs w:val="24"/>
          <w:lang w:val="en-US" w:eastAsia="zh-CN"/>
        </w:rPr>
        <w:t>Huo</w:t>
      </w:r>
      <w:r>
        <w:rPr>
          <w:rFonts w:hint="eastAsia"/>
          <w:sz w:val="24"/>
          <w:szCs w:val="24"/>
          <w:lang w:val="en-US" w:eastAsia="zh-CN"/>
        </w:rPr>
        <w:t xml:space="preserve"> </w:t>
      </w:r>
      <w:r>
        <w:rPr>
          <w:rFonts w:hint="default"/>
          <w:sz w:val="24"/>
          <w:szCs w:val="24"/>
          <w:lang w:val="en-US" w:eastAsia="zh-CN"/>
        </w:rPr>
        <w:t>Q</w:t>
      </w:r>
      <w:r>
        <w:rPr>
          <w:rFonts w:hint="eastAsia"/>
          <w:sz w:val="24"/>
          <w:szCs w:val="24"/>
          <w:lang w:val="en-US" w:eastAsia="zh-CN"/>
        </w:rPr>
        <w:t>Y,</w:t>
      </w:r>
      <w:r>
        <w:rPr>
          <w:rFonts w:hint="default"/>
          <w:sz w:val="24"/>
          <w:szCs w:val="24"/>
          <w:lang w:val="en-US" w:eastAsia="zh-CN"/>
        </w:rPr>
        <w:t xml:space="preserve"> Li</w:t>
      </w:r>
      <w:r>
        <w:rPr>
          <w:rFonts w:hint="eastAsia"/>
          <w:sz w:val="24"/>
          <w:szCs w:val="24"/>
          <w:lang w:val="en-US" w:eastAsia="zh-CN"/>
        </w:rPr>
        <w:t xml:space="preserve"> </w:t>
      </w:r>
      <w:r>
        <w:rPr>
          <w:rFonts w:hint="default"/>
          <w:sz w:val="24"/>
          <w:szCs w:val="24"/>
          <w:lang w:val="en-US" w:eastAsia="zh-CN"/>
        </w:rPr>
        <w:t>Q</w:t>
      </w:r>
      <w:r>
        <w:rPr>
          <w:rFonts w:hint="eastAsia"/>
          <w:sz w:val="24"/>
          <w:szCs w:val="24"/>
          <w:lang w:val="en-US" w:eastAsia="zh-CN"/>
        </w:rPr>
        <w:t>Q,</w:t>
      </w:r>
      <w:r>
        <w:rPr>
          <w:rFonts w:hint="default"/>
          <w:sz w:val="24"/>
          <w:szCs w:val="24"/>
          <w:lang w:val="en-US" w:eastAsia="zh-CN"/>
        </w:rPr>
        <w:t xml:space="preserve"> Liu</w:t>
      </w:r>
      <w:r>
        <w:rPr>
          <w:rFonts w:hint="eastAsia"/>
          <w:sz w:val="24"/>
          <w:szCs w:val="24"/>
          <w:lang w:val="en-US" w:eastAsia="zh-CN"/>
        </w:rPr>
        <w:t xml:space="preserve"> </w:t>
      </w:r>
      <w:r>
        <w:rPr>
          <w:rFonts w:hint="default"/>
          <w:sz w:val="24"/>
          <w:szCs w:val="24"/>
          <w:lang w:val="en-US" w:eastAsia="zh-CN"/>
        </w:rPr>
        <w:t>Y</w:t>
      </w:r>
      <w:r>
        <w:rPr>
          <w:rFonts w:hint="eastAsia"/>
          <w:sz w:val="24"/>
          <w:szCs w:val="24"/>
          <w:lang w:val="en-US" w:eastAsia="zh-CN"/>
        </w:rPr>
        <w:t>,</w:t>
      </w:r>
      <w:r>
        <w:rPr>
          <w:rFonts w:hint="default"/>
          <w:sz w:val="24"/>
          <w:szCs w:val="24"/>
          <w:lang w:val="en-US" w:eastAsia="zh-CN"/>
        </w:rPr>
        <w:t xml:space="preserve"> Qin</w:t>
      </w:r>
      <w:r>
        <w:rPr>
          <w:rFonts w:hint="eastAsia"/>
          <w:sz w:val="24"/>
          <w:szCs w:val="24"/>
          <w:lang w:val="en-US" w:eastAsia="zh-CN"/>
        </w:rPr>
        <w:t xml:space="preserve"> </w:t>
      </w:r>
      <w:r>
        <w:rPr>
          <w:rFonts w:hint="default"/>
          <w:sz w:val="24"/>
          <w:szCs w:val="24"/>
          <w:lang w:val="en-US" w:eastAsia="zh-CN"/>
        </w:rPr>
        <w:t>P</w:t>
      </w:r>
      <w:r>
        <w:rPr>
          <w:rFonts w:hint="eastAsia"/>
          <w:sz w:val="24"/>
          <w:szCs w:val="24"/>
          <w:lang w:val="en-US" w:eastAsia="zh-CN"/>
        </w:rPr>
        <w:t>,</w:t>
      </w:r>
      <w:r>
        <w:rPr>
          <w:rFonts w:hint="default"/>
          <w:sz w:val="24"/>
          <w:szCs w:val="24"/>
          <w:lang w:val="en-US" w:eastAsia="zh-CN"/>
        </w:rPr>
        <w:t xml:space="preserve"> Zhang</w:t>
      </w:r>
      <w:r>
        <w:rPr>
          <w:rFonts w:hint="eastAsia"/>
          <w:sz w:val="24"/>
          <w:szCs w:val="24"/>
          <w:lang w:val="en-US" w:eastAsia="zh-CN"/>
        </w:rPr>
        <w:t xml:space="preserve"> </w:t>
      </w: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 xml:space="preserve"> Zhao J</w:t>
      </w:r>
      <w:r>
        <w:rPr>
          <w:rFonts w:hint="eastAsia"/>
          <w:sz w:val="24"/>
          <w:szCs w:val="24"/>
          <w:lang w:val="en-US" w:eastAsia="zh-CN"/>
        </w:rPr>
        <w:t>H</w:t>
      </w:r>
      <w:r>
        <w:rPr>
          <w:rFonts w:hint="eastAsia"/>
          <w:sz w:val="24"/>
          <w:szCs w:val="24"/>
          <w:vertAlign w:val="superscript"/>
          <w:lang w:val="en-US" w:eastAsia="zh-CN"/>
        </w:rPr>
        <w:t>*</w:t>
      </w:r>
      <w:r>
        <w:rPr>
          <w:rFonts w:hint="eastAsia"/>
          <w:sz w:val="24"/>
          <w:szCs w:val="24"/>
          <w:lang w:val="en-US" w:eastAsia="zh-CN"/>
        </w:rPr>
        <w:t xml:space="preserve">. </w:t>
      </w:r>
      <w:r>
        <w:rPr>
          <w:rFonts w:hint="default"/>
          <w:sz w:val="24"/>
          <w:szCs w:val="24"/>
          <w:lang w:val="en-US" w:eastAsia="zh-CN"/>
        </w:rPr>
        <w:t>CCR9</w:t>
      </w:r>
      <w:r>
        <w:rPr>
          <w:rFonts w:hint="default"/>
          <w:sz w:val="24"/>
          <w:szCs w:val="24"/>
          <w:vertAlign w:val="superscript"/>
          <w:lang w:val="en-US" w:eastAsia="zh-CN"/>
        </w:rPr>
        <w:t>+</w:t>
      </w:r>
      <w:r>
        <w:rPr>
          <w:rFonts w:hint="default"/>
          <w:sz w:val="24"/>
          <w:szCs w:val="24"/>
          <w:lang w:val="en-US" w:eastAsia="zh-CN"/>
        </w:rPr>
        <w:t>CD4</w:t>
      </w:r>
      <w:r>
        <w:rPr>
          <w:rFonts w:hint="default"/>
          <w:sz w:val="24"/>
          <w:szCs w:val="24"/>
          <w:vertAlign w:val="superscript"/>
          <w:lang w:val="en-US" w:eastAsia="zh-CN"/>
        </w:rPr>
        <w:t>+</w:t>
      </w:r>
      <w:r>
        <w:rPr>
          <w:rFonts w:hint="default"/>
          <w:sz w:val="24"/>
          <w:szCs w:val="24"/>
          <w:lang w:val="en-US" w:eastAsia="zh-CN"/>
        </w:rPr>
        <w:t xml:space="preserve"> T cells are associated with disease activity in patients with rheumatoid arthritis, Medicine, 2024, 103 (16): e37803. （第一作者）</w:t>
      </w:r>
    </w:p>
    <w:p w14:paraId="0ADEA5DB">
      <w:pPr>
        <w:keepNext w:val="0"/>
        <w:keepLines w:val="0"/>
        <w:pageBreakBefore w:val="0"/>
        <w:numPr>
          <w:ilvl w:val="0"/>
          <w:numId w:val="2"/>
        </w:numPr>
        <w:kinsoku/>
        <w:overflowPunct/>
        <w:topLinePunct w:val="0"/>
        <w:autoSpaceDE/>
        <w:autoSpaceDN/>
        <w:bidi w:val="0"/>
        <w:adjustRightInd/>
        <w:snapToGrid w:val="0"/>
        <w:spacing w:line="360" w:lineRule="auto"/>
        <w:ind w:left="0" w:firstLine="0" w:leftChars="0" w:firstLineChars="0"/>
        <w:jc w:val="both"/>
        <w:textAlignment w:val="auto"/>
        <w:rPr>
          <w:rFonts w:hint="eastAsia"/>
          <w:sz w:val="24"/>
          <w:szCs w:val="24"/>
          <w:lang w:val="en-US" w:eastAsia="zh-CN"/>
        </w:rPr>
      </w:pPr>
      <w:r>
        <w:rPr>
          <w:rFonts w:hint="eastAsia"/>
          <w:sz w:val="24"/>
          <w:szCs w:val="24"/>
          <w:lang w:val="en-US" w:eastAsia="zh-CN"/>
        </w:rPr>
        <w:t>Geng LN, Yang J#, Tang XY, Peng HY, Tian J, Hu ZG, Liu YZ, Xu HX, Wang SJ*. SLAM/SAP Decreased Follicular Regulatory T Cells in Patients with Graves’Disease, Journal of Immunology Research, 2021, 2021: 1-11.（第一作者 ）</w:t>
      </w:r>
    </w:p>
    <w:p w14:paraId="74046E9F">
      <w:pPr>
        <w:keepNext w:val="0"/>
        <w:keepLines w:val="0"/>
        <w:pageBreakBefore w:val="0"/>
        <w:kinsoku/>
        <w:overflowPunct/>
        <w:topLinePunct w:val="0"/>
        <w:autoSpaceDE/>
        <w:autoSpaceDN/>
        <w:bidi w:val="0"/>
        <w:adjustRightInd/>
        <w:snapToGrid w:val="0"/>
        <w:spacing w:line="360" w:lineRule="auto"/>
        <w:jc w:val="left"/>
        <w:textAlignment w:val="auto"/>
        <w:rPr>
          <w:rFonts w:hint="eastAsia"/>
          <w:sz w:val="24"/>
          <w:szCs w:val="24"/>
          <w:lang w:val="en-US" w:eastAsia="zh-CN"/>
        </w:rPr>
      </w:pPr>
      <w:r>
        <w:rPr>
          <w:rFonts w:hint="eastAsia"/>
          <w:b/>
          <w:bCs/>
          <w:sz w:val="24"/>
          <w:szCs w:val="24"/>
          <w:lang w:val="en-US" w:eastAsia="zh-CN"/>
        </w:rPr>
        <w:t>董玥宏（项目组主要成员）</w:t>
      </w:r>
      <w:r>
        <w:rPr>
          <w:rFonts w:hint="eastAsia"/>
          <w:sz w:val="24"/>
          <w:szCs w:val="24"/>
          <w:lang w:val="en-US" w:eastAsia="zh-CN"/>
        </w:rPr>
        <w:t>2023级河北北方学院免疫学专业硕士研究生。现已熟练掌握小鼠失血性休克模型制备，免疫细胞分选与细胞培养、Western Blotting、基因小鼠鉴定等实验技术，在本项目中承担小鼠失血性休克模型的制备、细胞分选与培养、蛋白表达检测及分析工作。</w:t>
      </w:r>
    </w:p>
    <w:p w14:paraId="42FB6FFD">
      <w:pPr>
        <w:keepNext w:val="0"/>
        <w:keepLines w:val="0"/>
        <w:pageBreakBefore w:val="0"/>
        <w:kinsoku/>
        <w:overflowPunct/>
        <w:topLinePunct w:val="0"/>
        <w:autoSpaceDE/>
        <w:autoSpaceDN/>
        <w:bidi w:val="0"/>
        <w:adjustRightInd/>
        <w:snapToGrid w:val="0"/>
        <w:spacing w:line="360" w:lineRule="auto"/>
        <w:jc w:val="left"/>
        <w:textAlignment w:val="auto"/>
        <w:rPr>
          <w:rFonts w:hint="eastAsia"/>
          <w:sz w:val="24"/>
          <w:szCs w:val="24"/>
          <w:lang w:val="en-US" w:eastAsia="zh-CN"/>
        </w:rPr>
      </w:pPr>
      <w:r>
        <w:rPr>
          <w:rFonts w:hint="default"/>
          <w:b/>
          <w:bCs/>
          <w:sz w:val="24"/>
          <w:szCs w:val="24"/>
          <w:lang w:val="en-US" w:eastAsia="zh-CN"/>
        </w:rPr>
        <w:t>主要相关论著</w:t>
      </w:r>
      <w:r>
        <w:rPr>
          <w:rFonts w:hint="default"/>
          <w:sz w:val="24"/>
          <w:szCs w:val="24"/>
          <w:lang w:val="en-US" w:eastAsia="zh-CN"/>
        </w:rPr>
        <w:t>：</w:t>
      </w:r>
    </w:p>
    <w:p w14:paraId="17DC2EF6">
      <w:pPr>
        <w:keepNext w:val="0"/>
        <w:keepLines w:val="0"/>
        <w:pageBreakBefore w:val="0"/>
        <w:numPr>
          <w:ilvl w:val="0"/>
          <w:numId w:val="3"/>
        </w:numPr>
        <w:kinsoku/>
        <w:overflowPunct/>
        <w:topLinePunct w:val="0"/>
        <w:autoSpaceDE/>
        <w:autoSpaceDN/>
        <w:bidi w:val="0"/>
        <w:adjustRightInd/>
        <w:snapToGrid w:val="0"/>
        <w:spacing w:line="360" w:lineRule="auto"/>
        <w:jc w:val="left"/>
        <w:textAlignment w:val="auto"/>
        <w:rPr>
          <w:rFonts w:hint="eastAsia"/>
          <w:sz w:val="24"/>
          <w:szCs w:val="24"/>
          <w:lang w:val="en-US" w:eastAsia="zh-CN"/>
        </w:rPr>
      </w:pPr>
      <w:r>
        <w:rPr>
          <w:rFonts w:hint="eastAsia"/>
          <w:sz w:val="24"/>
          <w:szCs w:val="24"/>
          <w:lang w:val="en-US" w:eastAsia="zh-CN"/>
        </w:rPr>
        <w:t>姜淼, 蒋丽娜, 董玥宏, 姚咏明</w:t>
      </w:r>
      <w:r>
        <w:rPr>
          <w:rFonts w:hint="eastAsia"/>
          <w:sz w:val="24"/>
          <w:szCs w:val="24"/>
          <w:vertAlign w:val="superscript"/>
          <w:lang w:val="en-US" w:eastAsia="zh-CN"/>
        </w:rPr>
        <w:t>*</w:t>
      </w:r>
      <w:r>
        <w:rPr>
          <w:rFonts w:hint="eastAsia"/>
          <w:sz w:val="24"/>
          <w:szCs w:val="24"/>
          <w:lang w:val="en-US" w:eastAsia="zh-CN"/>
        </w:rPr>
        <w:t>, 赵自刚</w:t>
      </w:r>
      <w:r>
        <w:rPr>
          <w:rFonts w:hint="eastAsia"/>
          <w:sz w:val="24"/>
          <w:szCs w:val="24"/>
          <w:vertAlign w:val="superscript"/>
          <w:lang w:val="en-US" w:eastAsia="zh-CN"/>
        </w:rPr>
        <w:t>*</w:t>
      </w:r>
      <w:r>
        <w:rPr>
          <w:rFonts w:hint="eastAsia"/>
          <w:sz w:val="24"/>
          <w:szCs w:val="24"/>
          <w:lang w:val="en-US" w:eastAsia="zh-CN"/>
        </w:rPr>
        <w:t>, 牛春雨</w:t>
      </w:r>
      <w:r>
        <w:rPr>
          <w:rFonts w:hint="eastAsia"/>
          <w:sz w:val="24"/>
          <w:szCs w:val="24"/>
          <w:vertAlign w:val="superscript"/>
          <w:lang w:val="en-US" w:eastAsia="zh-CN"/>
        </w:rPr>
        <w:t>*</w:t>
      </w:r>
      <w:r>
        <w:rPr>
          <w:rFonts w:hint="eastAsia"/>
          <w:sz w:val="24"/>
          <w:szCs w:val="24"/>
          <w:lang w:val="en-US" w:eastAsia="zh-CN"/>
        </w:rPr>
        <w:t>. 三方基序蛋白13的生物学特征和功能及与疾病发生的关系[J]. 生物化学与生物物理进展. 2025, 52(03):554-568.（第三作者）</w:t>
      </w:r>
    </w:p>
    <w:p w14:paraId="6ABF7D33">
      <w:pPr>
        <w:keepNext w:val="0"/>
        <w:keepLines w:val="0"/>
        <w:pageBreakBefore w:val="0"/>
        <w:numPr>
          <w:ilvl w:val="0"/>
          <w:numId w:val="3"/>
        </w:numPr>
        <w:kinsoku/>
        <w:overflowPunct/>
        <w:topLinePunct w:val="0"/>
        <w:autoSpaceDE/>
        <w:autoSpaceDN/>
        <w:bidi w:val="0"/>
        <w:adjustRightInd/>
        <w:snapToGrid w:val="0"/>
        <w:spacing w:line="360" w:lineRule="auto"/>
        <w:jc w:val="left"/>
        <w:textAlignment w:val="auto"/>
        <w:rPr>
          <w:rFonts w:hint="default"/>
          <w:sz w:val="24"/>
          <w:szCs w:val="24"/>
          <w:lang w:val="en-US" w:eastAsia="zh-CN"/>
        </w:rPr>
      </w:pPr>
      <w:r>
        <w:rPr>
          <w:rFonts w:hint="eastAsia"/>
          <w:sz w:val="24"/>
          <w:szCs w:val="24"/>
          <w:lang w:val="en-US" w:eastAsia="zh-CN"/>
        </w:rPr>
        <w:t>杨世英, 戎玉莹, 董玥宏, 蒋丽娜</w:t>
      </w:r>
      <w:r>
        <w:rPr>
          <w:rFonts w:hint="eastAsia"/>
          <w:sz w:val="24"/>
          <w:szCs w:val="24"/>
          <w:vertAlign w:val="superscript"/>
          <w:lang w:val="en-US" w:eastAsia="zh-CN"/>
        </w:rPr>
        <w:t>*</w:t>
      </w:r>
      <w:r>
        <w:rPr>
          <w:rFonts w:hint="eastAsia"/>
          <w:sz w:val="24"/>
          <w:szCs w:val="24"/>
          <w:lang w:val="en-US" w:eastAsia="zh-CN"/>
        </w:rPr>
        <w:t>. TRIM13在内质网质量控制中的作用及其与疾病的关系. 中国比较医学杂志，已录用。(第三作者)</w:t>
      </w:r>
    </w:p>
    <w:p w14:paraId="1463B279">
      <w:pPr>
        <w:keepNext w:val="0"/>
        <w:keepLines w:val="0"/>
        <w:pageBreakBefore w:val="0"/>
        <w:kinsoku/>
        <w:overflowPunct/>
        <w:topLinePunct w:val="0"/>
        <w:autoSpaceDE/>
        <w:autoSpaceDN/>
        <w:bidi w:val="0"/>
        <w:adjustRightInd/>
        <w:snapToGrid w:val="0"/>
        <w:spacing w:line="360" w:lineRule="auto"/>
        <w:jc w:val="left"/>
        <w:textAlignment w:val="auto"/>
        <w:rPr>
          <w:rFonts w:hint="default"/>
          <w:sz w:val="24"/>
          <w:szCs w:val="24"/>
          <w:lang w:val="en-US" w:eastAsia="zh-CN"/>
        </w:rPr>
      </w:pPr>
      <w:r>
        <w:rPr>
          <w:rFonts w:hint="default"/>
          <w:b/>
          <w:bCs/>
          <w:sz w:val="24"/>
          <w:szCs w:val="24"/>
          <w:lang w:val="en-US" w:eastAsia="zh-CN"/>
        </w:rPr>
        <w:t>宋凯璇（项目组主要成员）</w:t>
      </w:r>
      <w:r>
        <w:rPr>
          <w:rFonts w:hint="default"/>
          <w:sz w:val="24"/>
          <w:szCs w:val="24"/>
          <w:lang w:val="en-US" w:eastAsia="zh-CN"/>
        </w:rPr>
        <w:t>硕士，</w:t>
      </w:r>
      <w:r>
        <w:rPr>
          <w:rFonts w:hint="eastAsia"/>
          <w:sz w:val="24"/>
          <w:szCs w:val="24"/>
          <w:lang w:val="en-US" w:eastAsia="zh-CN"/>
        </w:rPr>
        <w:t>助教</w:t>
      </w:r>
      <w:r>
        <w:rPr>
          <w:rFonts w:hint="default"/>
          <w:sz w:val="24"/>
          <w:szCs w:val="24"/>
          <w:lang w:val="en-US" w:eastAsia="zh-CN"/>
        </w:rPr>
        <w:t>。主要从事生物信息学、基础免疫学的研究，熟练掌握基因工程技术、细胞生物学技术、分子生物学技术等相关实验技术。在本项目中主要负责</w:t>
      </w:r>
      <w:r>
        <w:rPr>
          <w:rFonts w:hint="eastAsia"/>
          <w:sz w:val="24"/>
          <w:szCs w:val="24"/>
          <w:lang w:val="en-US" w:eastAsia="zh-CN"/>
        </w:rPr>
        <w:t>分子生物学实验、数据处理及</w:t>
      </w:r>
      <w:r>
        <w:rPr>
          <w:rFonts w:hint="default"/>
          <w:sz w:val="24"/>
          <w:szCs w:val="24"/>
          <w:lang w:val="en-US" w:eastAsia="zh-CN"/>
        </w:rPr>
        <w:t>生物信息学分析等工作。</w:t>
      </w:r>
    </w:p>
    <w:p w14:paraId="63B9AB6E">
      <w:pPr>
        <w:keepNext w:val="0"/>
        <w:keepLines w:val="0"/>
        <w:pageBreakBefore w:val="0"/>
        <w:kinsoku/>
        <w:overflowPunct/>
        <w:topLinePunct w:val="0"/>
        <w:autoSpaceDE/>
        <w:autoSpaceDN/>
        <w:bidi w:val="0"/>
        <w:adjustRightInd/>
        <w:snapToGrid w:val="0"/>
        <w:spacing w:line="360" w:lineRule="auto"/>
        <w:jc w:val="left"/>
        <w:textAlignment w:val="auto"/>
        <w:rPr>
          <w:rFonts w:hint="default"/>
          <w:sz w:val="24"/>
          <w:szCs w:val="24"/>
          <w:lang w:val="en-US" w:eastAsia="zh-CN"/>
        </w:rPr>
      </w:pPr>
      <w:r>
        <w:rPr>
          <w:rFonts w:hint="default"/>
          <w:b/>
          <w:bCs/>
          <w:sz w:val="24"/>
          <w:szCs w:val="24"/>
          <w:lang w:val="en-US" w:eastAsia="zh-CN"/>
        </w:rPr>
        <w:t>主要相关论著</w:t>
      </w:r>
      <w:r>
        <w:rPr>
          <w:rFonts w:hint="default"/>
          <w:sz w:val="24"/>
          <w:szCs w:val="24"/>
          <w:lang w:val="en-US" w:eastAsia="zh-CN"/>
        </w:rPr>
        <w:t>：</w:t>
      </w:r>
    </w:p>
    <w:p w14:paraId="0A19D1CF">
      <w:pPr>
        <w:keepNext w:val="0"/>
        <w:keepLines w:val="0"/>
        <w:pageBreakBefore w:val="0"/>
        <w:numPr>
          <w:ilvl w:val="0"/>
          <w:numId w:val="4"/>
        </w:numPr>
        <w:kinsoku/>
        <w:overflowPunct/>
        <w:topLinePunct w:val="0"/>
        <w:autoSpaceDE/>
        <w:autoSpaceDN/>
        <w:bidi w:val="0"/>
        <w:adjustRightInd/>
        <w:snapToGrid w:val="0"/>
        <w:spacing w:line="360" w:lineRule="auto"/>
        <w:jc w:val="both"/>
        <w:textAlignment w:val="auto"/>
        <w:rPr>
          <w:rFonts w:hint="default"/>
          <w:sz w:val="24"/>
          <w:szCs w:val="24"/>
          <w:lang w:val="en-US" w:eastAsia="zh-CN"/>
        </w:rPr>
      </w:pPr>
      <w:r>
        <w:rPr>
          <w:rFonts w:hint="default"/>
          <w:sz w:val="24"/>
          <w:szCs w:val="24"/>
          <w:lang w:val="en-US" w:eastAsia="zh-CN"/>
        </w:rPr>
        <w:t>Song KX, Zhang BY, Du L*. Genome-wide identification and analysis of UBP gene family in Quercus robur</w:t>
      </w:r>
      <w:r>
        <w:rPr>
          <w:rFonts w:hint="eastAsia"/>
          <w:sz w:val="24"/>
          <w:szCs w:val="24"/>
          <w:lang w:val="en-US" w:eastAsia="zh-CN"/>
        </w:rPr>
        <w:t>.</w:t>
      </w:r>
      <w:r>
        <w:rPr>
          <w:rFonts w:hint="default"/>
          <w:sz w:val="24"/>
          <w:szCs w:val="24"/>
          <w:lang w:val="en-US" w:eastAsia="zh-CN"/>
        </w:rPr>
        <w:t xml:space="preserve"> Trees, 2024, 38(3): 807-821（第一作者）</w:t>
      </w:r>
    </w:p>
    <w:p w14:paraId="0BC75BE0">
      <w:pPr>
        <w:keepNext w:val="0"/>
        <w:keepLines w:val="0"/>
        <w:pageBreakBefore w:val="0"/>
        <w:numPr>
          <w:ilvl w:val="0"/>
          <w:numId w:val="4"/>
        </w:numPr>
        <w:kinsoku/>
        <w:overflowPunct/>
        <w:topLinePunct w:val="0"/>
        <w:autoSpaceDE/>
        <w:autoSpaceDN/>
        <w:bidi w:val="0"/>
        <w:adjustRightInd/>
        <w:snapToGrid w:val="0"/>
        <w:spacing w:line="360" w:lineRule="auto"/>
        <w:ind w:left="0" w:firstLine="0" w:leftChars="0" w:firstLineChars="0"/>
        <w:jc w:val="both"/>
        <w:textAlignment w:val="auto"/>
        <w:rPr>
          <w:rFonts w:hint="default"/>
          <w:sz w:val="24"/>
          <w:szCs w:val="24"/>
          <w:lang w:val="en-US" w:eastAsia="zh-CN"/>
        </w:rPr>
      </w:pPr>
      <w:r>
        <w:rPr>
          <w:rFonts w:hint="default"/>
          <w:sz w:val="24"/>
          <w:szCs w:val="24"/>
          <w:lang w:val="en-US" w:eastAsia="zh-CN"/>
        </w:rPr>
        <w:t>Wu RH</w:t>
      </w:r>
      <w:r>
        <w:rPr>
          <w:rFonts w:hint="default"/>
          <w:sz w:val="24"/>
          <w:szCs w:val="24"/>
          <w:vertAlign w:val="superscript"/>
          <w:lang w:val="en-US" w:eastAsia="zh-CN"/>
        </w:rPr>
        <w:t>#</w:t>
      </w:r>
      <w:r>
        <w:rPr>
          <w:rFonts w:hint="default"/>
          <w:sz w:val="24"/>
          <w:szCs w:val="24"/>
          <w:lang w:val="en-US" w:eastAsia="zh-CN"/>
        </w:rPr>
        <w:t>, Song KX</w:t>
      </w:r>
      <w:r>
        <w:rPr>
          <w:rFonts w:hint="default"/>
          <w:sz w:val="24"/>
          <w:szCs w:val="24"/>
          <w:vertAlign w:val="superscript"/>
          <w:lang w:val="en-US" w:eastAsia="zh-CN"/>
        </w:rPr>
        <w:t>#</w:t>
      </w:r>
      <w:r>
        <w:rPr>
          <w:rFonts w:hint="default"/>
          <w:sz w:val="24"/>
          <w:szCs w:val="24"/>
          <w:lang w:val="en-US" w:eastAsia="zh-CN"/>
        </w:rPr>
        <w:t>, Jing RT, Du L*. The de-ubiquitinase UBQUITIN SPECIFIC PROTEASE 15 (UBP15) interacts with the SCF E3 complex adaptor ARABIDOPSIS SKP1 HOMOLOGUE 1 (ASK1) to regulate petal size and fertility in Arabidopsis thaliana</w:t>
      </w:r>
      <w:r>
        <w:rPr>
          <w:rFonts w:hint="eastAsia"/>
          <w:sz w:val="24"/>
          <w:szCs w:val="24"/>
          <w:lang w:val="en-US" w:eastAsia="zh-CN"/>
        </w:rPr>
        <w:t>.</w:t>
      </w:r>
      <w:r>
        <w:rPr>
          <w:rFonts w:hint="default"/>
          <w:sz w:val="24"/>
          <w:szCs w:val="24"/>
          <w:lang w:val="en-US" w:eastAsia="zh-CN"/>
        </w:rPr>
        <w:t xml:space="preserve"> Plant Sci, 2024, 345: 112112（共同第一作者）</w:t>
      </w:r>
    </w:p>
    <w:p w14:paraId="41BBA744">
      <w:pPr>
        <w:keepNext w:val="0"/>
        <w:keepLines w:val="0"/>
        <w:pageBreakBefore w:val="0"/>
        <w:numPr>
          <w:ilvl w:val="0"/>
          <w:numId w:val="4"/>
        </w:numPr>
        <w:kinsoku/>
        <w:overflowPunct/>
        <w:topLinePunct w:val="0"/>
        <w:autoSpaceDE/>
        <w:autoSpaceDN/>
        <w:bidi w:val="0"/>
        <w:adjustRightInd/>
        <w:snapToGrid w:val="0"/>
        <w:spacing w:line="360" w:lineRule="auto"/>
        <w:ind w:left="0" w:firstLine="0" w:leftChars="0" w:firstLineChars="0"/>
        <w:jc w:val="both"/>
        <w:textAlignment w:val="auto"/>
        <w:rPr>
          <w:rFonts w:hint="default"/>
          <w:sz w:val="24"/>
          <w:szCs w:val="24"/>
          <w:lang w:val="en-US" w:eastAsia="zh-CN"/>
        </w:rPr>
      </w:pPr>
      <w:r>
        <w:rPr>
          <w:rFonts w:hint="default"/>
          <w:sz w:val="24"/>
          <w:szCs w:val="24"/>
          <w:lang w:val="en-US" w:eastAsia="zh-CN"/>
        </w:rPr>
        <w:t>Wang XW</w:t>
      </w:r>
      <w:r>
        <w:rPr>
          <w:rFonts w:hint="default"/>
          <w:sz w:val="24"/>
          <w:szCs w:val="24"/>
          <w:vertAlign w:val="superscript"/>
          <w:lang w:val="en-US" w:eastAsia="zh-CN"/>
        </w:rPr>
        <w:t>#</w:t>
      </w:r>
      <w:r>
        <w:rPr>
          <w:rFonts w:hint="default"/>
          <w:sz w:val="24"/>
          <w:szCs w:val="24"/>
          <w:lang w:val="en-US" w:eastAsia="zh-CN"/>
        </w:rPr>
        <w:t>, Liu X</w:t>
      </w:r>
      <w:r>
        <w:rPr>
          <w:rFonts w:hint="default"/>
          <w:sz w:val="24"/>
          <w:szCs w:val="24"/>
          <w:vertAlign w:val="superscript"/>
          <w:lang w:val="en-US" w:eastAsia="zh-CN"/>
        </w:rPr>
        <w:t>#</w:t>
      </w:r>
      <w:r>
        <w:rPr>
          <w:rFonts w:hint="default"/>
          <w:sz w:val="24"/>
          <w:szCs w:val="24"/>
          <w:lang w:val="en-US" w:eastAsia="zh-CN"/>
        </w:rPr>
        <w:t>, Song KX, Du L</w:t>
      </w:r>
      <w:r>
        <w:rPr>
          <w:rFonts w:hint="default"/>
          <w:sz w:val="24"/>
          <w:szCs w:val="24"/>
          <w:vertAlign w:val="superscript"/>
          <w:lang w:val="en-US" w:eastAsia="zh-CN"/>
        </w:rPr>
        <w:t>*</w:t>
      </w:r>
      <w:r>
        <w:rPr>
          <w:rFonts w:hint="default"/>
          <w:sz w:val="24"/>
          <w:szCs w:val="24"/>
          <w:lang w:val="en-US" w:eastAsia="zh-CN"/>
        </w:rPr>
        <w:t>. An insight into the roles of ubiquitin-specific proteases in plants: development and growth, morphogenesis, and stress response</w:t>
      </w:r>
      <w:r>
        <w:rPr>
          <w:rFonts w:hint="eastAsia"/>
          <w:sz w:val="24"/>
          <w:szCs w:val="24"/>
          <w:lang w:val="en-US" w:eastAsia="zh-CN"/>
        </w:rPr>
        <w:t>.</w:t>
      </w:r>
      <w:r>
        <w:rPr>
          <w:rFonts w:hint="default"/>
          <w:sz w:val="24"/>
          <w:szCs w:val="24"/>
          <w:lang w:val="en-US" w:eastAsia="zh-CN"/>
        </w:rPr>
        <w:t xml:space="preserve"> Front Plant Sci, 2024, 15: 1396634（第三作者）</w:t>
      </w:r>
    </w:p>
    <w:p w14:paraId="4781DB33">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hint="default"/>
          <w:sz w:val="24"/>
          <w:szCs w:val="24"/>
          <w:lang w:val="en-US" w:eastAsia="zh-CN"/>
        </w:rPr>
      </w:pPr>
      <w:r>
        <w:rPr>
          <w:rFonts w:hint="default"/>
          <w:b/>
          <w:bCs/>
          <w:sz w:val="24"/>
          <w:szCs w:val="24"/>
          <w:lang w:val="en-US" w:eastAsia="zh-CN"/>
        </w:rPr>
        <w:t>赵利娜（项目组主要成员）</w:t>
      </w:r>
      <w:r>
        <w:rPr>
          <w:rFonts w:hint="default"/>
          <w:sz w:val="24"/>
          <w:szCs w:val="24"/>
          <w:lang w:val="en-US" w:eastAsia="zh-CN"/>
        </w:rPr>
        <w:t>硕士</w:t>
      </w:r>
      <w:r>
        <w:rPr>
          <w:rFonts w:hint="eastAsia"/>
          <w:sz w:val="24"/>
          <w:szCs w:val="24"/>
          <w:lang w:val="en-US" w:eastAsia="zh-CN"/>
        </w:rPr>
        <w:t>，实验师</w:t>
      </w:r>
      <w:r>
        <w:rPr>
          <w:rFonts w:hint="default"/>
          <w:sz w:val="24"/>
          <w:szCs w:val="24"/>
          <w:lang w:val="en-US" w:eastAsia="zh-CN"/>
        </w:rPr>
        <w:t>。主要从事真菌分子生物学、基础免疫学分析的研究，熟练掌握免疫</w:t>
      </w:r>
      <w:r>
        <w:rPr>
          <w:rFonts w:hint="eastAsia"/>
          <w:sz w:val="24"/>
          <w:szCs w:val="24"/>
          <w:lang w:val="en-US" w:eastAsia="zh-CN"/>
        </w:rPr>
        <w:t>学</w:t>
      </w:r>
      <w:r>
        <w:rPr>
          <w:rFonts w:hint="default"/>
          <w:sz w:val="24"/>
          <w:szCs w:val="24"/>
          <w:lang w:val="en-US" w:eastAsia="zh-CN"/>
        </w:rPr>
        <w:t>、分子</w:t>
      </w:r>
      <w:r>
        <w:rPr>
          <w:rFonts w:hint="eastAsia"/>
          <w:sz w:val="24"/>
          <w:szCs w:val="24"/>
          <w:lang w:val="en-US" w:eastAsia="zh-CN"/>
        </w:rPr>
        <w:t>生物学</w:t>
      </w:r>
      <w:r>
        <w:rPr>
          <w:rFonts w:hint="default"/>
          <w:sz w:val="24"/>
          <w:szCs w:val="24"/>
          <w:lang w:val="en-US" w:eastAsia="zh-CN"/>
        </w:rPr>
        <w:t>等相关实验技术。在本项目中主要负责检测免疫相关基因的表达变化及免疫抗原、细胞因子等分子含量等工作。</w:t>
      </w:r>
    </w:p>
    <w:p w14:paraId="38E8EBB2">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hint="default"/>
          <w:b/>
          <w:bCs/>
          <w:sz w:val="24"/>
          <w:szCs w:val="24"/>
          <w:lang w:val="en-US" w:eastAsia="zh-CN"/>
        </w:rPr>
      </w:pPr>
      <w:r>
        <w:rPr>
          <w:rFonts w:hint="default"/>
          <w:b/>
          <w:bCs/>
          <w:sz w:val="24"/>
          <w:szCs w:val="24"/>
          <w:lang w:val="en-US" w:eastAsia="zh-CN"/>
        </w:rPr>
        <w:t>主要相关论著：</w:t>
      </w:r>
    </w:p>
    <w:p w14:paraId="42F9B496">
      <w:pPr>
        <w:keepNext w:val="0"/>
        <w:keepLines w:val="0"/>
        <w:pageBreakBefore w:val="0"/>
        <w:widowControl w:val="0"/>
        <w:numPr>
          <w:ilvl w:val="0"/>
          <w:numId w:val="5"/>
        </w:numPr>
        <w:kinsoku/>
        <w:wordWrap/>
        <w:overflowPunct/>
        <w:topLinePunct w:val="0"/>
        <w:autoSpaceDE/>
        <w:autoSpaceDN/>
        <w:bidi w:val="0"/>
        <w:adjustRightInd/>
        <w:snapToGrid w:val="0"/>
        <w:spacing w:line="360" w:lineRule="auto"/>
        <w:ind w:firstLine="0" w:firstLineChars="0"/>
        <w:jc w:val="both"/>
        <w:textAlignment w:val="auto"/>
        <w:rPr>
          <w:rFonts w:hint="default"/>
          <w:sz w:val="24"/>
          <w:szCs w:val="24"/>
          <w:lang w:val="en-US" w:eastAsia="zh-CN"/>
        </w:rPr>
      </w:pPr>
      <w:r>
        <w:rPr>
          <w:rFonts w:hint="default"/>
          <w:sz w:val="24"/>
          <w:szCs w:val="24"/>
          <w:lang w:val="en-US" w:eastAsia="zh-CN"/>
        </w:rPr>
        <w:t>赵利娜</w:t>
      </w:r>
      <w:r>
        <w:rPr>
          <w:rFonts w:hint="eastAsia"/>
          <w:sz w:val="24"/>
          <w:szCs w:val="24"/>
          <w:lang w:val="en-US" w:eastAsia="zh-CN"/>
        </w:rPr>
        <w:t xml:space="preserve">, </w:t>
      </w:r>
      <w:r>
        <w:rPr>
          <w:rFonts w:hint="default"/>
          <w:sz w:val="24"/>
          <w:szCs w:val="24"/>
          <w:lang w:val="en-US" w:eastAsia="zh-CN"/>
        </w:rPr>
        <w:t>闵钰</w:t>
      </w:r>
      <w:r>
        <w:rPr>
          <w:rFonts w:hint="eastAsia"/>
          <w:sz w:val="24"/>
          <w:szCs w:val="24"/>
          <w:lang w:val="en-US" w:eastAsia="zh-CN"/>
        </w:rPr>
        <w:t xml:space="preserve">, </w:t>
      </w:r>
      <w:r>
        <w:rPr>
          <w:rFonts w:hint="default"/>
          <w:sz w:val="24"/>
          <w:szCs w:val="24"/>
          <w:lang w:val="en-US" w:eastAsia="zh-CN"/>
        </w:rPr>
        <w:t>卢萍</w:t>
      </w:r>
      <w:r>
        <w:rPr>
          <w:rFonts w:hint="eastAsia"/>
          <w:sz w:val="24"/>
          <w:szCs w:val="24"/>
          <w:vertAlign w:val="superscript"/>
          <w:lang w:val="en-US" w:eastAsia="zh-CN"/>
        </w:rPr>
        <w:t>*</w:t>
      </w:r>
      <w:r>
        <w:rPr>
          <w:rFonts w:hint="eastAsia"/>
          <w:sz w:val="24"/>
          <w:szCs w:val="24"/>
          <w:lang w:val="en-US" w:eastAsia="zh-CN"/>
        </w:rPr>
        <w:t xml:space="preserve">, </w:t>
      </w:r>
      <w:r>
        <w:rPr>
          <w:rFonts w:hint="default"/>
          <w:sz w:val="24"/>
          <w:szCs w:val="24"/>
          <w:lang w:val="en-US" w:eastAsia="zh-CN"/>
        </w:rPr>
        <w:t>杜玲</w:t>
      </w:r>
      <w:r>
        <w:rPr>
          <w:rFonts w:hint="eastAsia"/>
          <w:sz w:val="24"/>
          <w:szCs w:val="24"/>
          <w:lang w:val="en-US" w:eastAsia="zh-CN"/>
        </w:rPr>
        <w:t xml:space="preserve">, </w:t>
      </w:r>
      <w:r>
        <w:rPr>
          <w:rFonts w:hint="default"/>
          <w:sz w:val="24"/>
          <w:szCs w:val="24"/>
          <w:lang w:val="en-US" w:eastAsia="zh-CN"/>
        </w:rPr>
        <w:t>袁博</w:t>
      </w:r>
      <w:r>
        <w:rPr>
          <w:rFonts w:hint="eastAsia"/>
          <w:sz w:val="24"/>
          <w:szCs w:val="24"/>
          <w:lang w:val="en-US" w:eastAsia="zh-CN"/>
        </w:rPr>
        <w:t xml:space="preserve">, </w:t>
      </w:r>
      <w:r>
        <w:rPr>
          <w:rFonts w:hint="default"/>
          <w:sz w:val="24"/>
          <w:szCs w:val="24"/>
          <w:lang w:val="en-US" w:eastAsia="zh-CN"/>
        </w:rPr>
        <w:t>姜凯.</w:t>
      </w:r>
      <w:r>
        <w:rPr>
          <w:rFonts w:hint="eastAsia"/>
          <w:sz w:val="24"/>
          <w:szCs w:val="24"/>
          <w:lang w:val="en-US" w:eastAsia="zh-CN"/>
        </w:rPr>
        <w:t xml:space="preserve"> </w:t>
      </w:r>
      <w:r>
        <w:rPr>
          <w:rFonts w:hint="default"/>
          <w:sz w:val="24"/>
          <w:szCs w:val="24"/>
          <w:lang w:val="en-US" w:eastAsia="zh-CN"/>
        </w:rPr>
        <w:t>内生真菌Alternaria oxytropis OW7.8中酵母氨酸还原酶基因启动子克隆表达及酶学性质[J].</w:t>
      </w:r>
      <w:r>
        <w:rPr>
          <w:rFonts w:hint="eastAsia"/>
          <w:sz w:val="24"/>
          <w:szCs w:val="24"/>
          <w:lang w:val="en-US" w:eastAsia="zh-CN"/>
        </w:rPr>
        <w:t xml:space="preserve"> </w:t>
      </w:r>
      <w:r>
        <w:rPr>
          <w:rFonts w:hint="default"/>
          <w:sz w:val="24"/>
          <w:szCs w:val="24"/>
          <w:lang w:val="en-US" w:eastAsia="zh-CN"/>
        </w:rPr>
        <w:t>分子植物育种,</w:t>
      </w:r>
      <w:r>
        <w:rPr>
          <w:rFonts w:hint="eastAsia"/>
          <w:sz w:val="24"/>
          <w:szCs w:val="24"/>
          <w:lang w:val="en-US" w:eastAsia="zh-CN"/>
        </w:rPr>
        <w:t xml:space="preserve"> </w:t>
      </w:r>
      <w:r>
        <w:rPr>
          <w:rFonts w:hint="default"/>
          <w:sz w:val="24"/>
          <w:szCs w:val="24"/>
          <w:lang w:val="en-US" w:eastAsia="zh-CN"/>
        </w:rPr>
        <w:t>2023</w:t>
      </w:r>
      <w:r>
        <w:rPr>
          <w:rFonts w:hint="eastAsia"/>
          <w:sz w:val="24"/>
          <w:szCs w:val="24"/>
          <w:lang w:val="en-US" w:eastAsia="zh-CN"/>
        </w:rPr>
        <w:t xml:space="preserve">, 21 </w:t>
      </w:r>
      <w:r>
        <w:rPr>
          <w:rFonts w:hint="default"/>
          <w:sz w:val="24"/>
          <w:szCs w:val="24"/>
          <w:lang w:val="en-US" w:eastAsia="zh-CN"/>
        </w:rPr>
        <w:t>(03):826-835.</w:t>
      </w:r>
      <w:r>
        <w:rPr>
          <w:rFonts w:hint="eastAsia"/>
          <w:sz w:val="24"/>
          <w:szCs w:val="24"/>
          <w:lang w:val="en-US" w:eastAsia="zh-CN"/>
        </w:rPr>
        <w:t xml:space="preserve"> (第一作者)</w:t>
      </w:r>
    </w:p>
    <w:p w14:paraId="32950951">
      <w:pPr>
        <w:keepNext w:val="0"/>
        <w:keepLines w:val="0"/>
        <w:pageBreakBefore w:val="0"/>
        <w:widowControl w:val="0"/>
        <w:numPr>
          <w:ilvl w:val="0"/>
          <w:numId w:val="5"/>
        </w:numPr>
        <w:kinsoku/>
        <w:wordWrap/>
        <w:overflowPunct/>
        <w:topLinePunct w:val="0"/>
        <w:autoSpaceDE/>
        <w:autoSpaceDN/>
        <w:bidi w:val="0"/>
        <w:adjustRightInd/>
        <w:snapToGrid w:val="0"/>
        <w:spacing w:line="360" w:lineRule="auto"/>
        <w:ind w:left="0" w:firstLine="0" w:leftChars="0" w:firstLineChars="0"/>
        <w:jc w:val="both"/>
        <w:textAlignment w:val="auto"/>
        <w:rPr>
          <w:rFonts w:hint="eastAsia"/>
          <w:sz w:val="24"/>
          <w:szCs w:val="24"/>
          <w:lang w:val="en-US" w:eastAsia="zh-CN"/>
        </w:rPr>
      </w:pPr>
      <w:r>
        <w:rPr>
          <w:rFonts w:hint="default"/>
          <w:sz w:val="24"/>
          <w:szCs w:val="24"/>
          <w:lang w:val="en-US" w:eastAsia="zh-CN"/>
        </w:rPr>
        <w:t>张晓磊,</w:t>
      </w:r>
      <w:r>
        <w:rPr>
          <w:rFonts w:hint="eastAsia"/>
          <w:sz w:val="24"/>
          <w:szCs w:val="24"/>
          <w:lang w:val="en-US" w:eastAsia="zh-CN"/>
        </w:rPr>
        <w:t xml:space="preserve"> </w:t>
      </w:r>
      <w:r>
        <w:rPr>
          <w:rFonts w:hint="default"/>
          <w:sz w:val="24"/>
          <w:szCs w:val="24"/>
          <w:lang w:val="en-US" w:eastAsia="zh-CN"/>
        </w:rPr>
        <w:t>赵利娜,</w:t>
      </w:r>
      <w:r>
        <w:rPr>
          <w:rFonts w:hint="eastAsia"/>
          <w:sz w:val="24"/>
          <w:szCs w:val="24"/>
          <w:lang w:val="en-US" w:eastAsia="zh-CN"/>
        </w:rPr>
        <w:t xml:space="preserve"> </w:t>
      </w:r>
      <w:r>
        <w:rPr>
          <w:rFonts w:hint="default"/>
          <w:sz w:val="24"/>
          <w:szCs w:val="24"/>
          <w:lang w:val="en-US" w:eastAsia="zh-CN"/>
        </w:rPr>
        <w:t>常晓彤,</w:t>
      </w:r>
      <w:r>
        <w:rPr>
          <w:rFonts w:hint="eastAsia"/>
          <w:sz w:val="24"/>
          <w:szCs w:val="24"/>
          <w:lang w:val="en-US" w:eastAsia="zh-CN"/>
        </w:rPr>
        <w:t xml:space="preserve"> </w:t>
      </w:r>
      <w:r>
        <w:rPr>
          <w:rFonts w:hint="default"/>
          <w:sz w:val="24"/>
          <w:szCs w:val="24"/>
          <w:lang w:val="en-US" w:eastAsia="zh-CN"/>
        </w:rPr>
        <w:t>宋桂芹,</w:t>
      </w:r>
      <w:r>
        <w:rPr>
          <w:rFonts w:hint="eastAsia"/>
          <w:sz w:val="24"/>
          <w:szCs w:val="24"/>
          <w:lang w:val="en-US" w:eastAsia="zh-CN"/>
        </w:rPr>
        <w:t xml:space="preserve"> </w:t>
      </w:r>
      <w:r>
        <w:rPr>
          <w:rFonts w:hint="default"/>
          <w:sz w:val="24"/>
          <w:szCs w:val="24"/>
          <w:lang w:val="en-US" w:eastAsia="zh-CN"/>
        </w:rPr>
        <w:t>孟雅莉,</w:t>
      </w:r>
      <w:r>
        <w:rPr>
          <w:rFonts w:hint="eastAsia"/>
          <w:sz w:val="24"/>
          <w:szCs w:val="24"/>
          <w:lang w:val="en-US" w:eastAsia="zh-CN"/>
        </w:rPr>
        <w:t xml:space="preserve"> </w:t>
      </w:r>
      <w:r>
        <w:rPr>
          <w:rFonts w:hint="default"/>
          <w:sz w:val="24"/>
          <w:szCs w:val="24"/>
          <w:lang w:val="en-US" w:eastAsia="zh-CN"/>
        </w:rPr>
        <w:t>胡利梅</w:t>
      </w:r>
      <w:r>
        <w:rPr>
          <w:rFonts w:hint="eastAsia"/>
          <w:sz w:val="24"/>
          <w:szCs w:val="24"/>
          <w:vertAlign w:val="superscript"/>
          <w:lang w:val="en-US" w:eastAsia="zh-CN"/>
        </w:rPr>
        <w:t>*</w:t>
      </w:r>
      <w:r>
        <w:rPr>
          <w:rFonts w:hint="default"/>
          <w:sz w:val="24"/>
          <w:szCs w:val="24"/>
          <w:lang w:val="en-US" w:eastAsia="zh-CN"/>
        </w:rPr>
        <w:t>.</w:t>
      </w:r>
      <w:r>
        <w:rPr>
          <w:rFonts w:hint="eastAsia"/>
          <w:sz w:val="24"/>
          <w:szCs w:val="24"/>
          <w:lang w:val="en-US" w:eastAsia="zh-CN"/>
        </w:rPr>
        <w:t xml:space="preserve"> </w:t>
      </w:r>
      <w:r>
        <w:rPr>
          <w:rFonts w:hint="default"/>
          <w:sz w:val="24"/>
          <w:szCs w:val="24"/>
          <w:lang w:val="en-US" w:eastAsia="zh-CN"/>
        </w:rPr>
        <w:t>CRISPR/Cas9介导下UPS系统-E3泛素连接酶ITCH基因敲除细胞株的初步构建[J]. 神经药理学报,</w:t>
      </w:r>
      <w:r>
        <w:rPr>
          <w:rFonts w:hint="eastAsia"/>
          <w:sz w:val="24"/>
          <w:szCs w:val="24"/>
          <w:lang w:val="en-US" w:eastAsia="zh-CN"/>
        </w:rPr>
        <w:t xml:space="preserve"> </w:t>
      </w:r>
      <w:r>
        <w:rPr>
          <w:rFonts w:hint="default"/>
          <w:sz w:val="24"/>
          <w:szCs w:val="24"/>
          <w:lang w:val="en-US" w:eastAsia="zh-CN"/>
        </w:rPr>
        <w:t>2023</w:t>
      </w:r>
      <w:r>
        <w:rPr>
          <w:rFonts w:hint="eastAsia"/>
          <w:sz w:val="24"/>
          <w:szCs w:val="24"/>
          <w:lang w:val="en-US" w:eastAsia="zh-CN"/>
        </w:rPr>
        <w:t>, 13</w:t>
      </w:r>
      <w:r>
        <w:rPr>
          <w:rFonts w:hint="default"/>
          <w:sz w:val="24"/>
          <w:szCs w:val="24"/>
          <w:lang w:val="en-US" w:eastAsia="zh-CN"/>
        </w:rPr>
        <w:t>(01):24-29.</w:t>
      </w:r>
      <w:r>
        <w:rPr>
          <w:rFonts w:hint="eastAsia"/>
          <w:sz w:val="24"/>
          <w:szCs w:val="24"/>
          <w:lang w:val="en-US" w:eastAsia="zh-CN"/>
        </w:rPr>
        <w:t xml:space="preserve"> (第二作者)</w:t>
      </w:r>
    </w:p>
    <w:p w14:paraId="3D799471">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0" w:leftChars="0" w:firstLineChars="0"/>
        <w:jc w:val="both"/>
        <w:textAlignment w:val="auto"/>
        <w:rPr>
          <w:rFonts w:hint="eastAsia"/>
          <w:sz w:val="24"/>
          <w:szCs w:val="24"/>
          <w:lang w:val="en-US" w:eastAsia="zh-CN"/>
        </w:rPr>
      </w:pPr>
      <w:r>
        <w:rPr>
          <w:rFonts w:hint="default"/>
          <w:sz w:val="24"/>
          <w:szCs w:val="24"/>
          <w:lang w:val="en-US" w:eastAsia="zh-CN"/>
        </w:rPr>
        <w:t>(3) 蒋孙班,</w:t>
      </w:r>
      <w:r>
        <w:rPr>
          <w:rFonts w:hint="eastAsia"/>
          <w:sz w:val="24"/>
          <w:szCs w:val="24"/>
          <w:lang w:val="en-US" w:eastAsia="zh-CN"/>
        </w:rPr>
        <w:t xml:space="preserve"> </w:t>
      </w:r>
      <w:r>
        <w:rPr>
          <w:rFonts w:hint="default"/>
          <w:sz w:val="24"/>
          <w:szCs w:val="24"/>
          <w:lang w:val="en-US" w:eastAsia="zh-CN"/>
        </w:rPr>
        <w:t>康思思,</w:t>
      </w:r>
      <w:r>
        <w:rPr>
          <w:rFonts w:hint="eastAsia"/>
          <w:sz w:val="24"/>
          <w:szCs w:val="24"/>
          <w:lang w:val="en-US" w:eastAsia="zh-CN"/>
        </w:rPr>
        <w:t xml:space="preserve"> </w:t>
      </w:r>
      <w:r>
        <w:rPr>
          <w:rFonts w:hint="default"/>
          <w:sz w:val="24"/>
          <w:szCs w:val="24"/>
          <w:lang w:val="en-US" w:eastAsia="zh-CN"/>
        </w:rPr>
        <w:t>赵利娜,</w:t>
      </w:r>
      <w:r>
        <w:rPr>
          <w:rFonts w:hint="eastAsia"/>
          <w:sz w:val="24"/>
          <w:szCs w:val="24"/>
          <w:lang w:val="en-US" w:eastAsia="zh-CN"/>
        </w:rPr>
        <w:t xml:space="preserve"> </w:t>
      </w:r>
      <w:r>
        <w:rPr>
          <w:rFonts w:hint="default"/>
          <w:sz w:val="24"/>
          <w:szCs w:val="24"/>
          <w:lang w:val="en-US" w:eastAsia="zh-CN"/>
        </w:rPr>
        <w:t>王朝,</w:t>
      </w:r>
      <w:r>
        <w:rPr>
          <w:rFonts w:hint="eastAsia"/>
          <w:sz w:val="24"/>
          <w:szCs w:val="24"/>
          <w:lang w:val="en-US" w:eastAsia="zh-CN"/>
        </w:rPr>
        <w:t xml:space="preserve"> </w:t>
      </w:r>
      <w:r>
        <w:rPr>
          <w:rFonts w:hint="default"/>
          <w:sz w:val="24"/>
          <w:szCs w:val="24"/>
          <w:lang w:val="en-US" w:eastAsia="zh-CN"/>
        </w:rPr>
        <w:t>蒋丽娜</w:t>
      </w:r>
      <w:r>
        <w:rPr>
          <w:rFonts w:hint="default"/>
          <w:sz w:val="24"/>
          <w:szCs w:val="24"/>
          <w:vertAlign w:val="superscript"/>
          <w:lang w:val="en-US" w:eastAsia="zh-CN"/>
        </w:rPr>
        <w:t>*</w:t>
      </w:r>
      <w:r>
        <w:rPr>
          <w:rFonts w:hint="default"/>
          <w:sz w:val="24"/>
          <w:szCs w:val="24"/>
          <w:lang w:val="en-US" w:eastAsia="zh-CN"/>
        </w:rPr>
        <w:t>.</w:t>
      </w:r>
      <w:r>
        <w:rPr>
          <w:rFonts w:hint="eastAsia"/>
          <w:sz w:val="24"/>
          <w:szCs w:val="24"/>
          <w:lang w:val="en-US" w:eastAsia="zh-CN"/>
        </w:rPr>
        <w:t xml:space="preserve"> </w:t>
      </w:r>
      <w:r>
        <w:rPr>
          <w:rFonts w:hint="default"/>
          <w:sz w:val="24"/>
          <w:szCs w:val="24"/>
          <w:lang w:val="en-US" w:eastAsia="zh-CN"/>
        </w:rPr>
        <w:t>TLRs信号通路和TLRs的Cross-talk在炎症性疾病中作用的研究进展[J].</w:t>
      </w:r>
      <w:r>
        <w:rPr>
          <w:rFonts w:hint="eastAsia"/>
          <w:sz w:val="24"/>
          <w:szCs w:val="24"/>
          <w:lang w:val="en-US" w:eastAsia="zh-CN"/>
        </w:rPr>
        <w:t xml:space="preserve"> </w:t>
      </w:r>
      <w:r>
        <w:rPr>
          <w:rFonts w:hint="default"/>
          <w:sz w:val="24"/>
          <w:szCs w:val="24"/>
          <w:lang w:val="en-US" w:eastAsia="zh-CN"/>
        </w:rPr>
        <w:t>吉林大学学报(医学版),</w:t>
      </w:r>
      <w:r>
        <w:rPr>
          <w:rFonts w:hint="eastAsia"/>
          <w:sz w:val="24"/>
          <w:szCs w:val="24"/>
          <w:lang w:val="en-US" w:eastAsia="zh-CN"/>
        </w:rPr>
        <w:t xml:space="preserve"> </w:t>
      </w:r>
      <w:r>
        <w:rPr>
          <w:rFonts w:hint="default"/>
          <w:sz w:val="24"/>
          <w:szCs w:val="24"/>
          <w:lang w:val="en-US" w:eastAsia="zh-CN"/>
        </w:rPr>
        <w:t>2022,</w:t>
      </w:r>
      <w:r>
        <w:rPr>
          <w:rFonts w:hint="eastAsia"/>
          <w:sz w:val="24"/>
          <w:szCs w:val="24"/>
          <w:lang w:val="en-US" w:eastAsia="zh-CN"/>
        </w:rPr>
        <w:t xml:space="preserve"> </w:t>
      </w:r>
      <w:r>
        <w:rPr>
          <w:rFonts w:hint="default"/>
          <w:sz w:val="24"/>
          <w:szCs w:val="24"/>
          <w:lang w:val="en-US" w:eastAsia="zh-CN"/>
        </w:rPr>
        <w:t>48 (03):825-831.</w:t>
      </w:r>
      <w:r>
        <w:rPr>
          <w:rFonts w:hint="eastAsia"/>
          <w:sz w:val="24"/>
          <w:szCs w:val="24"/>
          <w:lang w:val="en-US" w:eastAsia="zh-CN"/>
        </w:rPr>
        <w:t xml:space="preserve"> (第三作者)</w:t>
      </w:r>
    </w:p>
    <w:p w14:paraId="53D0D9F5">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0" w:firstLineChars="0"/>
        <w:jc w:val="left"/>
        <w:textAlignment w:val="auto"/>
        <w:rPr>
          <w:rFonts w:hint="eastAsia"/>
          <w:sz w:val="24"/>
          <w:szCs w:val="24"/>
          <w:lang w:val="en-US" w:eastAsia="zh-CN"/>
        </w:rPr>
      </w:pPr>
      <w:r>
        <w:rPr>
          <w:rFonts w:hint="eastAsia"/>
          <w:b/>
          <w:bCs/>
          <w:sz w:val="24"/>
          <w:szCs w:val="24"/>
          <w:lang w:val="en-US" w:eastAsia="zh-CN"/>
        </w:rPr>
        <w:t>安康（项目组主要成员）</w:t>
      </w:r>
      <w:r>
        <w:rPr>
          <w:rFonts w:hint="eastAsia"/>
          <w:sz w:val="24"/>
          <w:szCs w:val="24"/>
          <w:lang w:val="en-US" w:eastAsia="zh-CN"/>
        </w:rPr>
        <w:t xml:space="preserve"> 博士，副教授。主要从事病原分子生物学、宿主天然免疫分子机制的研究，熟练掌握细胞实验、免疫学功能指标检测、ELISA、ELISPOT 等相关实验技术。在本项目中主要负责细胞分选、混合细胞共培养及免疫功能检测等工作。 </w:t>
      </w:r>
    </w:p>
    <w:p w14:paraId="46D0C0B5">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hint="default"/>
          <w:sz w:val="24"/>
          <w:szCs w:val="24"/>
          <w:lang w:val="en-US" w:eastAsia="zh-CN"/>
        </w:rPr>
      </w:pPr>
      <w:r>
        <w:rPr>
          <w:rFonts w:hint="eastAsia"/>
          <w:sz w:val="24"/>
          <w:szCs w:val="24"/>
          <w:lang w:val="en-US" w:eastAsia="zh-CN"/>
        </w:rPr>
        <w:t xml:space="preserve">(1) An K, Fang L, Luo R, Wang D, Xie L, Yang J, Chen H, Xiao S. Quantitative proteomic analysis reveals that transmissible gastroenteritis virus activates the JAK-STAT1 signaling pathway[J]. J Proteome Res. 2014, 13(12): 5376-5390. </w:t>
      </w:r>
      <w:r>
        <w:rPr>
          <w:rFonts w:hint="eastAsia"/>
          <w:sz w:val="24"/>
          <w:szCs w:val="24"/>
          <w:lang w:val="en-GB" w:eastAsia="zh-CN"/>
        </w:rPr>
        <w:t>（第一作者）</w:t>
      </w:r>
    </w:p>
    <w:p w14:paraId="657AB00C">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hint="eastAsia"/>
          <w:sz w:val="24"/>
          <w:szCs w:val="24"/>
          <w:lang w:val="en-US" w:eastAsia="zh-CN"/>
        </w:rPr>
      </w:pPr>
      <w:r>
        <w:rPr>
          <w:rFonts w:hint="eastAsia"/>
          <w:sz w:val="24"/>
          <w:szCs w:val="24"/>
          <w:lang w:val="en-US" w:eastAsia="zh-CN"/>
        </w:rPr>
        <w:t>(2) Ding Z, An K, Xie L, Wu W, Zhang R, Wang D, Fang Y, Chen H, Xiao S, Fang L. Transmissible gastroenteritis virus infection induces NF-κB activation through RLR-mediated signaling[J]. Virology. 2017, 507:170-178. （并列第一作者）</w:t>
      </w:r>
    </w:p>
    <w:p w14:paraId="27662BB2">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hint="eastAsia"/>
          <w:sz w:val="24"/>
          <w:szCs w:val="24"/>
          <w:lang w:val="en-US" w:eastAsia="zh-CN"/>
        </w:rPr>
      </w:pPr>
      <w:r>
        <w:rPr>
          <w:rFonts w:hint="eastAsia"/>
          <w:sz w:val="24"/>
          <w:szCs w:val="24"/>
          <w:lang w:val="en-US" w:eastAsia="zh-CN"/>
        </w:rPr>
        <w:t>(3) An K. Ubiquitin-specific protease 15 negatively regulates IL-1β-induced and virus-induced NF-κB activation by targeting TRAF6 for deubiquitination. European Journal of Immunology, 2019, 49: 81-81.</w:t>
      </w:r>
      <w:r>
        <w:rPr>
          <w:rFonts w:hint="eastAsia"/>
          <w:sz w:val="24"/>
          <w:szCs w:val="24"/>
          <w:lang w:val="en-GB" w:eastAsia="zh-CN"/>
        </w:rPr>
        <w:t>（</w:t>
      </w:r>
      <w:r>
        <w:rPr>
          <w:rFonts w:hint="eastAsia"/>
          <w:sz w:val="24"/>
          <w:szCs w:val="24"/>
          <w:lang w:val="en-US" w:eastAsia="zh-CN"/>
        </w:rPr>
        <w:t>会议论文</w:t>
      </w:r>
      <w:r>
        <w:rPr>
          <w:rFonts w:hint="eastAsia"/>
          <w:sz w:val="24"/>
          <w:szCs w:val="24"/>
          <w:lang w:val="en-GB" w:eastAsia="zh-CN"/>
        </w:rPr>
        <w:t>）</w:t>
      </w:r>
    </w:p>
    <w:p w14:paraId="011F36E6">
      <w:pPr>
        <w:keepNext w:val="0"/>
        <w:keepLines w:val="0"/>
        <w:pageBreakBefore w:val="0"/>
        <w:numPr>
          <w:ilvl w:val="0"/>
          <w:numId w:val="0"/>
        </w:numPr>
        <w:kinsoku/>
        <w:overflowPunct/>
        <w:topLinePunct w:val="0"/>
        <w:autoSpaceDE/>
        <w:autoSpaceDN/>
        <w:bidi w:val="0"/>
        <w:adjustRightInd/>
        <w:snapToGrid w:val="0"/>
        <w:spacing w:line="360" w:lineRule="auto"/>
        <w:jc w:val="left"/>
        <w:textAlignment w:val="auto"/>
        <w:rPr>
          <w:rFonts w:hint="eastAsia"/>
          <w:sz w:val="24"/>
          <w:szCs w:val="24"/>
          <w:lang w:val="en-US" w:eastAsia="zh-CN"/>
        </w:rPr>
      </w:pPr>
      <w:r>
        <w:rPr>
          <w:rFonts w:hint="eastAsia"/>
          <w:b/>
          <w:bCs/>
          <w:sz w:val="24"/>
          <w:szCs w:val="24"/>
          <w:lang w:val="en-US" w:eastAsia="zh-CN"/>
        </w:rPr>
        <w:t>尹蒙（项目组主要成员）</w:t>
      </w:r>
      <w:r>
        <w:rPr>
          <w:rFonts w:hint="eastAsia"/>
          <w:sz w:val="24"/>
          <w:szCs w:val="24"/>
          <w:lang w:val="en-US" w:eastAsia="zh-CN"/>
        </w:rPr>
        <w:t xml:space="preserve"> 硕士，主治医师。主要从事淋巴微循环与休克的研究，熟练掌握动物实验、细胞实验、肠淋巴液引流及蛋白检测相关技术。在本项目中主要负责失血性休克模型制备、肠淋巴液引流、慢病毒转染、分子生物实验检测等工作。 </w:t>
      </w:r>
    </w:p>
    <w:p w14:paraId="6EB2FABC">
      <w:pPr>
        <w:keepNext w:val="0"/>
        <w:keepLines w:val="0"/>
        <w:pageBreakBefore w:val="0"/>
        <w:numPr>
          <w:ilvl w:val="0"/>
          <w:numId w:val="0"/>
        </w:numPr>
        <w:kinsoku/>
        <w:overflowPunct/>
        <w:topLinePunct w:val="0"/>
        <w:autoSpaceDE/>
        <w:autoSpaceDN/>
        <w:bidi w:val="0"/>
        <w:adjustRightInd/>
        <w:snapToGrid w:val="0"/>
        <w:spacing w:line="360" w:lineRule="auto"/>
        <w:jc w:val="left"/>
        <w:textAlignment w:val="auto"/>
        <w:rPr>
          <w:rFonts w:hint="eastAsia"/>
          <w:sz w:val="24"/>
          <w:szCs w:val="24"/>
          <w:lang w:val="en-US" w:eastAsia="zh-CN"/>
        </w:rPr>
      </w:pPr>
      <w:r>
        <w:rPr>
          <w:rFonts w:hint="eastAsia"/>
          <w:sz w:val="24"/>
          <w:szCs w:val="24"/>
          <w:lang w:val="en-US" w:eastAsia="zh-CN"/>
        </w:rPr>
        <w:t>主要相关论著:</w:t>
      </w:r>
    </w:p>
    <w:p w14:paraId="3E3E7BDD">
      <w:pPr>
        <w:keepNext w:val="0"/>
        <w:keepLines w:val="0"/>
        <w:pageBreakBefore w:val="0"/>
        <w:numPr>
          <w:ilvl w:val="0"/>
          <w:numId w:val="6"/>
        </w:numPr>
        <w:kinsoku/>
        <w:overflowPunct/>
        <w:topLinePunct w:val="0"/>
        <w:autoSpaceDE/>
        <w:autoSpaceDN/>
        <w:bidi w:val="0"/>
        <w:adjustRightInd/>
        <w:snapToGrid w:val="0"/>
        <w:spacing w:line="360" w:lineRule="auto"/>
        <w:jc w:val="both"/>
        <w:textAlignment w:val="auto"/>
        <w:rPr>
          <w:rFonts w:hint="eastAsia"/>
          <w:sz w:val="24"/>
          <w:szCs w:val="24"/>
          <w:lang w:val="en-US" w:eastAsia="zh-CN"/>
        </w:rPr>
      </w:pPr>
      <w:r>
        <w:rPr>
          <w:rFonts w:hint="eastAsia"/>
          <w:sz w:val="24"/>
          <w:szCs w:val="24"/>
          <w:lang w:val="en-US" w:eastAsia="zh-CN"/>
        </w:rPr>
        <w:t>Yin M, Li ZH, Wang C, Li Y, Zhang H, Du HB, Zhen-AoZhao, Niu CY, Zhao ZG. Stellate Ganglion Blockade Repairs Intestinal Mucosal Barrier through Suppression of Endoplasmic Reticulum Stress Following Hemorrhagic Shock. Int J Med, 2020, 17, 2147-2154.（第一作者）</w:t>
      </w:r>
    </w:p>
    <w:p w14:paraId="4C34DB08">
      <w:pPr>
        <w:keepNext w:val="0"/>
        <w:keepLines w:val="0"/>
        <w:pageBreakBefore w:val="0"/>
        <w:numPr>
          <w:ilvl w:val="0"/>
          <w:numId w:val="6"/>
        </w:numPr>
        <w:kinsoku/>
        <w:overflowPunct/>
        <w:topLinePunct w:val="0"/>
        <w:autoSpaceDE/>
        <w:autoSpaceDN/>
        <w:bidi w:val="0"/>
        <w:adjustRightInd/>
        <w:snapToGrid w:val="0"/>
        <w:spacing w:line="360" w:lineRule="auto"/>
        <w:ind w:left="0" w:firstLine="0" w:leftChars="0" w:firstLineChars="0"/>
        <w:jc w:val="both"/>
        <w:textAlignment w:val="auto"/>
        <w:rPr>
          <w:rFonts w:hint="eastAsia"/>
          <w:sz w:val="24"/>
          <w:szCs w:val="24"/>
          <w:lang w:val="en-US" w:eastAsia="zh-CN"/>
        </w:rPr>
      </w:pPr>
      <w:r>
        <w:rPr>
          <w:rFonts w:hint="eastAsia"/>
          <w:sz w:val="24"/>
          <w:szCs w:val="24"/>
          <w:lang w:val="en-US" w:eastAsia="zh-CN"/>
        </w:rPr>
        <w:t>Li Y, Du HB, Jiang LN, Wang C, Yin M, Zhang LM, Zhang H, Zhao ZA, Liu ZK, Niu CY, Zhao ZG. Stellate ganglion block improves the proliferation and function of splenic CD4</w:t>
      </w:r>
      <w:r>
        <w:rPr>
          <w:rFonts w:hint="eastAsia"/>
          <w:sz w:val="24"/>
          <w:szCs w:val="24"/>
          <w:vertAlign w:val="superscript"/>
          <w:lang w:val="en-US" w:eastAsia="zh-CN"/>
        </w:rPr>
        <w:t>+</w:t>
      </w:r>
      <w:r>
        <w:rPr>
          <w:rFonts w:hint="eastAsia"/>
          <w:sz w:val="24"/>
          <w:szCs w:val="24"/>
          <w:lang w:val="en-US" w:eastAsia="zh-CN"/>
        </w:rPr>
        <w:t>T lymphocytes through inhibition of post-hemorrhagic shock mesenteric lymph-mediated autophagy. Inflammation, 2021, 021(01523): 2543-2553. (第五作者)</w:t>
      </w:r>
    </w:p>
    <w:p w14:paraId="5E075A2B">
      <w:pPr>
        <w:keepNext w:val="0"/>
        <w:keepLines w:val="0"/>
        <w:pageBreakBefore w:val="0"/>
        <w:numPr>
          <w:ilvl w:val="0"/>
          <w:numId w:val="6"/>
        </w:numPr>
        <w:kinsoku/>
        <w:overflowPunct/>
        <w:topLinePunct w:val="0"/>
        <w:autoSpaceDE/>
        <w:autoSpaceDN/>
        <w:bidi w:val="0"/>
        <w:adjustRightInd/>
        <w:snapToGrid w:val="0"/>
        <w:spacing w:line="360" w:lineRule="auto"/>
        <w:ind w:left="0" w:firstLine="0" w:leftChars="0" w:firstLineChars="0"/>
        <w:jc w:val="left"/>
        <w:textAlignment w:val="auto"/>
        <w:rPr>
          <w:rFonts w:hint="eastAsia"/>
          <w:sz w:val="24"/>
          <w:szCs w:val="24"/>
          <w:lang w:val="en-US" w:eastAsia="zh-CN"/>
        </w:rPr>
      </w:pPr>
      <w:r>
        <w:rPr>
          <w:rFonts w:hint="eastAsia"/>
          <w:sz w:val="24"/>
          <w:szCs w:val="24"/>
          <w:lang w:val="en-US" w:eastAsia="zh-CN"/>
        </w:rPr>
        <w:t xml:space="preserve">尹蒙, 范亚坤, 张立民, 等. </w:t>
      </w:r>
      <w:r>
        <w:rPr>
          <w:rFonts w:hint="eastAsia"/>
          <w:sz w:val="24"/>
          <w:szCs w:val="24"/>
          <w:lang w:val="en-US" w:eastAsia="zh-CN"/>
        </w:rPr>
        <w:t>早期高脂肠内营养支持对脓毒症患者肠屏障功能和迷走神经活性的影响[J]. 河北医药. 2023, 45(15):2313-2316.</w:t>
      </w:r>
    </w:p>
    <w:p w14:paraId="101BFF18">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0" w:firstLineChars="0"/>
        <w:jc w:val="left"/>
        <w:textAlignment w:val="auto"/>
        <w:rPr>
          <w:rFonts w:hint="eastAsia"/>
          <w:sz w:val="24"/>
          <w:szCs w:val="24"/>
          <w:lang w:val="en-US" w:eastAsia="zh-CN"/>
        </w:rPr>
      </w:pPr>
      <w:r>
        <w:rPr>
          <w:rFonts w:hint="eastAsia"/>
          <w:b/>
          <w:bCs/>
          <w:sz w:val="24"/>
          <w:szCs w:val="24"/>
          <w:lang w:val="en-US" w:eastAsia="zh-CN"/>
        </w:rPr>
        <w:t>刘龙泽（项目组主要成员）</w:t>
      </w:r>
      <w:r>
        <w:rPr>
          <w:rFonts w:hint="eastAsia"/>
          <w:sz w:val="24"/>
          <w:szCs w:val="24"/>
          <w:lang w:val="en-US" w:eastAsia="zh-CN"/>
        </w:rPr>
        <w:t>2024级河北北方学院免疫学专业硕士研究生。现已熟练掌握了小鼠失血性休克模型制备、肠淋巴液引流、基因小鼠鉴定、RT-PCR、细胞分选与细胞培养、Western Blot等实验技术，在本项目中承担小鼠失血性休克模型制备、样本处理、蛋白表达检测及分析、基因小鼠鉴定等工作。</w:t>
      </w:r>
    </w:p>
    <w:p w14:paraId="5A4F8404">
      <w:pPr>
        <w:keepNext w:val="0"/>
        <w:keepLines w:val="0"/>
        <w:pageBreakBefore w:val="0"/>
        <w:numPr>
          <w:ilvl w:val="0"/>
          <w:numId w:val="0"/>
        </w:numPr>
        <w:kinsoku/>
        <w:overflowPunct/>
        <w:topLinePunct w:val="0"/>
        <w:autoSpaceDE/>
        <w:autoSpaceDN/>
        <w:bidi w:val="0"/>
        <w:adjustRightInd/>
        <w:snapToGrid w:val="0"/>
        <w:spacing w:line="360" w:lineRule="auto"/>
        <w:ind w:firstLine="560" w:firstLineChars="200"/>
        <w:jc w:val="left"/>
        <w:textAlignment w:val="auto"/>
        <w:rPr>
          <w:rFonts w:ascii="楷体" w:eastAsia="楷体" w:hAnsi="楷体" w:cs="楷体"/>
          <w:b/>
        </w:rPr>
      </w:pPr>
      <w:r>
        <w:rPr>
          <w:rFonts w:ascii="楷体" w:eastAsia="楷体" w:hAnsi="楷体" w:cs="楷体" w:hint="eastAsia"/>
          <w:b/>
        </w:rPr>
        <w:t>五、承担项目情况</w:t>
      </w:r>
    </w:p>
    <w:p w14:paraId="76581692">
      <w:pPr>
        <w:keepNext w:val="0"/>
        <w:keepLines w:val="0"/>
        <w:pageBreakBefore w:val="0"/>
        <w:kinsoku/>
        <w:wordWrap w:val="0"/>
        <w:overflowPunct/>
        <w:topLinePunct w:val="0"/>
        <w:autoSpaceDE/>
        <w:autoSpaceDN/>
        <w:bidi w:val="0"/>
        <w:adjustRightInd/>
        <w:snapToGrid w:val="0"/>
        <w:spacing w:line="360" w:lineRule="auto"/>
        <w:ind w:firstLine="560" w:firstLineChars="200"/>
        <w:textAlignment w:val="auto"/>
        <w:rPr>
          <w:rFonts w:ascii="楷体" w:eastAsia="楷体" w:hAnsi="楷体" w:cs="楷体"/>
        </w:rPr>
      </w:pPr>
      <w:r>
        <w:rPr>
          <w:rFonts w:ascii="楷体" w:eastAsia="楷体" w:hAnsi="楷体" w:cs="楷体" w:hint="eastAsia"/>
        </w:rPr>
        <w:t>1.正在承担科研项目情况（申请人和项目组主要参与者正在承担的国家和省科研项目情况，包括自然科学基金的项目，要注明项目的名称和编号、经费来源、起止年月、与本项目的关系及负责的内容等）</w:t>
      </w:r>
    </w:p>
    <w:p w14:paraId="0E18FF7B">
      <w:pPr>
        <w:keepNext w:val="0"/>
        <w:keepLines w:val="0"/>
        <w:pageBreakBefore w:val="0"/>
        <w:kinsoku/>
        <w:wordWrap w:val="0"/>
        <w:overflowPunct/>
        <w:topLinePunct w:val="0"/>
        <w:autoSpaceDE/>
        <w:autoSpaceDN/>
        <w:bidi w:val="0"/>
        <w:adjustRightInd/>
        <w:snapToGrid w:val="0"/>
        <w:spacing w:line="360" w:lineRule="auto"/>
        <w:ind w:firstLine="560" w:firstLineChars="200"/>
        <w:textAlignment w:val="auto"/>
        <w:rPr>
          <w:rFonts w:ascii="楷体" w:eastAsia="楷体" w:hAnsi="楷体" w:cs="楷体" w:hint="eastAsia"/>
          <w:lang w:val="en-US" w:eastAsia="zh-CN"/>
        </w:rPr>
      </w:pPr>
      <w:r>
        <w:rPr>
          <w:rFonts w:ascii="楷体" w:eastAsia="楷体" w:hAnsi="楷体" w:cs="楷体" w:hint="eastAsia"/>
          <w:lang w:val="en-US" w:eastAsia="zh-CN"/>
        </w:rPr>
        <w:t>无</w:t>
      </w:r>
    </w:p>
    <w:p w14:paraId="1ADC2B55">
      <w:pPr>
        <w:keepNext w:val="0"/>
        <w:keepLines w:val="0"/>
        <w:pageBreakBefore w:val="0"/>
        <w:numPr>
          <w:ilvl w:val="0"/>
          <w:numId w:val="7"/>
        </w:numPr>
        <w:kinsoku/>
        <w:wordWrap w:val="0"/>
        <w:overflowPunct/>
        <w:topLinePunct w:val="0"/>
        <w:autoSpaceDE/>
        <w:autoSpaceDN/>
        <w:bidi w:val="0"/>
        <w:adjustRightInd/>
        <w:snapToGrid w:val="0"/>
        <w:spacing w:line="360" w:lineRule="auto"/>
        <w:ind w:left="0" w:firstLine="560" w:leftChars="0" w:firstLineChars="200"/>
        <w:textAlignment w:val="auto"/>
        <w:rPr>
          <w:rFonts w:ascii="楷体" w:eastAsia="楷体" w:hAnsi="楷体" w:cs="楷体" w:hint="eastAsia"/>
        </w:rPr>
      </w:pPr>
      <w:r>
        <w:rPr>
          <w:rFonts w:ascii="楷体" w:eastAsia="楷体" w:hAnsi="楷体" w:cs="楷体" w:hint="eastAsia"/>
        </w:rPr>
        <w:t>完成省自然科学基金项目情况（对申请人负责的前一个已结题自然科学基金项目（项目名称及批准号）完成情况、后续研究进展及与本申请项目的关系加以详细说明）</w:t>
      </w:r>
    </w:p>
    <w:p w14:paraId="763DBE40">
      <w:pPr>
        <w:keepNext w:val="0"/>
        <w:keepLines w:val="0"/>
        <w:pageBreakBefore w:val="0"/>
        <w:numPr>
          <w:ilvl w:val="0"/>
          <w:numId w:val="0"/>
        </w:numPr>
        <w:kinsoku/>
        <w:overflowPunct/>
        <w:topLinePunct w:val="0"/>
        <w:autoSpaceDE/>
        <w:autoSpaceDN/>
        <w:bidi w:val="0"/>
        <w:adjustRightInd/>
        <w:snapToGrid w:val="0"/>
        <w:spacing w:line="360" w:lineRule="auto"/>
        <w:ind w:firstLine="480" w:firstLineChars="200"/>
        <w:jc w:val="left"/>
        <w:textAlignment w:val="auto"/>
        <w:rPr>
          <w:rFonts w:hint="eastAsia"/>
          <w:sz w:val="24"/>
          <w:szCs w:val="24"/>
          <w:lang w:val="en-US" w:eastAsia="zh-CN"/>
        </w:rPr>
        <w:sectPr>
          <w:headerReference w:type="even" r:id="rId19"/>
          <w:headerReference w:type="default" r:id="rId20"/>
          <w:footerReference w:type="even" r:id="rId21"/>
          <w:footerReference w:type="default" r:id="rId22"/>
          <w:headerReference w:type="first" r:id="rId23"/>
          <w:footerReference w:type="first" r:id="rId24"/>
          <w:pgSz w:w="11906" w:h="16838"/>
          <w:pgMar w:top="1418" w:right="1418" w:bottom="1418" w:left="1418" w:header="851" w:footer="850" w:gutter="0"/>
          <w:pgNumType w:start="1"/>
          <w:cols w:space="425"/>
          <w:titlePg/>
          <w:docGrid w:linePitch="381"/>
        </w:sectPr>
      </w:pPr>
      <w:r>
        <w:rPr>
          <w:rFonts w:hint="default"/>
          <w:sz w:val="24"/>
          <w:szCs w:val="24"/>
          <w:lang w:val="en-US" w:eastAsia="zh-CN"/>
        </w:rPr>
        <w:t>申请人</w:t>
      </w:r>
      <w:r>
        <w:rPr>
          <w:rFonts w:hint="eastAsia"/>
          <w:sz w:val="24"/>
          <w:szCs w:val="24"/>
          <w:lang w:val="en-US" w:eastAsia="zh-CN"/>
        </w:rPr>
        <w:t>主持的河北省</w:t>
      </w:r>
      <w:r>
        <w:rPr>
          <w:rFonts w:hint="default"/>
          <w:sz w:val="24"/>
          <w:szCs w:val="24"/>
          <w:lang w:val="en-US" w:eastAsia="zh-CN"/>
        </w:rPr>
        <w:t>自然科学基金</w:t>
      </w:r>
      <w:r>
        <w:rPr>
          <w:rFonts w:hint="eastAsia"/>
          <w:sz w:val="24"/>
          <w:szCs w:val="24"/>
          <w:lang w:val="en-US" w:eastAsia="zh-CN"/>
        </w:rPr>
        <w:t>面上</w:t>
      </w:r>
      <w:r>
        <w:rPr>
          <w:rFonts w:hint="default"/>
          <w:sz w:val="24"/>
          <w:szCs w:val="24"/>
          <w:lang w:val="en-US" w:eastAsia="zh-CN"/>
        </w:rPr>
        <w:t>项目</w:t>
      </w:r>
      <w:r>
        <w:rPr>
          <w:rFonts w:hint="eastAsia"/>
          <w:sz w:val="24"/>
          <w:szCs w:val="24"/>
          <w:lang w:val="en-US" w:eastAsia="zh-CN"/>
        </w:rPr>
        <w:t>“</w:t>
      </w:r>
      <w:r>
        <w:rPr>
          <w:rFonts w:hint="default"/>
          <w:sz w:val="24"/>
          <w:szCs w:val="24"/>
          <w:lang w:val="en-US" w:eastAsia="zh-CN"/>
        </w:rPr>
        <w:t>T</w:t>
      </w:r>
      <w:r>
        <w:rPr>
          <w:rFonts w:hint="eastAsia"/>
          <w:sz w:val="24"/>
          <w:szCs w:val="24"/>
          <w:lang w:val="en-US" w:eastAsia="zh-CN"/>
        </w:rPr>
        <w:t>IPE2在失血性休克肠淋巴液降低树突状细胞免疫功能中的作用及机制（H2020405023，2021-2023）”，已基金委提交科技报告，顺利完成验收结项。研究结果从动物实验、细胞实验等多个层面，从组织、细胞水平，基因水平明确了TIPE2、TLR4在休克肠淋巴液改善树突状细胞免疫功能进而缓解细胞免疫功能障碍中的作用与机制，丰富了失血性休克后免疫功能障碍的基础理论。通过该研究，建立了重症失血性休克小鼠模型，揭示了休克肠淋巴液致失血性休克后树突状细胞免疫功能紊乱的分子机制，为本研究方案的实施提供了理论依据。同时，成功构建了TIPE2基因敲除小鼠、TIPE2基因敲入小鼠和树突状细胞特异性Trim13条件基因敲除小鼠，为项目深入研究提供了重要的基因小鼠资源。在项目研究的基础上，结合国内外文献动态分析，深入研究失血性休克后树突状细胞的内质网自噬活性与TIPE2的内在关联，也是本申请项目的预实验基础，本课题为该项目所形成的“重症休克的免疫功能紊乱机制”研究理念的深化与延续。</w:t>
      </w:r>
    </w:p>
    <w:p w:rsidR="00941868" w14:paraId="515EFEF4" w14:textId="77777777">
      <w:pPr>
        <w:tabs>
          <w:tab w:val="left" w:pos="5100"/>
        </w:tabs>
        <w:wordWrap w:val="0"/>
        <w:spacing w:line="20" w:lineRule="exact"/>
        <w:rPr>
          <w:sz w:val="2"/>
          <w:szCs w:val="2"/>
        </w:rPr>
      </w:pPr>
      <w:r>
        <w:tab/>
      </w:r>
    </w:p>
    <w:p w:rsidR="00941868" w14:paraId="4467B7D3" w14:textId="77777777">
      <w:pPr>
        <w:wordWrap w:val="0"/>
        <w:rPr>
          <w:b/>
          <w:szCs w:val="28"/>
        </w:rPr>
      </w:pPr>
      <w:bookmarkStart w:id="77" w:name="sjjxm"/>
      <w:bookmarkEnd w:id="77"/>
      <w:r>
        <w:rPr>
          <w:rFonts w:hint="eastAsia"/>
          <w:b/>
          <w:szCs w:val="28"/>
        </w:rPr>
        <w:t>项目组主要成员</w:t>
      </w:r>
    </w:p>
    <w:tbl>
      <w:tblPr>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tblPr>
      <w:tblGrid>
        <w:gridCol w:w="673"/>
        <w:gridCol w:w="1135"/>
        <w:gridCol w:w="708"/>
        <w:gridCol w:w="709"/>
        <w:gridCol w:w="2786"/>
        <w:gridCol w:w="1041"/>
        <w:gridCol w:w="740"/>
        <w:gridCol w:w="1843"/>
        <w:gridCol w:w="1984"/>
        <w:gridCol w:w="3119"/>
        <w:gridCol w:w="1132"/>
      </w:tblGrid>
      <w:tr w14:paraId="1226675C" w14:textId="77777777">
        <w:tblPrEx>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paraId="5A03E3AE" w14:textId="77777777">
            <w:pPr>
              <w:wordWrap w:val="0"/>
              <w:jc w:val="center"/>
              <w:rPr>
                <w:sz w:val="24"/>
              </w:rPr>
            </w:pPr>
            <w:r>
              <w:rPr>
                <w:rFonts w:hint="eastAsia"/>
                <w:sz w:val="24"/>
              </w:rPr>
              <w:t>序号</w:t>
            </w:r>
          </w:p>
        </w:tc>
        <w:tc>
          <w:tcPr>
            <w:tcW w:w="1135" w:type="dxa"/>
            <w:tcBorders>
              <w:top w:val="single" w:sz="4" w:space="0" w:color="auto"/>
              <w:left w:val="single" w:sz="4" w:space="0" w:color="auto"/>
              <w:bottom w:val="single" w:sz="4" w:space="0" w:color="auto"/>
              <w:right w:val="single" w:sz="4" w:space="0" w:color="auto"/>
            </w:tcBorders>
            <w:vAlign w:val="center"/>
          </w:tcPr>
          <w:p w:rsidR="00941868" w14:paraId="624275BB" w14:textId="77777777">
            <w:pPr>
              <w:wordWrap w:val="0"/>
              <w:jc w:val="center"/>
              <w:rPr>
                <w:sz w:val="24"/>
              </w:rPr>
            </w:pPr>
            <w:r>
              <w:rPr>
                <w:rFonts w:hint="eastAsia"/>
                <w:sz w:val="24"/>
              </w:rPr>
              <w:t>姓名</w:t>
            </w:r>
          </w:p>
        </w:tc>
        <w:tc>
          <w:tcPr>
            <w:tcW w:w="708" w:type="dxa"/>
            <w:tcBorders>
              <w:top w:val="single" w:sz="4" w:space="0" w:color="auto"/>
              <w:left w:val="single" w:sz="4" w:space="0" w:color="auto"/>
              <w:bottom w:val="single" w:sz="4" w:space="0" w:color="auto"/>
              <w:right w:val="single" w:sz="4" w:space="0" w:color="auto"/>
            </w:tcBorders>
            <w:vAlign w:val="center"/>
          </w:tcPr>
          <w:p w:rsidR="00941868" w14:paraId="2AAB79E0" w14:textId="77777777">
            <w:pPr>
              <w:wordWrap w:val="0"/>
              <w:jc w:val="center"/>
              <w:rPr>
                <w:sz w:val="24"/>
              </w:rPr>
            </w:pPr>
            <w:r>
              <w:rPr>
                <w:rFonts w:hint="eastAsia"/>
                <w:sz w:val="24"/>
              </w:rPr>
              <w:t>性别</w:t>
            </w:r>
          </w:p>
        </w:tc>
        <w:tc>
          <w:tcPr>
            <w:tcW w:w="709" w:type="dxa"/>
            <w:tcBorders>
              <w:top w:val="single" w:sz="4" w:space="0" w:color="auto"/>
              <w:left w:val="single" w:sz="4" w:space="0" w:color="auto"/>
              <w:bottom w:val="single" w:sz="4" w:space="0" w:color="auto"/>
              <w:right w:val="single" w:sz="4" w:space="0" w:color="auto"/>
            </w:tcBorders>
            <w:vAlign w:val="center"/>
          </w:tcPr>
          <w:p w:rsidR="00941868" w14:paraId="0F6F5248" w14:textId="77777777">
            <w:pPr>
              <w:wordWrap w:val="0"/>
              <w:jc w:val="center"/>
              <w:rPr>
                <w:sz w:val="24"/>
              </w:rPr>
            </w:pPr>
            <w:r>
              <w:rPr>
                <w:rFonts w:hint="eastAsia"/>
                <w:sz w:val="24"/>
              </w:rPr>
              <w:t>年龄</w:t>
            </w:r>
          </w:p>
        </w:tc>
        <w:tc>
          <w:tcPr>
            <w:tcW w:w="2786" w:type="dxa"/>
            <w:tcBorders>
              <w:top w:val="single" w:sz="4" w:space="0" w:color="auto"/>
              <w:left w:val="single" w:sz="4" w:space="0" w:color="auto"/>
              <w:bottom w:val="single" w:sz="4" w:space="0" w:color="auto"/>
              <w:right w:val="single" w:sz="4" w:space="0" w:color="auto"/>
            </w:tcBorders>
            <w:vAlign w:val="center"/>
          </w:tcPr>
          <w:p w:rsidR="00941868" w14:paraId="3CB447B5" w14:textId="77777777">
            <w:pPr>
              <w:wordWrap w:val="0"/>
              <w:jc w:val="center"/>
              <w:rPr>
                <w:sz w:val="24"/>
              </w:rPr>
            </w:pPr>
            <w:r>
              <w:rPr>
                <w:rFonts w:hint="eastAsia"/>
                <w:sz w:val="24"/>
              </w:rPr>
              <w:t>证件号码</w:t>
            </w:r>
          </w:p>
        </w:tc>
        <w:tc>
          <w:tcPr>
            <w:tcW w:w="1041" w:type="dxa"/>
            <w:tcBorders>
              <w:top w:val="single" w:sz="4" w:space="0" w:color="auto"/>
              <w:left w:val="single" w:sz="4" w:space="0" w:color="auto"/>
              <w:bottom w:val="single" w:sz="4" w:space="0" w:color="auto"/>
              <w:right w:val="single" w:sz="4" w:space="0" w:color="auto"/>
            </w:tcBorders>
            <w:vAlign w:val="center"/>
          </w:tcPr>
          <w:p w:rsidR="00941868" w14:paraId="6B2FC364" w14:textId="77777777">
            <w:pPr>
              <w:wordWrap w:val="0"/>
              <w:jc w:val="center"/>
              <w:rPr>
                <w:sz w:val="24"/>
              </w:rPr>
            </w:pPr>
            <w:r>
              <w:rPr>
                <w:rFonts w:hint="eastAsia"/>
                <w:sz w:val="24"/>
              </w:rPr>
              <w:t>职称</w:t>
            </w:r>
          </w:p>
        </w:tc>
        <w:tc>
          <w:tcPr>
            <w:tcW w:w="740" w:type="dxa"/>
            <w:tcBorders>
              <w:top w:val="single" w:sz="4" w:space="0" w:color="auto"/>
              <w:left w:val="single" w:sz="4" w:space="0" w:color="auto"/>
              <w:bottom w:val="single" w:sz="4" w:space="0" w:color="auto"/>
              <w:right w:val="single" w:sz="4" w:space="0" w:color="auto"/>
            </w:tcBorders>
            <w:vAlign w:val="center"/>
          </w:tcPr>
          <w:p w:rsidR="00941868" w14:paraId="2267CEF6" w14:textId="77777777">
            <w:pPr>
              <w:wordWrap w:val="0"/>
              <w:jc w:val="center"/>
              <w:rPr>
                <w:sz w:val="24"/>
              </w:rPr>
            </w:pPr>
            <w:r>
              <w:rPr>
                <w:rFonts w:hint="eastAsia"/>
                <w:sz w:val="24"/>
              </w:rPr>
              <w:t>学位</w:t>
            </w:r>
          </w:p>
        </w:tc>
        <w:tc>
          <w:tcPr>
            <w:tcW w:w="1843" w:type="dxa"/>
            <w:tcBorders>
              <w:top w:val="single" w:sz="4" w:space="0" w:color="auto"/>
              <w:left w:val="single" w:sz="4" w:space="0" w:color="auto"/>
              <w:bottom w:val="single" w:sz="4" w:space="0" w:color="auto"/>
              <w:right w:val="single" w:sz="4" w:space="0" w:color="auto"/>
            </w:tcBorders>
            <w:vAlign w:val="center"/>
          </w:tcPr>
          <w:p w:rsidR="00941868" w14:paraId="037B821F" w14:textId="77777777">
            <w:pPr>
              <w:wordWrap w:val="0"/>
              <w:jc w:val="center"/>
              <w:rPr>
                <w:sz w:val="24"/>
              </w:rPr>
            </w:pPr>
            <w:r>
              <w:rPr>
                <w:rFonts w:hint="eastAsia"/>
                <w:sz w:val="24"/>
              </w:rPr>
              <w:t>研究领域</w:t>
            </w:r>
          </w:p>
        </w:tc>
        <w:tc>
          <w:tcPr>
            <w:tcW w:w="1984" w:type="dxa"/>
            <w:tcBorders>
              <w:top w:val="single" w:sz="4" w:space="0" w:color="auto"/>
              <w:left w:val="single" w:sz="4" w:space="0" w:color="auto"/>
              <w:bottom w:val="single" w:sz="4" w:space="0" w:color="auto"/>
              <w:right w:val="single" w:sz="4" w:space="0" w:color="auto"/>
            </w:tcBorders>
            <w:vAlign w:val="center"/>
          </w:tcPr>
          <w:p w:rsidR="00941868" w14:paraId="343B8F11" w14:textId="77777777">
            <w:pPr>
              <w:tabs>
                <w:tab w:val="left" w:pos="2520"/>
                <w:tab w:val="center" w:pos="4144"/>
              </w:tabs>
              <w:wordWrap w:val="0"/>
              <w:jc w:val="center"/>
              <w:rPr>
                <w:sz w:val="24"/>
              </w:rPr>
            </w:pPr>
            <w:r>
              <w:rPr>
                <w:rFonts w:hint="eastAsia"/>
                <w:sz w:val="24"/>
              </w:rPr>
              <w:t>单位名称</w:t>
            </w:r>
          </w:p>
        </w:tc>
        <w:tc>
          <w:tcPr>
            <w:tcW w:w="3119" w:type="dxa"/>
            <w:tcBorders>
              <w:top w:val="single" w:sz="4" w:space="0" w:color="auto"/>
              <w:left w:val="single" w:sz="4" w:space="0" w:color="auto"/>
              <w:bottom w:val="single" w:sz="4" w:space="0" w:color="auto"/>
              <w:right w:val="single" w:sz="4" w:space="0" w:color="auto"/>
            </w:tcBorders>
            <w:vAlign w:val="center"/>
          </w:tcPr>
          <w:p w:rsidR="00941868" w14:paraId="6BEC54AB" w14:textId="77777777">
            <w:pPr>
              <w:wordWrap w:val="0"/>
              <w:jc w:val="center"/>
              <w:rPr>
                <w:sz w:val="24"/>
              </w:rPr>
            </w:pPr>
            <w:r>
              <w:rPr>
                <w:rFonts w:hint="eastAsia"/>
                <w:sz w:val="24"/>
              </w:rPr>
              <w:t>分工</w:t>
            </w:r>
          </w:p>
        </w:tc>
        <w:tc>
          <w:tcPr>
            <w:tcW w:w="1132" w:type="dxa"/>
            <w:tcBorders>
              <w:top w:val="single" w:sz="4" w:space="0" w:color="auto"/>
              <w:left w:val="single" w:sz="4" w:space="0" w:color="auto"/>
              <w:bottom w:val="single" w:sz="4" w:space="0" w:color="auto"/>
              <w:right w:val="single" w:sz="4" w:space="0" w:color="auto"/>
            </w:tcBorders>
            <w:vAlign w:val="center"/>
          </w:tcPr>
          <w:p w:rsidR="00941868" w14:paraId="647907A0" w14:textId="77777777">
            <w:pPr>
              <w:wordWrap w:val="0"/>
              <w:jc w:val="center"/>
              <w:rPr>
                <w:sz w:val="24"/>
              </w:rPr>
            </w:pPr>
            <w:r>
              <w:rPr>
                <w:rFonts w:hint="eastAsia"/>
                <w:sz w:val="24"/>
              </w:rPr>
              <w:t>在读状态</w:t>
            </w:r>
          </w:p>
        </w:tc>
      </w:tr>
      <w:tr w14:paraId="4CDFBEC6" w14:textId="77777777">
        <w:tblPrEx>
          <w:tblW w:w="15870" w:type="dxa"/>
          <w:tblInd w:w="-851" w:type="dxa"/>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paraId="6657ECEA" w14:textId="77777777">
            <w:pPr>
              <w:wordWrap w:val="0"/>
              <w:jc w:val="center"/>
              <w:rPr>
                <w:rFonts w:ascii="宋体" w:eastAsia="宋体" w:hAnsi="宋体" w:cs="宋体"/>
                <w:sz w:val="24"/>
              </w:rPr>
            </w:pPr>
            <w:r>
              <w:rPr>
                <w:rFonts w:ascii="宋体" w:eastAsia="宋体" w:hAnsi="宋体" w:cs="宋体"/>
                <w:sz w:val="24"/>
              </w:rPr>
              <w:t>1</w:t>
            </w:r>
          </w:p>
        </w:tc>
        <w:tc>
          <w:tcPr>
            <w:tcW w:w="1135" w:type="dxa"/>
            <w:tcBorders>
              <w:top w:val="single" w:sz="4" w:space="0" w:color="auto"/>
              <w:left w:val="single" w:sz="4" w:space="0" w:color="auto"/>
              <w:bottom w:val="single" w:sz="4" w:space="0" w:color="auto"/>
              <w:right w:val="single" w:sz="4" w:space="0" w:color="auto"/>
            </w:tcBorders>
            <w:vAlign w:val="center"/>
          </w:tcPr>
          <w:p w:rsidR="00941868" w14:paraId="5628CB90" w14:textId="77777777">
            <w:pPr>
              <w:wordWrap w:val="0"/>
              <w:jc w:val="center"/>
              <w:rPr>
                <w:rFonts w:ascii="宋体" w:eastAsia="宋体" w:hAnsi="宋体" w:cs="宋体"/>
                <w:sz w:val="24"/>
              </w:rPr>
            </w:pPr>
            <w:r>
              <w:rPr>
                <w:rFonts w:ascii="宋体" w:eastAsia="宋体" w:hAnsi="宋体" w:cs="宋体"/>
                <w:sz w:val="24"/>
              </w:rPr>
              <w:t>蒋丽娜</w:t>
            </w:r>
          </w:p>
        </w:tc>
        <w:tc>
          <w:tcPr>
            <w:tcW w:w="708" w:type="dxa"/>
            <w:tcBorders>
              <w:top w:val="single" w:sz="4" w:space="0" w:color="auto"/>
              <w:left w:val="single" w:sz="4" w:space="0" w:color="auto"/>
              <w:bottom w:val="single" w:sz="4" w:space="0" w:color="auto"/>
              <w:right w:val="single" w:sz="4" w:space="0" w:color="auto"/>
            </w:tcBorders>
            <w:vAlign w:val="center"/>
          </w:tcPr>
          <w:p w:rsidR="00941868" w14:paraId="76162522" w14:textId="77777777">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rsidR="00941868" w14:paraId="4A9B70AD" w14:textId="77777777">
            <w:pPr>
              <w:wordWrap w:val="0"/>
              <w:jc w:val="center"/>
              <w:rPr>
                <w:rFonts w:ascii="宋体" w:eastAsia="宋体" w:hAnsi="宋体" w:cs="宋体"/>
                <w:sz w:val="24"/>
              </w:rPr>
            </w:pPr>
            <w:r>
              <w:rPr>
                <w:rFonts w:ascii="宋体" w:eastAsia="宋体" w:hAnsi="宋体" w:cs="宋体"/>
                <w:sz w:val="24"/>
              </w:rPr>
              <w:t>46</w:t>
            </w:r>
          </w:p>
        </w:tc>
        <w:tc>
          <w:tcPr>
            <w:tcW w:w="2786" w:type="dxa"/>
            <w:tcBorders>
              <w:top w:val="single" w:sz="4" w:space="0" w:color="auto"/>
              <w:left w:val="single" w:sz="4" w:space="0" w:color="auto"/>
              <w:bottom w:val="single" w:sz="4" w:space="0" w:color="auto"/>
              <w:right w:val="single" w:sz="4" w:space="0" w:color="auto"/>
            </w:tcBorders>
            <w:vAlign w:val="center"/>
          </w:tcPr>
          <w:p w:rsidR="00941868" w14:paraId="483E8945" w14:textId="77777777">
            <w:pPr>
              <w:wordWrap w:val="0"/>
              <w:jc w:val="center"/>
              <w:rPr>
                <w:rFonts w:ascii="宋体" w:eastAsia="宋体" w:hAnsi="宋体" w:cs="宋体"/>
                <w:sz w:val="24"/>
              </w:rPr>
            </w:pPr>
            <w:r>
              <w:rPr>
                <w:rFonts w:ascii="宋体" w:eastAsia="宋体" w:hAnsi="宋体" w:cs="宋体"/>
                <w:sz w:val="24"/>
              </w:rPr>
              <w:t>13112119791210366x</w:t>
            </w:r>
          </w:p>
        </w:tc>
        <w:tc>
          <w:tcPr>
            <w:tcW w:w="1041" w:type="dxa"/>
            <w:tcBorders>
              <w:top w:val="single" w:sz="4" w:space="0" w:color="auto"/>
              <w:left w:val="single" w:sz="4" w:space="0" w:color="auto"/>
              <w:bottom w:val="single" w:sz="4" w:space="0" w:color="auto"/>
              <w:right w:val="single" w:sz="4" w:space="0" w:color="auto"/>
            </w:tcBorders>
            <w:vAlign w:val="center"/>
          </w:tcPr>
          <w:p w:rsidR="00941868" w14:paraId="2224EF8A" w14:textId="77777777">
            <w:pPr>
              <w:wordWrap w:val="0"/>
              <w:jc w:val="center"/>
              <w:rPr>
                <w:rFonts w:ascii="宋体" w:eastAsia="宋体" w:hAnsi="宋体" w:cs="宋体"/>
                <w:sz w:val="24"/>
              </w:rPr>
            </w:pPr>
            <w:r>
              <w:rPr>
                <w:rFonts w:ascii="宋体" w:eastAsia="宋体" w:hAnsi="宋体" w:cs="宋体"/>
                <w:sz w:val="24"/>
              </w:rPr>
              <w:t>教授</w:t>
            </w:r>
          </w:p>
        </w:tc>
        <w:tc>
          <w:tcPr>
            <w:tcW w:w="740" w:type="dxa"/>
            <w:tcBorders>
              <w:top w:val="single" w:sz="4" w:space="0" w:color="auto"/>
              <w:left w:val="single" w:sz="4" w:space="0" w:color="auto"/>
              <w:bottom w:val="single" w:sz="4" w:space="0" w:color="auto"/>
              <w:right w:val="single" w:sz="4" w:space="0" w:color="auto"/>
            </w:tcBorders>
            <w:vAlign w:val="center"/>
          </w:tcPr>
          <w:p w:rsidR="00941868" w14:paraId="7E0641F1" w14:textId="77777777">
            <w:pPr>
              <w:wordWrap w:val="0"/>
              <w:jc w:val="center"/>
              <w:rPr>
                <w:rFonts w:ascii="宋体" w:eastAsia="宋体" w:hAnsi="宋体" w:cs="宋体"/>
                <w:sz w:val="24"/>
              </w:rPr>
            </w:pPr>
            <w:r>
              <w:rPr>
                <w:rFonts w:ascii="宋体" w:eastAsia="宋体" w:hAnsi="宋体" w:cs="宋体"/>
                <w:sz w:val="24"/>
              </w:rPr>
              <w:t>博士</w:t>
            </w:r>
          </w:p>
        </w:tc>
        <w:tc>
          <w:tcPr>
            <w:tcW w:w="1843" w:type="dxa"/>
            <w:tcBorders>
              <w:top w:val="single" w:sz="4" w:space="0" w:color="auto"/>
              <w:left w:val="single" w:sz="4" w:space="0" w:color="auto"/>
              <w:bottom w:val="single" w:sz="4" w:space="0" w:color="auto"/>
              <w:right w:val="single" w:sz="4" w:space="0" w:color="auto"/>
            </w:tcBorders>
            <w:vAlign w:val="center"/>
          </w:tcPr>
          <w:p w:rsidR="00941868" w14:paraId="511CBF53" w14:textId="77777777">
            <w:pPr>
              <w:wordWrap w:val="0"/>
              <w:jc w:val="left"/>
              <w:rPr>
                <w:rFonts w:ascii="宋体" w:eastAsia="宋体" w:hAnsi="宋体" w:cs="宋体"/>
                <w:sz w:val="24"/>
              </w:rPr>
            </w:pPr>
            <w:r>
              <w:rPr>
                <w:rFonts w:ascii="宋体" w:eastAsia="宋体" w:hAnsi="宋体" w:cs="宋体"/>
                <w:sz w:val="24"/>
              </w:rPr>
              <w:t>人体免疫学</w:t>
            </w:r>
          </w:p>
        </w:tc>
        <w:tc>
          <w:tcPr>
            <w:tcW w:w="1984" w:type="dxa"/>
            <w:tcBorders>
              <w:top w:val="single" w:sz="4" w:space="0" w:color="auto"/>
              <w:left w:val="single" w:sz="4" w:space="0" w:color="auto"/>
              <w:bottom w:val="single" w:sz="4" w:space="0" w:color="auto"/>
              <w:right w:val="single" w:sz="4" w:space="0" w:color="auto"/>
            </w:tcBorders>
            <w:vAlign w:val="center"/>
          </w:tcPr>
          <w:p w:rsidR="00941868" w14:paraId="56E4A7E5" w14:textId="77777777">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w:t>
            </w:r>
          </w:p>
        </w:tc>
        <w:tc>
          <w:tcPr>
            <w:tcW w:w="3119" w:type="dxa"/>
            <w:tcBorders>
              <w:top w:val="single" w:sz="4" w:space="0" w:color="auto"/>
              <w:left w:val="single" w:sz="4" w:space="0" w:color="auto"/>
              <w:bottom w:val="single" w:sz="4" w:space="0" w:color="auto"/>
              <w:right w:val="single" w:sz="4" w:space="0" w:color="auto"/>
            </w:tcBorders>
            <w:vAlign w:val="center"/>
          </w:tcPr>
          <w:p w:rsidR="00941868" w14:paraId="1D09E6BE" w14:textId="77777777">
            <w:pPr>
              <w:wordWrap w:val="0"/>
              <w:jc w:val="left"/>
              <w:rPr>
                <w:rFonts w:ascii="宋体" w:eastAsia="宋体" w:hAnsi="宋体" w:cs="宋体"/>
                <w:sz w:val="24"/>
              </w:rPr>
            </w:pPr>
            <w:r>
              <w:rPr>
                <w:rFonts w:ascii="宋体" w:eastAsia="宋体" w:hAnsi="宋体" w:cs="宋体"/>
                <w:sz w:val="24"/>
              </w:rPr>
              <w:t>负责课题设计，组织实施研究全过程，资料及结果分析，研究工作总结撰写等</w:t>
            </w:r>
          </w:p>
        </w:tc>
        <w:tc>
          <w:tcPr>
            <w:tcW w:w="1132" w:type="dxa"/>
            <w:tcBorders>
              <w:top w:val="single" w:sz="4" w:space="0" w:color="auto"/>
              <w:left w:val="single" w:sz="4" w:space="0" w:color="auto"/>
              <w:bottom w:val="single" w:sz="4" w:space="0" w:color="auto"/>
              <w:right w:val="single" w:sz="4" w:space="0" w:color="auto"/>
            </w:tcBorders>
            <w:vAlign w:val="center"/>
          </w:tcPr>
          <w:p w:rsidR="00941868" w14:paraId="1FE5C5BE" w14:textId="77777777">
            <w:pPr>
              <w:wordWrap w:val="0"/>
              <w:jc w:val="center"/>
              <w:rPr>
                <w:rFonts w:ascii="宋体" w:eastAsia="宋体" w:hAnsi="宋体" w:cs="宋体"/>
                <w:sz w:val="24"/>
              </w:rPr>
            </w:pPr>
            <w:r>
              <w:rPr>
                <w:rFonts w:ascii="宋体" w:eastAsia="宋体" w:hAnsi="宋体" w:cs="宋体"/>
                <w:sz w:val="24"/>
              </w:rPr>
              <w:t>非在读</w:t>
            </w:r>
          </w:p>
        </w:tc>
      </w:tr>
      <w:tr w14:paraId="4CDFBEC6" w14:textId="77777777">
        <w:tblPrEx>
          <w:tblW w:w="15870" w:type="dxa"/>
          <w:tblInd w:w="-851" w:type="dxa"/>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2</w:t>
            </w:r>
          </w:p>
        </w:tc>
        <w:tc>
          <w:tcPr>
            <w:tcW w:w="113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耿丽娜</w:t>
            </w:r>
          </w:p>
        </w:tc>
        <w:tc>
          <w:tcPr>
            <w:tcW w:w="708"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36</w:t>
            </w:r>
          </w:p>
        </w:tc>
        <w:tc>
          <w:tcPr>
            <w:tcW w:w="2786"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130723198909170027</w:t>
            </w:r>
          </w:p>
        </w:tc>
        <w:tc>
          <w:tcPr>
            <w:tcW w:w="1041"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其他中级</w:t>
            </w:r>
          </w:p>
        </w:tc>
        <w:tc>
          <w:tcPr>
            <w:tcW w:w="74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博士</w:t>
            </w:r>
          </w:p>
        </w:tc>
        <w:tc>
          <w:tcPr>
            <w:tcW w:w="184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实验诊断学</w:t>
            </w:r>
          </w:p>
        </w:tc>
        <w:tc>
          <w:tcPr>
            <w:tcW w:w="1984" w:type="dxa"/>
            <w:tcBorders>
              <w:top w:val="single" w:sz="4" w:space="0" w:color="auto"/>
              <w:left w:val="single" w:sz="4" w:space="0" w:color="auto"/>
              <w:bottom w:val="single" w:sz="4" w:space="0" w:color="auto"/>
              <w:right w:val="single" w:sz="4" w:space="0" w:color="auto"/>
            </w:tcBorders>
            <w:vAlign w:val="center"/>
          </w:tcPr>
          <w:p w:rsidR="00941868" w14:textId="77777777">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河北北方学院附属第一医院</w:t>
            </w:r>
          </w:p>
        </w:tc>
        <w:tc>
          <w:tcPr>
            <w:tcW w:w="311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流式细胞技术检测及结果分析</w:t>
            </w:r>
          </w:p>
        </w:tc>
        <w:tc>
          <w:tcPr>
            <w:tcW w:w="1132"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非在读</w:t>
            </w:r>
          </w:p>
        </w:tc>
      </w:tr>
      <w:tr w14:paraId="4CDFBEC6" w14:textId="77777777">
        <w:tblPrEx>
          <w:tblW w:w="15870" w:type="dxa"/>
          <w:tblInd w:w="-851" w:type="dxa"/>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3</w:t>
            </w:r>
          </w:p>
        </w:tc>
        <w:tc>
          <w:tcPr>
            <w:tcW w:w="113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董玥宏</w:t>
            </w:r>
          </w:p>
        </w:tc>
        <w:tc>
          <w:tcPr>
            <w:tcW w:w="708"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26</w:t>
            </w:r>
          </w:p>
        </w:tc>
        <w:tc>
          <w:tcPr>
            <w:tcW w:w="2786"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131024199903240024</w:t>
            </w:r>
          </w:p>
        </w:tc>
        <w:tc>
          <w:tcPr>
            <w:tcW w:w="1041"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无职称</w:t>
            </w:r>
          </w:p>
        </w:tc>
        <w:tc>
          <w:tcPr>
            <w:tcW w:w="74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学士</w:t>
            </w:r>
          </w:p>
        </w:tc>
        <w:tc>
          <w:tcPr>
            <w:tcW w:w="184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人体免疫学</w:t>
            </w:r>
          </w:p>
        </w:tc>
        <w:tc>
          <w:tcPr>
            <w:tcW w:w="1984" w:type="dxa"/>
            <w:tcBorders>
              <w:top w:val="single" w:sz="4" w:space="0" w:color="auto"/>
              <w:left w:val="single" w:sz="4" w:space="0" w:color="auto"/>
              <w:bottom w:val="single" w:sz="4" w:space="0" w:color="auto"/>
              <w:right w:val="single" w:sz="4" w:space="0" w:color="auto"/>
            </w:tcBorders>
            <w:vAlign w:val="center"/>
          </w:tcPr>
          <w:p w:rsidR="00941868" w14:textId="77777777">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w:t>
            </w:r>
          </w:p>
        </w:tc>
        <w:tc>
          <w:tcPr>
            <w:tcW w:w="311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失血性休克模型制备，免疫细胞分选、培养及相关检测</w:t>
            </w:r>
          </w:p>
        </w:tc>
        <w:tc>
          <w:tcPr>
            <w:tcW w:w="1132"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硕士研究生</w:t>
            </w:r>
          </w:p>
        </w:tc>
      </w:tr>
      <w:tr w14:paraId="4CDFBEC6" w14:textId="77777777">
        <w:tblPrEx>
          <w:tblW w:w="15870" w:type="dxa"/>
          <w:tblInd w:w="-851" w:type="dxa"/>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4</w:t>
            </w:r>
          </w:p>
        </w:tc>
        <w:tc>
          <w:tcPr>
            <w:tcW w:w="113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宋凯璇</w:t>
            </w:r>
          </w:p>
        </w:tc>
        <w:tc>
          <w:tcPr>
            <w:tcW w:w="708"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26</w:t>
            </w:r>
          </w:p>
        </w:tc>
        <w:tc>
          <w:tcPr>
            <w:tcW w:w="2786"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130683199906076022</w:t>
            </w:r>
          </w:p>
        </w:tc>
        <w:tc>
          <w:tcPr>
            <w:tcW w:w="1041"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助教</w:t>
            </w:r>
          </w:p>
        </w:tc>
        <w:tc>
          <w:tcPr>
            <w:tcW w:w="74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硕士</w:t>
            </w:r>
          </w:p>
        </w:tc>
        <w:tc>
          <w:tcPr>
            <w:tcW w:w="184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人体免疫学</w:t>
            </w:r>
          </w:p>
        </w:tc>
        <w:tc>
          <w:tcPr>
            <w:tcW w:w="1984" w:type="dxa"/>
            <w:tcBorders>
              <w:top w:val="single" w:sz="4" w:space="0" w:color="auto"/>
              <w:left w:val="single" w:sz="4" w:space="0" w:color="auto"/>
              <w:bottom w:val="single" w:sz="4" w:space="0" w:color="auto"/>
              <w:right w:val="single" w:sz="4" w:space="0" w:color="auto"/>
            </w:tcBorders>
            <w:vAlign w:val="center"/>
          </w:tcPr>
          <w:p w:rsidR="00941868" w14:textId="77777777">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w:t>
            </w:r>
          </w:p>
        </w:tc>
        <w:tc>
          <w:tcPr>
            <w:tcW w:w="311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免疫细胞实验及结果分析</w:t>
            </w:r>
          </w:p>
        </w:tc>
        <w:tc>
          <w:tcPr>
            <w:tcW w:w="1132"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非在读</w:t>
            </w:r>
          </w:p>
        </w:tc>
      </w:tr>
      <w:tr w14:paraId="4CDFBEC6" w14:textId="77777777">
        <w:tblPrEx>
          <w:tblW w:w="15870" w:type="dxa"/>
          <w:tblInd w:w="-851" w:type="dxa"/>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5</w:t>
            </w:r>
          </w:p>
        </w:tc>
        <w:tc>
          <w:tcPr>
            <w:tcW w:w="113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赵利娜</w:t>
            </w:r>
          </w:p>
        </w:tc>
        <w:tc>
          <w:tcPr>
            <w:tcW w:w="708"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32</w:t>
            </w:r>
          </w:p>
        </w:tc>
        <w:tc>
          <w:tcPr>
            <w:tcW w:w="2786"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130727199301060823</w:t>
            </w:r>
          </w:p>
        </w:tc>
        <w:tc>
          <w:tcPr>
            <w:tcW w:w="1041"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实验师</w:t>
            </w:r>
          </w:p>
        </w:tc>
        <w:tc>
          <w:tcPr>
            <w:tcW w:w="74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硕士</w:t>
            </w:r>
          </w:p>
        </w:tc>
        <w:tc>
          <w:tcPr>
            <w:tcW w:w="184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人体免疫学</w:t>
            </w:r>
          </w:p>
        </w:tc>
        <w:tc>
          <w:tcPr>
            <w:tcW w:w="1984" w:type="dxa"/>
            <w:tcBorders>
              <w:top w:val="single" w:sz="4" w:space="0" w:color="auto"/>
              <w:left w:val="single" w:sz="4" w:space="0" w:color="auto"/>
              <w:bottom w:val="single" w:sz="4" w:space="0" w:color="auto"/>
              <w:right w:val="single" w:sz="4" w:space="0" w:color="auto"/>
            </w:tcBorders>
            <w:vAlign w:val="center"/>
          </w:tcPr>
          <w:p w:rsidR="00941868" w14:textId="77777777">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w:t>
            </w:r>
          </w:p>
        </w:tc>
        <w:tc>
          <w:tcPr>
            <w:tcW w:w="311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免疫学实验检测及分析</w:t>
            </w:r>
          </w:p>
        </w:tc>
        <w:tc>
          <w:tcPr>
            <w:tcW w:w="1132"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非在读</w:t>
            </w:r>
          </w:p>
        </w:tc>
      </w:tr>
      <w:tr w14:paraId="4CDFBEC6" w14:textId="77777777">
        <w:tblPrEx>
          <w:tblW w:w="15870" w:type="dxa"/>
          <w:tblInd w:w="-851" w:type="dxa"/>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6</w:t>
            </w:r>
          </w:p>
        </w:tc>
        <w:tc>
          <w:tcPr>
            <w:tcW w:w="113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安康</w:t>
            </w:r>
          </w:p>
        </w:tc>
        <w:tc>
          <w:tcPr>
            <w:tcW w:w="708"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38</w:t>
            </w:r>
          </w:p>
        </w:tc>
        <w:tc>
          <w:tcPr>
            <w:tcW w:w="2786"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130703198701230910</w:t>
            </w:r>
          </w:p>
        </w:tc>
        <w:tc>
          <w:tcPr>
            <w:tcW w:w="1041"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副教授</w:t>
            </w:r>
          </w:p>
        </w:tc>
        <w:tc>
          <w:tcPr>
            <w:tcW w:w="74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博士</w:t>
            </w:r>
          </w:p>
        </w:tc>
        <w:tc>
          <w:tcPr>
            <w:tcW w:w="184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人体免疫学</w:t>
            </w:r>
          </w:p>
        </w:tc>
        <w:tc>
          <w:tcPr>
            <w:tcW w:w="1984" w:type="dxa"/>
            <w:tcBorders>
              <w:top w:val="single" w:sz="4" w:space="0" w:color="auto"/>
              <w:left w:val="single" w:sz="4" w:space="0" w:color="auto"/>
              <w:bottom w:val="single" w:sz="4" w:space="0" w:color="auto"/>
              <w:right w:val="single" w:sz="4" w:space="0" w:color="auto"/>
            </w:tcBorders>
            <w:vAlign w:val="center"/>
          </w:tcPr>
          <w:p w:rsidR="00941868" w14:textId="77777777">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w:t>
            </w:r>
          </w:p>
        </w:tc>
        <w:tc>
          <w:tcPr>
            <w:tcW w:w="311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免疫细胞实验及功能检测</w:t>
            </w:r>
          </w:p>
        </w:tc>
        <w:tc>
          <w:tcPr>
            <w:tcW w:w="1132"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非在读</w:t>
            </w:r>
          </w:p>
        </w:tc>
      </w:tr>
      <w:tr w14:paraId="4CDFBEC6" w14:textId="77777777">
        <w:tblPrEx>
          <w:tblW w:w="15870" w:type="dxa"/>
          <w:tblInd w:w="-851" w:type="dxa"/>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7</w:t>
            </w:r>
          </w:p>
        </w:tc>
        <w:tc>
          <w:tcPr>
            <w:tcW w:w="113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尹蒙</w:t>
            </w:r>
          </w:p>
        </w:tc>
        <w:tc>
          <w:tcPr>
            <w:tcW w:w="708"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37</w:t>
            </w:r>
          </w:p>
        </w:tc>
        <w:tc>
          <w:tcPr>
            <w:tcW w:w="2786"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130183198808080026</w:t>
            </w:r>
          </w:p>
        </w:tc>
        <w:tc>
          <w:tcPr>
            <w:tcW w:w="1041"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主治医师</w:t>
            </w:r>
          </w:p>
        </w:tc>
        <w:tc>
          <w:tcPr>
            <w:tcW w:w="74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硕士</w:t>
            </w:r>
          </w:p>
        </w:tc>
        <w:tc>
          <w:tcPr>
            <w:tcW w:w="184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急诊医学</w:t>
            </w:r>
          </w:p>
        </w:tc>
        <w:tc>
          <w:tcPr>
            <w:tcW w:w="1984" w:type="dxa"/>
            <w:tcBorders>
              <w:top w:val="single" w:sz="4" w:space="0" w:color="auto"/>
              <w:left w:val="single" w:sz="4" w:space="0" w:color="auto"/>
              <w:bottom w:val="single" w:sz="4" w:space="0" w:color="auto"/>
              <w:right w:val="single" w:sz="4" w:space="0" w:color="auto"/>
            </w:tcBorders>
            <w:vAlign w:val="center"/>
          </w:tcPr>
          <w:p w:rsidR="00941868" w14:textId="77777777">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河北北方学院附属第一医院</w:t>
            </w:r>
          </w:p>
        </w:tc>
        <w:tc>
          <w:tcPr>
            <w:tcW w:w="311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分子生物学实验检测及分析</w:t>
            </w:r>
          </w:p>
        </w:tc>
        <w:tc>
          <w:tcPr>
            <w:tcW w:w="1132"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非在读</w:t>
            </w:r>
          </w:p>
        </w:tc>
      </w:tr>
      <w:tr w14:paraId="4CDFBEC6" w14:textId="77777777">
        <w:tblPrEx>
          <w:tblW w:w="15870" w:type="dxa"/>
          <w:tblInd w:w="-851" w:type="dxa"/>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8</w:t>
            </w:r>
          </w:p>
        </w:tc>
        <w:tc>
          <w:tcPr>
            <w:tcW w:w="113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刘龙泽</w:t>
            </w:r>
          </w:p>
        </w:tc>
        <w:tc>
          <w:tcPr>
            <w:tcW w:w="708"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25</w:t>
            </w:r>
          </w:p>
        </w:tc>
        <w:tc>
          <w:tcPr>
            <w:tcW w:w="2786"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130183200012160012</w:t>
            </w:r>
          </w:p>
        </w:tc>
        <w:tc>
          <w:tcPr>
            <w:tcW w:w="1041"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无职称</w:t>
            </w:r>
          </w:p>
        </w:tc>
        <w:tc>
          <w:tcPr>
            <w:tcW w:w="74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学士</w:t>
            </w:r>
          </w:p>
        </w:tc>
        <w:tc>
          <w:tcPr>
            <w:tcW w:w="184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人体免疫学</w:t>
            </w:r>
          </w:p>
        </w:tc>
        <w:tc>
          <w:tcPr>
            <w:tcW w:w="1984" w:type="dxa"/>
            <w:tcBorders>
              <w:top w:val="single" w:sz="4" w:space="0" w:color="auto"/>
              <w:left w:val="single" w:sz="4" w:space="0" w:color="auto"/>
              <w:bottom w:val="single" w:sz="4" w:space="0" w:color="auto"/>
              <w:right w:val="single" w:sz="4" w:space="0" w:color="auto"/>
            </w:tcBorders>
            <w:vAlign w:val="center"/>
          </w:tcPr>
          <w:p w:rsidR="00941868" w14:textId="77777777">
            <w:pPr>
              <w:tabs>
                <w:tab w:val="left" w:pos="2520"/>
                <w:tab w:val="center" w:pos="4144"/>
              </w:tabs>
              <w:wordWrap w:val="0"/>
              <w:jc w:val="left"/>
              <w:rPr>
                <w:rFonts w:ascii="宋体" w:eastAsia="宋体" w:hAnsi="宋体" w:cs="宋体"/>
                <w:sz w:val="24"/>
              </w:rPr>
            </w:pPr>
            <w:r>
              <w:rPr>
                <w:rFonts w:ascii="宋体" w:eastAsia="宋体" w:hAnsi="宋体" w:cs="宋体"/>
                <w:sz w:val="24"/>
              </w:rPr>
              <w:t>河北北方学院</w:t>
            </w:r>
          </w:p>
        </w:tc>
        <w:tc>
          <w:tcPr>
            <w:tcW w:w="311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实验动物模型及样本处理、分子生物学实验、基因小鼠鉴定等</w:t>
            </w:r>
          </w:p>
        </w:tc>
        <w:tc>
          <w:tcPr>
            <w:tcW w:w="1132"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硕士研究生</w:t>
            </w:r>
          </w:p>
        </w:tc>
      </w:tr>
    </w:tbl>
    <w:p w:rsidR="00941868" w14:paraId="3EA686F9" w14:textId="77777777">
      <w:pPr>
        <w:wordWrap w:val="0"/>
        <w:rPr>
          <w:sz w:val="21"/>
        </w:rPr>
      </w:pPr>
      <w:r>
        <w:rPr>
          <w:rFonts w:hint="eastAsia"/>
          <w:sz w:val="24"/>
        </w:rPr>
        <w:t>注：证件号码一般填写身份证号码，无身份证人员填写时要注明证件名称。</w:t>
      </w:r>
    </w:p>
    <w:tbl>
      <w:tblPr>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87"/>
        <w:gridCol w:w="1587"/>
        <w:gridCol w:w="1587"/>
        <w:gridCol w:w="1587"/>
        <w:gridCol w:w="1587"/>
        <w:gridCol w:w="1587"/>
        <w:gridCol w:w="1587"/>
        <w:gridCol w:w="1587"/>
        <w:gridCol w:w="1587"/>
        <w:gridCol w:w="1587"/>
      </w:tblGrid>
      <w:tr w14:paraId="0E2B27BD" w14:textId="77777777">
        <w:tblPrEx>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cantSplit/>
          <w:trHeight w:val="483"/>
        </w:trPr>
        <w:tc>
          <w:tcPr>
            <w:tcW w:w="1587" w:type="dxa"/>
            <w:vAlign w:val="center"/>
          </w:tcPr>
          <w:p w:rsidR="00941868" w14:paraId="1594DE85" w14:textId="77777777">
            <w:pPr>
              <w:keepNext/>
              <w:wordWrap w:val="0"/>
              <w:spacing w:line="320" w:lineRule="exact"/>
              <w:jc w:val="center"/>
              <w:rPr>
                <w:sz w:val="24"/>
              </w:rPr>
            </w:pPr>
            <w:r>
              <w:rPr>
                <w:rFonts w:hint="eastAsia"/>
                <w:sz w:val="24"/>
              </w:rPr>
              <w:t>总人数</w:t>
            </w:r>
          </w:p>
        </w:tc>
        <w:tc>
          <w:tcPr>
            <w:tcW w:w="1587" w:type="dxa"/>
            <w:vAlign w:val="center"/>
          </w:tcPr>
          <w:p w:rsidR="00941868" w14:paraId="0B29428D" w14:textId="77777777">
            <w:pPr>
              <w:keepNext/>
              <w:wordWrap w:val="0"/>
              <w:spacing w:line="320" w:lineRule="exact"/>
              <w:jc w:val="center"/>
              <w:rPr>
                <w:sz w:val="24"/>
              </w:rPr>
            </w:pPr>
            <w:r>
              <w:rPr>
                <w:rFonts w:hint="eastAsia"/>
                <w:sz w:val="24"/>
              </w:rPr>
              <w:t>高级</w:t>
            </w:r>
          </w:p>
        </w:tc>
        <w:tc>
          <w:tcPr>
            <w:tcW w:w="1587" w:type="dxa"/>
            <w:vAlign w:val="center"/>
          </w:tcPr>
          <w:p w:rsidR="00941868" w14:paraId="48EAD178" w14:textId="77777777">
            <w:pPr>
              <w:keepNext/>
              <w:wordWrap w:val="0"/>
              <w:spacing w:line="320" w:lineRule="exact"/>
              <w:jc w:val="center"/>
              <w:rPr>
                <w:sz w:val="24"/>
              </w:rPr>
            </w:pPr>
            <w:r>
              <w:rPr>
                <w:rFonts w:hint="eastAsia"/>
                <w:sz w:val="24"/>
              </w:rPr>
              <w:t>中级</w:t>
            </w:r>
          </w:p>
        </w:tc>
        <w:tc>
          <w:tcPr>
            <w:tcW w:w="1587" w:type="dxa"/>
            <w:vAlign w:val="center"/>
          </w:tcPr>
          <w:p w:rsidR="00941868" w14:paraId="7372D5E9" w14:textId="77777777">
            <w:pPr>
              <w:keepNext/>
              <w:wordWrap w:val="0"/>
              <w:spacing w:line="320" w:lineRule="exact"/>
              <w:jc w:val="center"/>
              <w:rPr>
                <w:sz w:val="24"/>
              </w:rPr>
            </w:pPr>
            <w:r>
              <w:rPr>
                <w:rFonts w:hint="eastAsia"/>
                <w:sz w:val="24"/>
              </w:rPr>
              <w:t>初级</w:t>
            </w:r>
          </w:p>
        </w:tc>
        <w:tc>
          <w:tcPr>
            <w:tcW w:w="1587" w:type="dxa"/>
            <w:vAlign w:val="center"/>
          </w:tcPr>
          <w:p w:rsidR="00941868" w14:paraId="17854C60" w14:textId="77777777">
            <w:pPr>
              <w:keepNext/>
              <w:wordWrap w:val="0"/>
              <w:spacing w:line="320" w:lineRule="exact"/>
              <w:jc w:val="center"/>
              <w:rPr>
                <w:sz w:val="24"/>
              </w:rPr>
            </w:pPr>
            <w:r>
              <w:rPr>
                <w:rFonts w:hint="eastAsia"/>
                <w:sz w:val="24"/>
              </w:rPr>
              <w:t>其它</w:t>
            </w:r>
          </w:p>
        </w:tc>
        <w:tc>
          <w:tcPr>
            <w:tcW w:w="1587" w:type="dxa"/>
            <w:vAlign w:val="center"/>
          </w:tcPr>
          <w:p w:rsidR="00941868" w14:paraId="6FCFB4BF" w14:textId="77777777">
            <w:pPr>
              <w:keepNext/>
              <w:wordWrap w:val="0"/>
              <w:spacing w:line="320" w:lineRule="exact"/>
              <w:jc w:val="center"/>
              <w:rPr>
                <w:sz w:val="24"/>
              </w:rPr>
            </w:pPr>
            <w:r>
              <w:rPr>
                <w:rFonts w:hint="eastAsia"/>
                <w:sz w:val="24"/>
              </w:rPr>
              <w:t>博士后</w:t>
            </w:r>
          </w:p>
        </w:tc>
        <w:tc>
          <w:tcPr>
            <w:tcW w:w="1587" w:type="dxa"/>
            <w:vAlign w:val="center"/>
          </w:tcPr>
          <w:p w:rsidR="00941868" w14:paraId="0E55F43B" w14:textId="77777777">
            <w:pPr>
              <w:keepNext/>
              <w:wordWrap w:val="0"/>
              <w:spacing w:line="320" w:lineRule="exact"/>
              <w:jc w:val="center"/>
              <w:rPr>
                <w:sz w:val="24"/>
              </w:rPr>
            </w:pPr>
            <w:r>
              <w:rPr>
                <w:rFonts w:hint="eastAsia"/>
                <w:sz w:val="24"/>
              </w:rPr>
              <w:t>博士</w:t>
            </w:r>
          </w:p>
        </w:tc>
        <w:tc>
          <w:tcPr>
            <w:tcW w:w="1587" w:type="dxa"/>
            <w:vAlign w:val="center"/>
          </w:tcPr>
          <w:p w:rsidR="00941868" w14:paraId="12874431" w14:textId="77777777">
            <w:pPr>
              <w:keepNext/>
              <w:wordWrap w:val="0"/>
              <w:spacing w:line="320" w:lineRule="exact"/>
              <w:jc w:val="center"/>
              <w:rPr>
                <w:sz w:val="24"/>
              </w:rPr>
            </w:pPr>
            <w:r>
              <w:rPr>
                <w:rFonts w:hint="eastAsia"/>
                <w:sz w:val="24"/>
              </w:rPr>
              <w:t>博士生</w:t>
            </w:r>
          </w:p>
        </w:tc>
        <w:tc>
          <w:tcPr>
            <w:tcW w:w="1587" w:type="dxa"/>
            <w:vAlign w:val="center"/>
          </w:tcPr>
          <w:p w:rsidR="00941868" w14:paraId="6A4FCD96" w14:textId="77777777">
            <w:pPr>
              <w:keepNext/>
              <w:wordWrap w:val="0"/>
              <w:spacing w:line="320" w:lineRule="exact"/>
              <w:jc w:val="center"/>
              <w:rPr>
                <w:sz w:val="24"/>
              </w:rPr>
            </w:pPr>
            <w:r>
              <w:rPr>
                <w:rFonts w:hint="eastAsia"/>
                <w:sz w:val="24"/>
              </w:rPr>
              <w:t>硕士</w:t>
            </w:r>
          </w:p>
        </w:tc>
        <w:tc>
          <w:tcPr>
            <w:tcW w:w="1587" w:type="dxa"/>
            <w:vAlign w:val="center"/>
          </w:tcPr>
          <w:p w:rsidR="00941868" w14:paraId="128EDFC4" w14:textId="77777777">
            <w:pPr>
              <w:keepNext/>
              <w:wordWrap w:val="0"/>
              <w:spacing w:line="320" w:lineRule="exact"/>
              <w:jc w:val="center"/>
              <w:rPr>
                <w:sz w:val="24"/>
              </w:rPr>
            </w:pPr>
            <w:r>
              <w:rPr>
                <w:rFonts w:hint="eastAsia"/>
                <w:sz w:val="24"/>
              </w:rPr>
              <w:t>硕士生</w:t>
            </w:r>
          </w:p>
        </w:tc>
      </w:tr>
      <w:tr w14:paraId="6087CCF6" w14:textId="77777777">
        <w:tblPrEx>
          <w:tblW w:w="15870" w:type="dxa"/>
          <w:tblInd w:w="-822" w:type="dxa"/>
          <w:tblLook w:val="04A0"/>
        </w:tblPrEx>
        <w:trPr>
          <w:cantSplit/>
          <w:trHeight w:val="477"/>
        </w:trPr>
        <w:tc>
          <w:tcPr>
            <w:tcW w:w="1587" w:type="dxa"/>
            <w:vAlign w:val="center"/>
          </w:tcPr>
          <w:p w:rsidR="00941868" w14:paraId="28A046B8" w14:textId="77777777">
            <w:pPr>
              <w:keepNext/>
              <w:wordWrap w:val="0"/>
              <w:jc w:val="center"/>
              <w:rPr>
                <w:rFonts w:ascii="宋体" w:eastAsia="宋体" w:hAnsi="宋体" w:cs="宋体"/>
                <w:sz w:val="24"/>
              </w:rPr>
            </w:pPr>
            <w:r>
              <w:rPr>
                <w:rFonts w:ascii="宋体" w:eastAsia="宋体" w:hAnsi="宋体" w:cs="宋体"/>
                <w:sz w:val="24"/>
              </w:rPr>
              <w:t>8</w:t>
            </w:r>
          </w:p>
        </w:tc>
        <w:tc>
          <w:tcPr>
            <w:tcW w:w="1587" w:type="dxa"/>
            <w:vAlign w:val="center"/>
          </w:tcPr>
          <w:p w:rsidR="00941868" w14:paraId="27C5B825" w14:textId="77777777">
            <w:pPr>
              <w:keepNext/>
              <w:wordWrap w:val="0"/>
              <w:jc w:val="center"/>
              <w:rPr>
                <w:rFonts w:ascii="宋体" w:eastAsia="宋体" w:hAnsi="宋体" w:cs="宋体"/>
                <w:sz w:val="24"/>
              </w:rPr>
            </w:pPr>
            <w:r>
              <w:rPr>
                <w:rFonts w:ascii="宋体" w:eastAsia="宋体" w:hAnsi="宋体" w:cs="宋体"/>
                <w:sz w:val="24"/>
              </w:rPr>
              <w:t>2</w:t>
            </w:r>
          </w:p>
        </w:tc>
        <w:tc>
          <w:tcPr>
            <w:tcW w:w="1587" w:type="dxa"/>
            <w:vAlign w:val="center"/>
          </w:tcPr>
          <w:p w:rsidR="00941868" w14:paraId="673618DD" w14:textId="77777777">
            <w:pPr>
              <w:keepNext/>
              <w:wordWrap w:val="0"/>
              <w:jc w:val="center"/>
              <w:rPr>
                <w:rFonts w:ascii="宋体" w:eastAsia="宋体" w:hAnsi="宋体" w:cs="宋体"/>
                <w:sz w:val="24"/>
              </w:rPr>
            </w:pPr>
            <w:r>
              <w:rPr>
                <w:rFonts w:ascii="宋体" w:eastAsia="宋体" w:hAnsi="宋体" w:cs="宋体"/>
                <w:sz w:val="24"/>
              </w:rPr>
              <w:t>3</w:t>
            </w:r>
          </w:p>
        </w:tc>
        <w:tc>
          <w:tcPr>
            <w:tcW w:w="1587" w:type="dxa"/>
            <w:vAlign w:val="center"/>
          </w:tcPr>
          <w:p w:rsidR="00941868" w14:paraId="2164C3AF" w14:textId="77777777">
            <w:pPr>
              <w:keepNext/>
              <w:wordWrap w:val="0"/>
              <w:jc w:val="center"/>
              <w:rPr>
                <w:rFonts w:ascii="宋体" w:eastAsia="宋体" w:hAnsi="宋体" w:cs="宋体"/>
                <w:sz w:val="24"/>
              </w:rPr>
            </w:pPr>
            <w:r>
              <w:rPr>
                <w:rFonts w:ascii="宋体" w:eastAsia="宋体" w:hAnsi="宋体" w:cs="宋体"/>
                <w:sz w:val="24"/>
              </w:rPr>
              <w:t>1</w:t>
            </w:r>
          </w:p>
        </w:tc>
        <w:tc>
          <w:tcPr>
            <w:tcW w:w="1587" w:type="dxa"/>
            <w:vAlign w:val="center"/>
          </w:tcPr>
          <w:p w:rsidR="00941868" w14:paraId="31B3CB8B" w14:textId="77777777">
            <w:pPr>
              <w:keepNext/>
              <w:wordWrap w:val="0"/>
              <w:jc w:val="center"/>
              <w:rPr>
                <w:rFonts w:ascii="宋体" w:eastAsia="宋体" w:hAnsi="宋体" w:cs="宋体"/>
                <w:sz w:val="24"/>
              </w:rPr>
            </w:pPr>
            <w:r>
              <w:rPr>
                <w:rFonts w:ascii="宋体" w:eastAsia="宋体" w:hAnsi="宋体" w:cs="宋体"/>
                <w:sz w:val="24"/>
              </w:rPr>
              <w:t>2</w:t>
            </w:r>
          </w:p>
        </w:tc>
        <w:tc>
          <w:tcPr>
            <w:tcW w:w="1587" w:type="dxa"/>
            <w:vAlign w:val="center"/>
          </w:tcPr>
          <w:p w:rsidR="00941868" w14:paraId="59946B76" w14:textId="77777777">
            <w:pPr>
              <w:keepNext/>
              <w:wordWrap w:val="0"/>
              <w:jc w:val="center"/>
              <w:rPr>
                <w:rFonts w:ascii="宋体" w:eastAsia="宋体" w:hAnsi="宋体" w:cs="宋体"/>
                <w:sz w:val="24"/>
              </w:rPr>
            </w:pPr>
            <w:r>
              <w:rPr>
                <w:rFonts w:ascii="宋体" w:eastAsia="宋体" w:hAnsi="宋体" w:cs="宋体"/>
                <w:sz w:val="24"/>
              </w:rPr>
              <w:t>0</w:t>
            </w:r>
          </w:p>
        </w:tc>
        <w:tc>
          <w:tcPr>
            <w:tcW w:w="1587" w:type="dxa"/>
            <w:vAlign w:val="center"/>
          </w:tcPr>
          <w:p w:rsidR="00941868" w14:paraId="2DEB7126" w14:textId="77777777">
            <w:pPr>
              <w:keepNext/>
              <w:wordWrap w:val="0"/>
              <w:jc w:val="center"/>
              <w:rPr>
                <w:rFonts w:ascii="宋体" w:eastAsia="宋体" w:hAnsi="宋体" w:cs="宋体"/>
                <w:sz w:val="24"/>
              </w:rPr>
            </w:pPr>
            <w:r>
              <w:rPr>
                <w:rFonts w:ascii="宋体" w:eastAsia="宋体" w:hAnsi="宋体" w:cs="宋体"/>
                <w:sz w:val="24"/>
              </w:rPr>
              <w:t>3</w:t>
            </w:r>
          </w:p>
        </w:tc>
        <w:tc>
          <w:tcPr>
            <w:tcW w:w="1587" w:type="dxa"/>
            <w:vAlign w:val="center"/>
          </w:tcPr>
          <w:p w:rsidR="00941868" w14:paraId="3C608C22" w14:textId="77777777">
            <w:pPr>
              <w:keepNext/>
              <w:wordWrap w:val="0"/>
              <w:jc w:val="center"/>
              <w:rPr>
                <w:rFonts w:ascii="宋体" w:eastAsia="宋体" w:hAnsi="宋体" w:cs="宋体"/>
                <w:sz w:val="24"/>
              </w:rPr>
            </w:pPr>
            <w:r>
              <w:rPr>
                <w:rFonts w:ascii="宋体" w:eastAsia="宋体" w:hAnsi="宋体" w:cs="宋体"/>
                <w:sz w:val="24"/>
              </w:rPr>
              <w:t>0</w:t>
            </w:r>
          </w:p>
        </w:tc>
        <w:tc>
          <w:tcPr>
            <w:tcW w:w="1587" w:type="dxa"/>
            <w:vAlign w:val="center"/>
          </w:tcPr>
          <w:p w:rsidR="00941868" w14:paraId="5EECB936" w14:textId="77777777">
            <w:pPr>
              <w:keepNext/>
              <w:wordWrap w:val="0"/>
              <w:jc w:val="center"/>
              <w:rPr>
                <w:rFonts w:ascii="宋体" w:eastAsia="宋体" w:hAnsi="宋体" w:cs="宋体"/>
                <w:sz w:val="24"/>
              </w:rPr>
            </w:pPr>
            <w:r>
              <w:rPr>
                <w:rFonts w:ascii="宋体" w:eastAsia="宋体" w:hAnsi="宋体" w:cs="宋体"/>
                <w:sz w:val="24"/>
              </w:rPr>
              <w:t>3</w:t>
            </w:r>
          </w:p>
        </w:tc>
        <w:tc>
          <w:tcPr>
            <w:tcW w:w="1587" w:type="dxa"/>
            <w:vAlign w:val="center"/>
          </w:tcPr>
          <w:p w:rsidR="00941868" w14:paraId="3A8A23AF" w14:textId="77777777">
            <w:pPr>
              <w:keepNext/>
              <w:wordWrap w:val="0"/>
              <w:jc w:val="center"/>
              <w:rPr>
                <w:rFonts w:ascii="宋体" w:eastAsia="宋体" w:hAnsi="宋体" w:cs="宋体"/>
                <w:sz w:val="24"/>
              </w:rPr>
            </w:pPr>
            <w:r>
              <w:rPr>
                <w:rFonts w:ascii="宋体" w:eastAsia="宋体" w:hAnsi="宋体" w:cs="宋体"/>
                <w:sz w:val="24"/>
              </w:rPr>
              <w:t>2</w:t>
            </w:r>
          </w:p>
        </w:tc>
      </w:tr>
    </w:tbl>
    <w:p w:rsidR="00941868" w14:paraId="6AD3B87D" w14:textId="77777777">
      <w:pPr>
        <w:wordWrap w:val="0"/>
        <w:sectPr>
          <w:pgSz w:w="16838" w:h="11906" w:orient="landscape"/>
          <w:pgMar w:top="1134" w:right="851" w:bottom="1134" w:left="1418" w:header="851" w:footer="850" w:gutter="0"/>
          <w:cols w:space="720"/>
          <w:docGrid w:linePitch="381"/>
        </w:sectPr>
      </w:pPr>
    </w:p>
    <w:p w:rsidR="00941868" w14:paraId="1D52CC63" w14:textId="77777777">
      <w:pPr>
        <w:wordWrap w:val="0"/>
        <w:spacing w:line="20" w:lineRule="exact"/>
      </w:pP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638"/>
      </w:tblGrid>
      <w:tr w14:paraId="661BFC3C" w14:textId="77777777">
        <w:tblPrEx>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3032"/>
          <w:jc w:val="center"/>
        </w:trPr>
        <w:tc>
          <w:tcPr>
            <w:tcW w:w="9638" w:type="dxa"/>
          </w:tcPr>
          <w:p w:rsidR="00941868" w14:paraId="0C77A691" w14:textId="77777777">
            <w:pPr>
              <w:wordWrap w:val="0"/>
              <w:jc w:val="center"/>
              <w:rPr>
                <w:b/>
              </w:rPr>
            </w:pPr>
            <w:r>
              <w:rPr>
                <w:rFonts w:hint="eastAsia"/>
                <w:b/>
              </w:rPr>
              <w:t>预算填写说明</w:t>
            </w:r>
          </w:p>
          <w:p w:rsidR="00941868" w14:paraId="653DCFC8" w14:textId="77777777">
            <w:pPr>
              <w:wordWrap w:val="0"/>
              <w:spacing w:line="340" w:lineRule="exact"/>
              <w:ind w:firstLine="420" w:firstLineChars="200"/>
              <w:rPr>
                <w:b/>
                <w:bCs/>
                <w:sz w:val="21"/>
                <w:szCs w:val="21"/>
              </w:rPr>
            </w:pPr>
            <w:r>
              <w:rPr>
                <w:rFonts w:hint="eastAsia"/>
                <w:b/>
                <w:bCs/>
                <w:sz w:val="21"/>
                <w:szCs w:val="21"/>
              </w:rPr>
              <w:t>一、省级财政资金</w:t>
            </w:r>
          </w:p>
          <w:p w:rsidR="00941868" w14:paraId="0F5913F6" w14:textId="77777777">
            <w:pPr>
              <w:wordWrap w:val="0"/>
              <w:spacing w:line="340" w:lineRule="exact"/>
              <w:ind w:firstLine="420" w:firstLineChars="200"/>
              <w:rPr>
                <w:rFonts w:cs="仿宋_GB2312"/>
                <w:sz w:val="21"/>
                <w:szCs w:val="21"/>
              </w:rPr>
            </w:pPr>
            <w:r>
              <w:rPr>
                <w:rFonts w:cs="仿宋_GB2312" w:hint="eastAsia"/>
                <w:sz w:val="21"/>
                <w:szCs w:val="21"/>
              </w:rPr>
              <w:t>预算的编制要坚持任务相关性、政策相符性和经济合理性，实事求是编制提出项目预算。填报时，直接费用应按设备费、业务费、劳务费三个类别填报。直接费用中除</w:t>
            </w:r>
            <w:r>
              <w:rPr>
                <w:rFonts w:cs="仿宋_GB2312" w:hint="eastAsia"/>
                <w:sz w:val="21"/>
                <w:szCs w:val="21"/>
              </w:rPr>
              <w:t>50</w:t>
            </w:r>
            <w:r>
              <w:rPr>
                <w:rFonts w:cs="仿宋_GB2312" w:hint="eastAsia"/>
                <w:sz w:val="21"/>
                <w:szCs w:val="21"/>
              </w:rPr>
              <w:t>万元以上的设备费外，其他费用只提供基本测算说明，不需要提供明细。</w:t>
            </w:r>
          </w:p>
          <w:p w:rsidR="00941868" w14:paraId="675F71D9" w14:textId="77777777">
            <w:pPr>
              <w:wordWrap w:val="0"/>
              <w:spacing w:line="340" w:lineRule="exact"/>
              <w:ind w:firstLine="420" w:firstLineChars="200"/>
              <w:rPr>
                <w:rFonts w:cs="黑体"/>
                <w:sz w:val="21"/>
                <w:szCs w:val="21"/>
              </w:rPr>
            </w:pPr>
            <w:r>
              <w:rPr>
                <w:rFonts w:cs="黑体" w:hint="eastAsia"/>
                <w:sz w:val="21"/>
                <w:szCs w:val="21"/>
              </w:rPr>
              <w:t>（一）直接费用</w:t>
            </w:r>
          </w:p>
          <w:p w:rsidR="00941868" w14:paraId="539F757C" w14:textId="77777777">
            <w:pPr>
              <w:wordWrap w:val="0"/>
              <w:spacing w:line="340" w:lineRule="exact"/>
              <w:ind w:firstLine="420" w:firstLineChars="200"/>
              <w:rPr>
                <w:rFonts w:cs="仿宋_GB2312"/>
                <w:sz w:val="21"/>
                <w:szCs w:val="21"/>
              </w:rPr>
            </w:pPr>
            <w:r>
              <w:rPr>
                <w:rFonts w:cs="仿宋_GB2312" w:hint="eastAsia"/>
                <w:sz w:val="21"/>
                <w:szCs w:val="21"/>
              </w:rPr>
              <w:t>指在项目实施过程中发生的与之直接相关的费用，具体包括：</w:t>
            </w:r>
          </w:p>
          <w:p w:rsidR="00941868" w14:paraId="276B0637" w14:textId="77777777">
            <w:pPr>
              <w:wordWrap w:val="0"/>
              <w:spacing w:line="340" w:lineRule="exact"/>
              <w:ind w:firstLine="420" w:firstLineChars="200"/>
              <w:rPr>
                <w:rFonts w:cs="仿宋_GB2312"/>
                <w:sz w:val="21"/>
                <w:szCs w:val="21"/>
              </w:rPr>
            </w:pPr>
            <w:r>
              <w:rPr>
                <w:rFonts w:cs="仿宋_GB2312" w:hint="eastAsia"/>
                <w:sz w:val="21"/>
                <w:szCs w:val="21"/>
              </w:rPr>
              <w:t>1.</w:t>
            </w:r>
            <w:r>
              <w:rPr>
                <w:rFonts w:cs="仿宋_GB2312" w:hint="eastAsia"/>
                <w:sz w:val="21"/>
                <w:szCs w:val="21"/>
              </w:rPr>
              <w:t>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w:t>
            </w:r>
            <w:r>
              <w:rPr>
                <w:rFonts w:cs="仿宋_GB2312" w:hint="eastAsia"/>
                <w:sz w:val="21"/>
                <w:szCs w:val="21"/>
              </w:rPr>
              <w:t>50</w:t>
            </w:r>
            <w:r>
              <w:rPr>
                <w:rFonts w:cs="仿宋_GB2312" w:hint="eastAsia"/>
                <w:sz w:val="21"/>
                <w:szCs w:val="21"/>
              </w:rPr>
              <w:t>万元以上的设备详细说明。</w:t>
            </w:r>
          </w:p>
          <w:p w:rsidR="00941868" w14:paraId="4FDA4299" w14:textId="77777777">
            <w:pPr>
              <w:wordWrap w:val="0"/>
              <w:spacing w:line="340" w:lineRule="exact"/>
              <w:ind w:firstLine="420" w:firstLineChars="200"/>
              <w:rPr>
                <w:rFonts w:cs="仿宋_GB2312"/>
                <w:sz w:val="21"/>
                <w:szCs w:val="21"/>
              </w:rPr>
            </w:pPr>
            <w:r>
              <w:rPr>
                <w:rFonts w:cs="仿宋_GB2312" w:hint="eastAsia"/>
                <w:sz w:val="21"/>
                <w:szCs w:val="21"/>
              </w:rPr>
              <w:t>2.</w:t>
            </w:r>
            <w:r>
              <w:rPr>
                <w:rFonts w:cs="仿宋_GB2312" w:hint="eastAsia"/>
                <w:sz w:val="21"/>
                <w:szCs w:val="21"/>
              </w:rPr>
              <w:t>业务费：指在项目实施过程中消耗的各种材料、辅助材料等低值易耗品的采购、运输、装卸、整理等费用，发生的测试化验加工、燃料动力、出版／文献／信息传播／知识产权事务、会议／差旅／国际合作交流等费用，以及其他</w:t>
            </w:r>
            <w:r>
              <w:rPr>
                <w:rFonts w:cs="仿宋_GB2312" w:hint="eastAsia"/>
                <w:sz w:val="21"/>
                <w:szCs w:val="21"/>
              </w:rPr>
              <w:t>相关支出。填报时，对单笔大额支出、对外委托支出重点说明。</w:t>
            </w:r>
          </w:p>
          <w:p w:rsidR="00941868" w14:paraId="0339C087" w14:textId="77777777">
            <w:pPr>
              <w:wordWrap w:val="0"/>
              <w:spacing w:line="340" w:lineRule="exact"/>
              <w:ind w:firstLine="420" w:firstLineChars="200"/>
              <w:rPr>
                <w:rFonts w:cs="仿宋_GB2312"/>
                <w:sz w:val="21"/>
                <w:szCs w:val="21"/>
              </w:rPr>
            </w:pPr>
            <w:r>
              <w:rPr>
                <w:rFonts w:cs="仿宋_GB2312" w:hint="eastAsia"/>
                <w:sz w:val="21"/>
                <w:szCs w:val="21"/>
              </w:rPr>
              <w:t>3.</w:t>
            </w:r>
            <w:r>
              <w:rPr>
                <w:rFonts w:cs="仿宋_GB2312" w:hint="eastAsia"/>
                <w:sz w:val="21"/>
                <w:szCs w:val="21"/>
              </w:rPr>
              <w:t>劳务费：指在项目实施过程中支付给参与项目研究的研究生、博士后、访问学者以及项目科研辅助人员等的劳务性费用，以及支付给临时聘请的咨询专家的费用等。</w:t>
            </w:r>
          </w:p>
          <w:p w:rsidR="00941868" w14:paraId="599B9F75" w14:textId="77777777">
            <w:pPr>
              <w:wordWrap w:val="0"/>
              <w:spacing w:line="340" w:lineRule="exact"/>
              <w:ind w:firstLine="420" w:firstLineChars="200"/>
              <w:rPr>
                <w:rFonts w:cs="仿宋_GB2312"/>
                <w:sz w:val="21"/>
                <w:szCs w:val="21"/>
              </w:rPr>
            </w:pPr>
            <w:r>
              <w:rPr>
                <w:rFonts w:cs="仿宋_GB2312" w:hint="eastAsia"/>
                <w:sz w:val="21"/>
                <w:szCs w:val="21"/>
              </w:rPr>
              <w:t>项目聘用人员的劳务费开支标准，参照当地科学研究和技术服务业从业人员平均工资水平，根据其在项目研究中承担的工作任务确定，其由单位缴纳的社会保险补助、住房公积金等“五险</w:t>
            </w:r>
            <w:r>
              <w:rPr>
                <w:rFonts w:cs="仿宋_GB2312" w:hint="eastAsia"/>
                <w:sz w:val="21"/>
                <w:szCs w:val="21"/>
              </w:rPr>
              <w:t>一</w:t>
            </w:r>
            <w:r>
              <w:rPr>
                <w:rFonts w:cs="仿宋_GB2312" w:hint="eastAsia"/>
                <w:sz w:val="21"/>
                <w:szCs w:val="21"/>
              </w:rPr>
              <w:t>金”纳入劳务费科目开支。</w:t>
            </w:r>
          </w:p>
          <w:p w:rsidR="00941868" w14:paraId="42412FFC" w14:textId="77777777">
            <w:pPr>
              <w:wordWrap w:val="0"/>
              <w:spacing w:line="340" w:lineRule="exact"/>
              <w:ind w:firstLine="420" w:firstLineChars="200"/>
              <w:rPr>
                <w:rFonts w:cs="仿宋_GB2312"/>
                <w:sz w:val="21"/>
                <w:szCs w:val="21"/>
              </w:rPr>
            </w:pPr>
            <w:r>
              <w:rPr>
                <w:rFonts w:cs="仿宋_GB2312" w:hint="eastAsia"/>
                <w:sz w:val="21"/>
                <w:szCs w:val="21"/>
              </w:rPr>
              <w:t>专家咨询费不得支付给参与项目及其项目管理相关的工作人员。专家咨询费标准参照《中央财政科研项目专家咨询费管理办法》</w:t>
            </w:r>
            <w:r>
              <w:rPr>
                <w:rFonts w:cs="仿宋_GB2312" w:hint="eastAsia"/>
                <w:sz w:val="21"/>
                <w:szCs w:val="21"/>
              </w:rPr>
              <w:t>（财科教〔</w:t>
            </w:r>
            <w:r>
              <w:rPr>
                <w:rFonts w:cs="仿宋_GB2312" w:hint="eastAsia"/>
                <w:sz w:val="21"/>
                <w:szCs w:val="21"/>
              </w:rPr>
              <w:t>2017</w:t>
            </w:r>
            <w:r>
              <w:rPr>
                <w:rFonts w:cs="仿宋_GB2312" w:hint="eastAsia"/>
                <w:sz w:val="21"/>
                <w:szCs w:val="21"/>
              </w:rPr>
              <w:t>〕</w:t>
            </w:r>
            <w:r>
              <w:rPr>
                <w:rFonts w:cs="仿宋_GB2312" w:hint="eastAsia"/>
                <w:sz w:val="21"/>
                <w:szCs w:val="21"/>
              </w:rPr>
              <w:t>128</w:t>
            </w:r>
            <w:r>
              <w:rPr>
                <w:rFonts w:cs="仿宋_GB2312" w:hint="eastAsia"/>
                <w:sz w:val="21"/>
                <w:szCs w:val="21"/>
              </w:rPr>
              <w:t>号）规定，由项目申报单位结合实际自行确定。</w:t>
            </w:r>
          </w:p>
          <w:p w:rsidR="00941868" w14:paraId="59DAB747" w14:textId="77777777">
            <w:pPr>
              <w:wordWrap w:val="0"/>
              <w:spacing w:line="340" w:lineRule="exact"/>
              <w:ind w:firstLine="420" w:firstLineChars="200"/>
              <w:rPr>
                <w:rFonts w:cs="黑体"/>
                <w:sz w:val="21"/>
                <w:szCs w:val="21"/>
              </w:rPr>
            </w:pPr>
            <w:r>
              <w:rPr>
                <w:rFonts w:cs="黑体" w:hint="eastAsia"/>
                <w:sz w:val="21"/>
                <w:szCs w:val="21"/>
              </w:rPr>
              <w:t>（二）间接费用</w:t>
            </w:r>
          </w:p>
          <w:p w:rsidR="00941868" w14:paraId="36B60BBD" w14:textId="77777777">
            <w:pPr>
              <w:wordWrap w:val="0"/>
              <w:autoSpaceDE w:val="0"/>
              <w:autoSpaceDN w:val="0"/>
              <w:spacing w:line="340" w:lineRule="exact"/>
              <w:ind w:firstLine="403" w:firstLineChars="192"/>
              <w:rPr>
                <w:sz w:val="21"/>
                <w:szCs w:val="21"/>
              </w:rPr>
            </w:pPr>
            <w:r>
              <w:rPr>
                <w:rFonts w:hint="eastAsia"/>
                <w:sz w:val="21"/>
                <w:szCs w:val="21"/>
              </w:rPr>
              <w:t>指项目申报单位和项目合作单位在组织实施项目过程中发生的无法在直接费用中列支的相关费用。主要包括：项目申报单位为项目研究提供的房屋占用，日常水、电、气、暖消耗，有关管理费用的补助支出，以及激励科研人员的绩效支出等。</w:t>
            </w:r>
          </w:p>
          <w:p w:rsidR="00941868" w14:paraId="00ED2F8D" w14:textId="77777777">
            <w:pPr>
              <w:wordWrap w:val="0"/>
              <w:autoSpaceDE w:val="0"/>
              <w:autoSpaceDN w:val="0"/>
              <w:spacing w:line="340" w:lineRule="exact"/>
              <w:ind w:firstLine="403" w:firstLineChars="192"/>
              <w:rPr>
                <w:sz w:val="21"/>
                <w:szCs w:val="21"/>
              </w:rPr>
            </w:pPr>
            <w:r>
              <w:rPr>
                <w:rFonts w:hint="eastAsia"/>
                <w:sz w:val="21"/>
                <w:szCs w:val="21"/>
              </w:rPr>
              <w:t>间接费用实行总额控制，项目申报单位申请的间接费用总额按照不超过直接费用扣除设备购置费的一定比例核定，其中：</w:t>
            </w:r>
            <w:r>
              <w:rPr>
                <w:rFonts w:hint="eastAsia"/>
                <w:sz w:val="21"/>
                <w:szCs w:val="21"/>
              </w:rPr>
              <w:t>100</w:t>
            </w:r>
            <w:r>
              <w:rPr>
                <w:rFonts w:hint="eastAsia"/>
                <w:sz w:val="21"/>
                <w:szCs w:val="21"/>
              </w:rPr>
              <w:t>万元以下的部分为</w:t>
            </w:r>
            <w:r>
              <w:rPr>
                <w:rFonts w:hint="eastAsia"/>
                <w:sz w:val="21"/>
                <w:szCs w:val="21"/>
              </w:rPr>
              <w:t>30%</w:t>
            </w:r>
            <w:r>
              <w:rPr>
                <w:rFonts w:hint="eastAsia"/>
                <w:sz w:val="21"/>
                <w:szCs w:val="21"/>
              </w:rPr>
              <w:t>，</w:t>
            </w:r>
            <w:r>
              <w:rPr>
                <w:rFonts w:hint="eastAsia"/>
                <w:sz w:val="21"/>
                <w:szCs w:val="21"/>
              </w:rPr>
              <w:t>100</w:t>
            </w:r>
            <w:r>
              <w:rPr>
                <w:rFonts w:hint="eastAsia"/>
                <w:sz w:val="21"/>
                <w:szCs w:val="21"/>
              </w:rPr>
              <w:t>万元至</w:t>
            </w:r>
            <w:r>
              <w:rPr>
                <w:rFonts w:hint="eastAsia"/>
                <w:sz w:val="21"/>
                <w:szCs w:val="21"/>
              </w:rPr>
              <w:t>300</w:t>
            </w:r>
            <w:r>
              <w:rPr>
                <w:rFonts w:hint="eastAsia"/>
                <w:sz w:val="21"/>
                <w:szCs w:val="21"/>
              </w:rPr>
              <w:t>万元的部分为</w:t>
            </w:r>
            <w:r>
              <w:rPr>
                <w:rFonts w:hint="eastAsia"/>
                <w:sz w:val="21"/>
                <w:szCs w:val="21"/>
              </w:rPr>
              <w:t>25%</w:t>
            </w:r>
            <w:r>
              <w:rPr>
                <w:rFonts w:hint="eastAsia"/>
                <w:sz w:val="21"/>
                <w:szCs w:val="21"/>
              </w:rPr>
              <w:t>；</w:t>
            </w:r>
            <w:r>
              <w:rPr>
                <w:rFonts w:hint="eastAsia"/>
                <w:sz w:val="21"/>
                <w:szCs w:val="21"/>
              </w:rPr>
              <w:t>300</w:t>
            </w:r>
            <w:r>
              <w:rPr>
                <w:rFonts w:hint="eastAsia"/>
                <w:sz w:val="21"/>
                <w:szCs w:val="21"/>
              </w:rPr>
              <w:t>万元以上的部分为</w:t>
            </w:r>
            <w:r>
              <w:rPr>
                <w:rFonts w:hint="eastAsia"/>
                <w:sz w:val="21"/>
                <w:szCs w:val="21"/>
              </w:rPr>
              <w:t>20%</w:t>
            </w:r>
            <w:r>
              <w:rPr>
                <w:rFonts w:hint="eastAsia"/>
                <w:sz w:val="21"/>
                <w:szCs w:val="21"/>
              </w:rPr>
              <w:t>；数学等纯理论基础研究项目间接费用比例可提高到不超过</w:t>
            </w:r>
            <w:r>
              <w:rPr>
                <w:rFonts w:hint="eastAsia"/>
                <w:sz w:val="21"/>
                <w:szCs w:val="21"/>
              </w:rPr>
              <w:t>60%</w:t>
            </w:r>
            <w:r>
              <w:rPr>
                <w:rFonts w:hint="eastAsia"/>
                <w:sz w:val="21"/>
                <w:szCs w:val="21"/>
              </w:rPr>
              <w:t>。</w:t>
            </w:r>
          </w:p>
          <w:p w:rsidR="00941868" w14:paraId="2645D831" w14:textId="77777777">
            <w:pPr>
              <w:wordWrap w:val="0"/>
              <w:autoSpaceDE w:val="0"/>
              <w:autoSpaceDN w:val="0"/>
              <w:spacing w:line="340" w:lineRule="exact"/>
              <w:ind w:firstLine="403" w:firstLineChars="192"/>
              <w:rPr>
                <w:sz w:val="21"/>
                <w:szCs w:val="21"/>
              </w:rPr>
            </w:pPr>
            <w:r>
              <w:rPr>
                <w:rFonts w:hint="eastAsia"/>
                <w:sz w:val="21"/>
                <w:szCs w:val="21"/>
              </w:rPr>
              <w:t>间接费用由项目承担单位统筹安排使用，可全部用于绩效支出，并向创新绩效突出的团队、个人和青年人才倾斜。</w:t>
            </w:r>
          </w:p>
          <w:p w:rsidR="00941868" w14:paraId="60838A78" w14:textId="77777777">
            <w:pPr>
              <w:wordWrap w:val="0"/>
              <w:autoSpaceDE w:val="0"/>
              <w:autoSpaceDN w:val="0"/>
              <w:spacing w:line="340" w:lineRule="exact"/>
              <w:ind w:firstLine="403" w:firstLineChars="192"/>
              <w:rPr>
                <w:sz w:val="21"/>
                <w:szCs w:val="21"/>
              </w:rPr>
            </w:pPr>
            <w:r>
              <w:rPr>
                <w:rFonts w:hint="eastAsia"/>
                <w:b/>
                <w:bCs/>
                <w:sz w:val="21"/>
                <w:szCs w:val="21"/>
              </w:rPr>
              <w:t>二、自筹资金</w:t>
            </w:r>
          </w:p>
          <w:p w:rsidR="00941868" w14:paraId="31640B8D" w14:textId="77777777">
            <w:pPr>
              <w:wordWrap w:val="0"/>
              <w:autoSpaceDE w:val="0"/>
              <w:autoSpaceDN w:val="0"/>
              <w:spacing w:line="340" w:lineRule="exact"/>
              <w:ind w:firstLine="403" w:firstLineChars="192"/>
              <w:rPr>
                <w:sz w:val="21"/>
                <w:szCs w:val="21"/>
              </w:rPr>
            </w:pPr>
            <w:r>
              <w:rPr>
                <w:rFonts w:hint="eastAsia"/>
                <w:sz w:val="21"/>
                <w:szCs w:val="21"/>
              </w:rPr>
              <w:t>对自筹资金主要用途、支出预算做简要说明。</w:t>
            </w:r>
          </w:p>
        </w:tc>
      </w:tr>
    </w:tbl>
    <w:p w:rsidR="00941868" w14:paraId="5AA865BC" w14:textId="77777777">
      <w:pPr>
        <w:widowControl/>
        <w:wordWrap w:val="0"/>
        <w:jc w:val="left"/>
      </w:pPr>
      <w:r>
        <w:br w:type="page"/>
      </w:r>
    </w:p>
    <w:p w:rsidR="00941868" w14:paraId="0953B245" w14:textId="77777777">
      <w:pPr>
        <w:wordWrap w:val="0"/>
        <w:jc w:val="center"/>
        <w:rPr>
          <w:b/>
          <w:szCs w:val="36"/>
        </w:rPr>
      </w:pPr>
      <w:r>
        <w:rPr>
          <w:rFonts w:hint="eastAsia"/>
          <w:b/>
          <w:szCs w:val="36"/>
        </w:rPr>
        <w:t>项目预算表</w:t>
      </w:r>
    </w:p>
    <w:p w:rsidR="00941868" w14:paraId="6AEAB3CA" w14:textId="77777777">
      <w:pPr>
        <w:wordWrap w:val="0"/>
        <w:spacing w:line="360" w:lineRule="auto"/>
        <w:ind w:right="567"/>
        <w:outlineLvl w:val="0"/>
        <w:rPr>
          <w:sz w:val="24"/>
        </w:rPr>
      </w:pPr>
      <w:r>
        <w:rPr>
          <w:rFonts w:hint="eastAsia"/>
        </w:rPr>
        <w:t xml:space="preserve">                                    </w:t>
      </w:r>
      <w:r>
        <w:rPr>
          <w:rFonts w:hint="eastAsia"/>
        </w:rPr>
        <w:t xml:space="preserve">         </w:t>
      </w:r>
      <w:r>
        <w:rPr>
          <w:rFonts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77"/>
        <w:gridCol w:w="4280"/>
        <w:gridCol w:w="3516"/>
      </w:tblGrid>
      <w:tr w14:paraId="752D377C"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907"/>
          <w:jc w:val="center"/>
        </w:trPr>
        <w:tc>
          <w:tcPr>
            <w:tcW w:w="1677" w:type="dxa"/>
            <w:vAlign w:val="center"/>
          </w:tcPr>
          <w:p w:rsidR="00941868" w14:paraId="49004B76" w14:textId="77777777">
            <w:pPr>
              <w:wordWrap w:val="0"/>
              <w:jc w:val="center"/>
              <w:outlineLvl w:val="0"/>
              <w:rPr>
                <w:b/>
                <w:sz w:val="24"/>
              </w:rPr>
            </w:pPr>
            <w:r>
              <w:rPr>
                <w:rFonts w:hint="eastAsia"/>
                <w:b/>
                <w:sz w:val="24"/>
              </w:rPr>
              <w:t>序号</w:t>
            </w:r>
          </w:p>
        </w:tc>
        <w:tc>
          <w:tcPr>
            <w:tcW w:w="4280" w:type="dxa"/>
            <w:vAlign w:val="center"/>
          </w:tcPr>
          <w:p w:rsidR="00941868" w14:paraId="2B5BCA1B" w14:textId="77777777">
            <w:pPr>
              <w:wordWrap w:val="0"/>
              <w:jc w:val="center"/>
              <w:outlineLvl w:val="0"/>
              <w:rPr>
                <w:b/>
                <w:sz w:val="24"/>
              </w:rPr>
            </w:pPr>
            <w:r>
              <w:rPr>
                <w:rFonts w:hint="eastAsia"/>
                <w:b/>
                <w:sz w:val="24"/>
              </w:rPr>
              <w:t>预算科目名称</w:t>
            </w:r>
          </w:p>
        </w:tc>
        <w:tc>
          <w:tcPr>
            <w:tcW w:w="3516" w:type="dxa"/>
            <w:vAlign w:val="center"/>
          </w:tcPr>
          <w:p w:rsidR="00941868" w14:paraId="7B653849" w14:textId="77777777">
            <w:pPr>
              <w:wordWrap w:val="0"/>
              <w:jc w:val="center"/>
              <w:outlineLvl w:val="0"/>
              <w:rPr>
                <w:b/>
                <w:sz w:val="24"/>
              </w:rPr>
            </w:pPr>
            <w:r>
              <w:rPr>
                <w:rFonts w:hint="eastAsia"/>
                <w:b/>
                <w:sz w:val="24"/>
              </w:rPr>
              <w:t>金额</w:t>
            </w:r>
          </w:p>
        </w:tc>
      </w:tr>
      <w:tr w14:paraId="4B4057F5" w14:textId="77777777">
        <w:tblPrEx>
          <w:tblW w:w="0" w:type="auto"/>
          <w:jc w:val="center"/>
          <w:tblLayout w:type="fixed"/>
          <w:tblLook w:val="04A0"/>
        </w:tblPrEx>
        <w:trPr>
          <w:trHeight w:hRule="exact" w:val="907"/>
          <w:jc w:val="center"/>
        </w:trPr>
        <w:tc>
          <w:tcPr>
            <w:tcW w:w="1677" w:type="dxa"/>
            <w:vAlign w:val="center"/>
          </w:tcPr>
          <w:p w:rsidR="00941868" w14:paraId="62B690B2" w14:textId="77777777">
            <w:pPr>
              <w:wordWrap w:val="0"/>
              <w:jc w:val="center"/>
              <w:outlineLvl w:val="0"/>
              <w:rPr>
                <w:sz w:val="24"/>
              </w:rPr>
            </w:pPr>
            <w:r>
              <w:rPr>
                <w:rFonts w:hint="eastAsia"/>
                <w:sz w:val="24"/>
              </w:rPr>
              <w:t>1</w:t>
            </w:r>
          </w:p>
        </w:tc>
        <w:tc>
          <w:tcPr>
            <w:tcW w:w="4280" w:type="dxa"/>
            <w:vAlign w:val="center"/>
          </w:tcPr>
          <w:p w:rsidR="00941868" w14:paraId="10D9F839" w14:textId="77777777">
            <w:pPr>
              <w:wordWrap w:val="0"/>
              <w:outlineLvl w:val="0"/>
              <w:rPr>
                <w:sz w:val="24"/>
              </w:rPr>
            </w:pPr>
            <w:r>
              <w:rPr>
                <w:rFonts w:hint="eastAsia"/>
                <w:b/>
                <w:bCs/>
                <w:sz w:val="24"/>
              </w:rPr>
              <w:t>一、省级财政资金</w:t>
            </w:r>
          </w:p>
        </w:tc>
        <w:tc>
          <w:tcPr>
            <w:tcW w:w="3516" w:type="dxa"/>
            <w:vAlign w:val="center"/>
          </w:tcPr>
          <w:p w:rsidR="00941868" w14:paraId="15146A57" w14:textId="77777777">
            <w:pPr>
              <w:wordWrap w:val="0"/>
              <w:jc w:val="center"/>
              <w:outlineLvl w:val="0"/>
              <w:rPr>
                <w:rFonts w:ascii="宋体" w:eastAsia="宋体" w:hAnsi="宋体" w:cs="宋体"/>
                <w:sz w:val="24"/>
              </w:rPr>
            </w:pPr>
            <w:r>
              <w:rPr>
                <w:rFonts w:ascii="宋体" w:eastAsia="宋体" w:hAnsi="宋体" w:cs="宋体"/>
                <w:sz w:val="24"/>
              </w:rPr>
              <w:t>10.00</w:t>
            </w:r>
          </w:p>
        </w:tc>
      </w:tr>
      <w:tr w14:paraId="66E37038" w14:textId="77777777">
        <w:tblPrEx>
          <w:tblW w:w="0" w:type="auto"/>
          <w:jc w:val="center"/>
          <w:tblLayout w:type="fixed"/>
          <w:tblLook w:val="04A0"/>
        </w:tblPrEx>
        <w:trPr>
          <w:trHeight w:hRule="exact" w:val="907"/>
          <w:jc w:val="center"/>
        </w:trPr>
        <w:tc>
          <w:tcPr>
            <w:tcW w:w="1677" w:type="dxa"/>
            <w:vAlign w:val="center"/>
          </w:tcPr>
          <w:p w:rsidR="00941868" w14:paraId="7E7B2F5C" w14:textId="77777777">
            <w:pPr>
              <w:wordWrap w:val="0"/>
              <w:jc w:val="center"/>
              <w:outlineLvl w:val="0"/>
              <w:rPr>
                <w:sz w:val="24"/>
              </w:rPr>
            </w:pPr>
            <w:r>
              <w:rPr>
                <w:rFonts w:hint="eastAsia"/>
                <w:sz w:val="24"/>
              </w:rPr>
              <w:t>2</w:t>
            </w:r>
          </w:p>
        </w:tc>
        <w:tc>
          <w:tcPr>
            <w:tcW w:w="4280" w:type="dxa"/>
            <w:vAlign w:val="center"/>
          </w:tcPr>
          <w:p w:rsidR="00941868" w14:paraId="56D4E910" w14:textId="77777777">
            <w:pPr>
              <w:wordWrap w:val="0"/>
              <w:outlineLvl w:val="0"/>
              <w:rPr>
                <w:sz w:val="24"/>
              </w:rPr>
            </w:pPr>
            <w:r>
              <w:rPr>
                <w:rFonts w:hint="eastAsia"/>
                <w:sz w:val="24"/>
              </w:rPr>
              <w:t>（一）直接费用</w:t>
            </w:r>
          </w:p>
        </w:tc>
        <w:tc>
          <w:tcPr>
            <w:tcW w:w="3516" w:type="dxa"/>
            <w:vAlign w:val="center"/>
          </w:tcPr>
          <w:p w:rsidR="00941868" w14:paraId="40FDE267" w14:textId="77777777">
            <w:pPr>
              <w:wordWrap w:val="0"/>
              <w:jc w:val="center"/>
              <w:outlineLvl w:val="0"/>
              <w:rPr>
                <w:rFonts w:ascii="宋体" w:eastAsia="宋体" w:hAnsi="宋体" w:cs="宋体"/>
                <w:sz w:val="24"/>
              </w:rPr>
            </w:pPr>
            <w:r>
              <w:rPr>
                <w:rFonts w:ascii="宋体" w:eastAsia="宋体" w:hAnsi="宋体" w:cs="宋体"/>
                <w:sz w:val="24"/>
              </w:rPr>
              <w:t>9.00</w:t>
            </w:r>
          </w:p>
        </w:tc>
      </w:tr>
      <w:tr w14:paraId="50D9706B" w14:textId="77777777">
        <w:tblPrEx>
          <w:tblW w:w="0" w:type="auto"/>
          <w:jc w:val="center"/>
          <w:tblLayout w:type="fixed"/>
          <w:tblLook w:val="04A0"/>
        </w:tblPrEx>
        <w:trPr>
          <w:trHeight w:hRule="exact" w:val="907"/>
          <w:jc w:val="center"/>
        </w:trPr>
        <w:tc>
          <w:tcPr>
            <w:tcW w:w="1677" w:type="dxa"/>
            <w:vAlign w:val="center"/>
          </w:tcPr>
          <w:p w:rsidR="00941868" w14:paraId="3E54F647" w14:textId="77777777">
            <w:pPr>
              <w:wordWrap w:val="0"/>
              <w:jc w:val="center"/>
              <w:outlineLvl w:val="0"/>
              <w:rPr>
                <w:sz w:val="24"/>
              </w:rPr>
            </w:pPr>
            <w:r>
              <w:rPr>
                <w:rFonts w:hint="eastAsia"/>
                <w:sz w:val="24"/>
              </w:rPr>
              <w:t>3</w:t>
            </w:r>
          </w:p>
        </w:tc>
        <w:tc>
          <w:tcPr>
            <w:tcW w:w="4280" w:type="dxa"/>
            <w:vAlign w:val="center"/>
          </w:tcPr>
          <w:p w:rsidR="00941868" w14:paraId="5C78C4C7" w14:textId="77777777">
            <w:pPr>
              <w:wordWrap w:val="0"/>
              <w:outlineLvl w:val="0"/>
              <w:rPr>
                <w:sz w:val="24"/>
              </w:rPr>
            </w:pPr>
            <w:r>
              <w:rPr>
                <w:rFonts w:hint="eastAsia"/>
                <w:sz w:val="24"/>
              </w:rPr>
              <w:t>1.</w:t>
            </w:r>
            <w:r>
              <w:rPr>
                <w:rFonts w:hint="eastAsia"/>
                <w:sz w:val="24"/>
              </w:rPr>
              <w:t>设备费</w:t>
            </w:r>
          </w:p>
        </w:tc>
        <w:tc>
          <w:tcPr>
            <w:tcW w:w="3516" w:type="dxa"/>
            <w:vAlign w:val="center"/>
          </w:tcPr>
          <w:p w:rsidR="00941868" w14:paraId="2021EEF8" w14:textId="77777777">
            <w:pPr>
              <w:wordWrap w:val="0"/>
              <w:jc w:val="center"/>
              <w:outlineLvl w:val="0"/>
              <w:rPr>
                <w:rFonts w:ascii="宋体" w:eastAsia="宋体" w:hAnsi="宋体" w:cs="宋体"/>
                <w:sz w:val="24"/>
              </w:rPr>
            </w:pPr>
            <w:r>
              <w:rPr>
                <w:rFonts w:ascii="宋体" w:eastAsia="宋体" w:hAnsi="宋体" w:cs="宋体"/>
                <w:sz w:val="24"/>
              </w:rPr>
              <w:t>0.00</w:t>
            </w:r>
          </w:p>
        </w:tc>
      </w:tr>
      <w:tr w14:paraId="75852BF4" w14:textId="77777777">
        <w:tblPrEx>
          <w:tblW w:w="0" w:type="auto"/>
          <w:jc w:val="center"/>
          <w:tblLayout w:type="fixed"/>
          <w:tblLook w:val="04A0"/>
        </w:tblPrEx>
        <w:trPr>
          <w:trHeight w:hRule="exact" w:val="907"/>
          <w:jc w:val="center"/>
        </w:trPr>
        <w:tc>
          <w:tcPr>
            <w:tcW w:w="1677" w:type="dxa"/>
            <w:vAlign w:val="center"/>
          </w:tcPr>
          <w:p w:rsidR="00941868" w14:paraId="40BA87EC" w14:textId="77777777">
            <w:pPr>
              <w:wordWrap w:val="0"/>
              <w:jc w:val="center"/>
              <w:outlineLvl w:val="0"/>
              <w:rPr>
                <w:sz w:val="24"/>
              </w:rPr>
            </w:pPr>
            <w:r>
              <w:rPr>
                <w:rFonts w:hint="eastAsia"/>
                <w:sz w:val="24"/>
              </w:rPr>
              <w:t>4</w:t>
            </w:r>
          </w:p>
        </w:tc>
        <w:tc>
          <w:tcPr>
            <w:tcW w:w="4280" w:type="dxa"/>
            <w:vAlign w:val="center"/>
          </w:tcPr>
          <w:p w:rsidR="00941868" w14:paraId="4EFD3469" w14:textId="77777777">
            <w:pPr>
              <w:wordWrap w:val="0"/>
              <w:outlineLvl w:val="0"/>
              <w:rPr>
                <w:sz w:val="24"/>
              </w:rPr>
            </w:pPr>
            <w:r>
              <w:rPr>
                <w:rFonts w:hint="eastAsia"/>
                <w:sz w:val="24"/>
              </w:rPr>
              <w:t>其中：购置设备费</w:t>
            </w:r>
          </w:p>
        </w:tc>
        <w:tc>
          <w:tcPr>
            <w:tcW w:w="3516" w:type="dxa"/>
            <w:vAlign w:val="center"/>
          </w:tcPr>
          <w:p w:rsidR="00941868" w14:paraId="62D08B84" w14:textId="77777777">
            <w:pPr>
              <w:wordWrap w:val="0"/>
              <w:jc w:val="center"/>
              <w:outlineLvl w:val="0"/>
              <w:rPr>
                <w:rFonts w:ascii="宋体" w:eastAsia="宋体" w:hAnsi="宋体" w:cs="宋体"/>
                <w:sz w:val="24"/>
              </w:rPr>
            </w:pPr>
            <w:r>
              <w:rPr>
                <w:rFonts w:ascii="宋体" w:eastAsia="宋体" w:hAnsi="宋体" w:cs="宋体"/>
                <w:sz w:val="24"/>
              </w:rPr>
              <w:t>0.00</w:t>
            </w:r>
          </w:p>
        </w:tc>
      </w:tr>
      <w:tr w14:paraId="72F9854D" w14:textId="77777777">
        <w:tblPrEx>
          <w:tblW w:w="0" w:type="auto"/>
          <w:jc w:val="center"/>
          <w:tblLayout w:type="fixed"/>
          <w:tblLook w:val="04A0"/>
        </w:tblPrEx>
        <w:trPr>
          <w:trHeight w:hRule="exact" w:val="907"/>
          <w:jc w:val="center"/>
        </w:trPr>
        <w:tc>
          <w:tcPr>
            <w:tcW w:w="1677" w:type="dxa"/>
            <w:vAlign w:val="center"/>
          </w:tcPr>
          <w:p w:rsidR="00941868" w14:paraId="10F42A27" w14:textId="77777777">
            <w:pPr>
              <w:wordWrap w:val="0"/>
              <w:jc w:val="center"/>
              <w:outlineLvl w:val="0"/>
              <w:rPr>
                <w:sz w:val="24"/>
              </w:rPr>
            </w:pPr>
            <w:r>
              <w:rPr>
                <w:rFonts w:hint="eastAsia"/>
                <w:sz w:val="24"/>
              </w:rPr>
              <w:t>5</w:t>
            </w:r>
          </w:p>
        </w:tc>
        <w:tc>
          <w:tcPr>
            <w:tcW w:w="4280" w:type="dxa"/>
            <w:vAlign w:val="center"/>
          </w:tcPr>
          <w:p w:rsidR="00941868" w14:paraId="0201CD0C" w14:textId="77777777">
            <w:pPr>
              <w:wordWrap w:val="0"/>
              <w:outlineLvl w:val="0"/>
              <w:rPr>
                <w:sz w:val="24"/>
              </w:rPr>
            </w:pPr>
            <w:r>
              <w:rPr>
                <w:rFonts w:hint="eastAsia"/>
                <w:sz w:val="24"/>
              </w:rPr>
              <w:t>2.</w:t>
            </w:r>
            <w:r>
              <w:rPr>
                <w:rFonts w:hint="eastAsia"/>
                <w:sz w:val="24"/>
              </w:rPr>
              <w:t>业务费</w:t>
            </w:r>
          </w:p>
        </w:tc>
        <w:tc>
          <w:tcPr>
            <w:tcW w:w="3516" w:type="dxa"/>
            <w:vAlign w:val="center"/>
          </w:tcPr>
          <w:p w:rsidR="00941868" w14:paraId="1A2405A7" w14:textId="77777777">
            <w:pPr>
              <w:wordWrap w:val="0"/>
              <w:jc w:val="center"/>
              <w:outlineLvl w:val="0"/>
              <w:rPr>
                <w:rFonts w:ascii="宋体" w:eastAsia="宋体" w:hAnsi="宋体" w:cs="宋体"/>
                <w:sz w:val="24"/>
              </w:rPr>
            </w:pPr>
            <w:r>
              <w:rPr>
                <w:rFonts w:ascii="宋体" w:eastAsia="宋体" w:hAnsi="宋体" w:cs="宋体"/>
                <w:sz w:val="24"/>
              </w:rPr>
              <w:t>8.50</w:t>
            </w:r>
          </w:p>
        </w:tc>
      </w:tr>
      <w:tr w14:paraId="31F3C444" w14:textId="77777777">
        <w:tblPrEx>
          <w:tblW w:w="0" w:type="auto"/>
          <w:jc w:val="center"/>
          <w:tblLayout w:type="fixed"/>
          <w:tblLook w:val="04A0"/>
        </w:tblPrEx>
        <w:trPr>
          <w:trHeight w:hRule="exact" w:val="907"/>
          <w:jc w:val="center"/>
        </w:trPr>
        <w:tc>
          <w:tcPr>
            <w:tcW w:w="1677" w:type="dxa"/>
            <w:vAlign w:val="center"/>
          </w:tcPr>
          <w:p w:rsidR="00941868" w14:paraId="697BBD34" w14:textId="77777777">
            <w:pPr>
              <w:wordWrap w:val="0"/>
              <w:jc w:val="center"/>
              <w:outlineLvl w:val="0"/>
              <w:rPr>
                <w:sz w:val="24"/>
              </w:rPr>
            </w:pPr>
            <w:r>
              <w:rPr>
                <w:rFonts w:hint="eastAsia"/>
                <w:sz w:val="24"/>
              </w:rPr>
              <w:t>6</w:t>
            </w:r>
          </w:p>
        </w:tc>
        <w:tc>
          <w:tcPr>
            <w:tcW w:w="4280" w:type="dxa"/>
            <w:vAlign w:val="center"/>
          </w:tcPr>
          <w:p w:rsidR="00941868" w14:paraId="4B1652D3" w14:textId="77777777">
            <w:pPr>
              <w:wordWrap w:val="0"/>
              <w:outlineLvl w:val="0"/>
              <w:rPr>
                <w:sz w:val="24"/>
              </w:rPr>
            </w:pPr>
            <w:r>
              <w:rPr>
                <w:rFonts w:hint="eastAsia"/>
                <w:sz w:val="24"/>
              </w:rPr>
              <w:t>3.</w:t>
            </w:r>
            <w:r>
              <w:rPr>
                <w:rFonts w:hint="eastAsia"/>
                <w:sz w:val="24"/>
              </w:rPr>
              <w:t>劳务费</w:t>
            </w:r>
          </w:p>
        </w:tc>
        <w:tc>
          <w:tcPr>
            <w:tcW w:w="3516" w:type="dxa"/>
            <w:vAlign w:val="center"/>
          </w:tcPr>
          <w:p w:rsidR="00941868" w14:paraId="327447D0" w14:textId="77777777">
            <w:pPr>
              <w:wordWrap w:val="0"/>
              <w:jc w:val="center"/>
              <w:outlineLvl w:val="0"/>
              <w:rPr>
                <w:rFonts w:ascii="宋体" w:eastAsia="宋体" w:hAnsi="宋体" w:cs="宋体"/>
                <w:sz w:val="24"/>
              </w:rPr>
            </w:pPr>
            <w:r>
              <w:rPr>
                <w:rFonts w:ascii="宋体" w:eastAsia="宋体" w:hAnsi="宋体" w:cs="宋体"/>
                <w:sz w:val="24"/>
              </w:rPr>
              <w:t>0.50</w:t>
            </w:r>
          </w:p>
        </w:tc>
      </w:tr>
      <w:tr w14:paraId="37D579E2" w14:textId="77777777">
        <w:tblPrEx>
          <w:tblW w:w="0" w:type="auto"/>
          <w:jc w:val="center"/>
          <w:tblLayout w:type="fixed"/>
          <w:tblLook w:val="04A0"/>
        </w:tblPrEx>
        <w:trPr>
          <w:trHeight w:hRule="exact" w:val="907"/>
          <w:jc w:val="center"/>
        </w:trPr>
        <w:tc>
          <w:tcPr>
            <w:tcW w:w="1677" w:type="dxa"/>
            <w:vAlign w:val="center"/>
          </w:tcPr>
          <w:p w:rsidR="00941868" w14:paraId="6FBD260A" w14:textId="77777777">
            <w:pPr>
              <w:wordWrap w:val="0"/>
              <w:jc w:val="center"/>
              <w:outlineLvl w:val="0"/>
              <w:rPr>
                <w:sz w:val="24"/>
              </w:rPr>
            </w:pPr>
            <w:r>
              <w:rPr>
                <w:rFonts w:hint="eastAsia"/>
                <w:sz w:val="24"/>
              </w:rPr>
              <w:t>7</w:t>
            </w:r>
          </w:p>
        </w:tc>
        <w:tc>
          <w:tcPr>
            <w:tcW w:w="4280" w:type="dxa"/>
            <w:vAlign w:val="center"/>
          </w:tcPr>
          <w:p w:rsidR="00941868" w14:paraId="46693675" w14:textId="77777777">
            <w:pPr>
              <w:wordWrap w:val="0"/>
              <w:outlineLvl w:val="0"/>
              <w:rPr>
                <w:sz w:val="24"/>
              </w:rPr>
            </w:pPr>
            <w:r>
              <w:rPr>
                <w:rFonts w:hint="eastAsia"/>
                <w:sz w:val="24"/>
              </w:rPr>
              <w:t>（二）间接费用</w:t>
            </w:r>
          </w:p>
        </w:tc>
        <w:tc>
          <w:tcPr>
            <w:tcW w:w="3516" w:type="dxa"/>
            <w:vAlign w:val="center"/>
          </w:tcPr>
          <w:p w:rsidR="00941868" w14:paraId="4D5B04D7" w14:textId="77777777">
            <w:pPr>
              <w:wordWrap w:val="0"/>
              <w:jc w:val="center"/>
              <w:outlineLvl w:val="0"/>
              <w:rPr>
                <w:rFonts w:ascii="宋体" w:eastAsia="宋体" w:hAnsi="宋体" w:cs="宋体"/>
                <w:sz w:val="24"/>
              </w:rPr>
            </w:pPr>
            <w:r>
              <w:rPr>
                <w:rFonts w:ascii="宋体" w:eastAsia="宋体" w:hAnsi="宋体" w:cs="宋体"/>
                <w:sz w:val="24"/>
              </w:rPr>
              <w:t>1.00</w:t>
            </w:r>
          </w:p>
        </w:tc>
      </w:tr>
      <w:tr w14:paraId="5AA394DC" w14:textId="77777777">
        <w:tblPrEx>
          <w:tblW w:w="0" w:type="auto"/>
          <w:jc w:val="center"/>
          <w:tblLayout w:type="fixed"/>
          <w:tblLook w:val="04A0"/>
        </w:tblPrEx>
        <w:trPr>
          <w:trHeight w:hRule="exact" w:val="907"/>
          <w:jc w:val="center"/>
        </w:trPr>
        <w:tc>
          <w:tcPr>
            <w:tcW w:w="1677" w:type="dxa"/>
            <w:vAlign w:val="center"/>
          </w:tcPr>
          <w:p w:rsidR="00941868" w14:paraId="13B19B69" w14:textId="77777777">
            <w:pPr>
              <w:wordWrap w:val="0"/>
              <w:jc w:val="center"/>
              <w:outlineLvl w:val="0"/>
              <w:rPr>
                <w:sz w:val="24"/>
              </w:rPr>
            </w:pPr>
            <w:r>
              <w:rPr>
                <w:rFonts w:hint="eastAsia"/>
                <w:sz w:val="24"/>
              </w:rPr>
              <w:t>8</w:t>
            </w:r>
          </w:p>
        </w:tc>
        <w:tc>
          <w:tcPr>
            <w:tcW w:w="4280" w:type="dxa"/>
            <w:vAlign w:val="center"/>
          </w:tcPr>
          <w:p w:rsidR="00941868" w14:paraId="1FA3C97D" w14:textId="77777777">
            <w:pPr>
              <w:wordWrap w:val="0"/>
              <w:outlineLvl w:val="0"/>
              <w:rPr>
                <w:sz w:val="24"/>
              </w:rPr>
            </w:pPr>
            <w:r>
              <w:rPr>
                <w:rFonts w:hint="eastAsia"/>
                <w:color w:val="000000"/>
                <w:sz w:val="24"/>
              </w:rPr>
              <w:t>其中：绩效支出</w:t>
            </w:r>
          </w:p>
        </w:tc>
        <w:tc>
          <w:tcPr>
            <w:tcW w:w="3516" w:type="dxa"/>
            <w:vAlign w:val="center"/>
          </w:tcPr>
          <w:p w:rsidR="00941868" w14:paraId="697578AE" w14:textId="77777777">
            <w:pPr>
              <w:wordWrap w:val="0"/>
              <w:jc w:val="center"/>
              <w:outlineLvl w:val="0"/>
              <w:rPr>
                <w:rFonts w:ascii="宋体" w:eastAsia="宋体" w:hAnsi="宋体" w:cs="宋体"/>
                <w:sz w:val="24"/>
              </w:rPr>
            </w:pPr>
            <w:r>
              <w:rPr>
                <w:rFonts w:ascii="宋体" w:eastAsia="宋体" w:hAnsi="宋体" w:cs="宋体"/>
                <w:sz w:val="24"/>
              </w:rPr>
              <w:t>0.50</w:t>
            </w:r>
          </w:p>
        </w:tc>
      </w:tr>
      <w:tr w14:paraId="410DAC2B" w14:textId="77777777">
        <w:tblPrEx>
          <w:tblW w:w="0" w:type="auto"/>
          <w:jc w:val="center"/>
          <w:tblLayout w:type="fixed"/>
          <w:tblLook w:val="04A0"/>
        </w:tblPrEx>
        <w:trPr>
          <w:trHeight w:hRule="exact" w:val="907"/>
          <w:jc w:val="center"/>
        </w:trPr>
        <w:tc>
          <w:tcPr>
            <w:tcW w:w="1677" w:type="dxa"/>
            <w:vAlign w:val="center"/>
          </w:tcPr>
          <w:p w:rsidR="00941868" w14:paraId="50929A1B" w14:textId="77777777">
            <w:pPr>
              <w:wordWrap w:val="0"/>
              <w:jc w:val="center"/>
              <w:outlineLvl w:val="0"/>
              <w:rPr>
                <w:sz w:val="24"/>
              </w:rPr>
            </w:pPr>
            <w:r>
              <w:rPr>
                <w:rFonts w:hint="eastAsia"/>
                <w:sz w:val="24"/>
              </w:rPr>
              <w:t>9</w:t>
            </w:r>
          </w:p>
        </w:tc>
        <w:tc>
          <w:tcPr>
            <w:tcW w:w="4280" w:type="dxa"/>
            <w:vAlign w:val="center"/>
          </w:tcPr>
          <w:p w:rsidR="00941868" w14:paraId="232EE403" w14:textId="77777777">
            <w:pPr>
              <w:wordWrap w:val="0"/>
              <w:outlineLvl w:val="0"/>
              <w:rPr>
                <w:color w:val="000000"/>
                <w:sz w:val="24"/>
              </w:rPr>
            </w:pPr>
            <w:r>
              <w:rPr>
                <w:rFonts w:hint="eastAsia"/>
                <w:b/>
                <w:bCs/>
                <w:sz w:val="24"/>
              </w:rPr>
              <w:t>二、自筹资金</w:t>
            </w:r>
          </w:p>
        </w:tc>
        <w:tc>
          <w:tcPr>
            <w:tcW w:w="3516" w:type="dxa"/>
            <w:vAlign w:val="center"/>
          </w:tcPr>
          <w:p w:rsidR="00941868" w14:paraId="58EE17A3" w14:textId="77777777">
            <w:pPr>
              <w:wordWrap w:val="0"/>
              <w:jc w:val="center"/>
              <w:outlineLvl w:val="0"/>
              <w:rPr>
                <w:rFonts w:ascii="宋体" w:eastAsia="宋体" w:hAnsi="宋体" w:cs="宋体"/>
                <w:sz w:val="24"/>
              </w:rPr>
            </w:pPr>
            <w:r>
              <w:rPr>
                <w:rFonts w:ascii="宋体" w:eastAsia="宋体" w:hAnsi="宋体" w:cs="宋体"/>
                <w:sz w:val="24"/>
              </w:rPr>
              <w:t>0.00</w:t>
            </w:r>
          </w:p>
        </w:tc>
      </w:tr>
      <w:tr w14:paraId="503AD0F1" w14:textId="77777777">
        <w:tblPrEx>
          <w:tblW w:w="0" w:type="auto"/>
          <w:jc w:val="center"/>
          <w:tblLayout w:type="fixed"/>
          <w:tblLook w:val="04A0"/>
        </w:tblPrEx>
        <w:trPr>
          <w:trHeight w:hRule="exact" w:val="907"/>
          <w:jc w:val="center"/>
        </w:trPr>
        <w:tc>
          <w:tcPr>
            <w:tcW w:w="1677" w:type="dxa"/>
            <w:vAlign w:val="center"/>
          </w:tcPr>
          <w:p w:rsidR="00941868" w14:paraId="4492D34D" w14:textId="77777777">
            <w:pPr>
              <w:wordWrap w:val="0"/>
              <w:jc w:val="center"/>
              <w:outlineLvl w:val="0"/>
              <w:rPr>
                <w:sz w:val="24"/>
              </w:rPr>
            </w:pPr>
            <w:r>
              <w:rPr>
                <w:rFonts w:hint="eastAsia"/>
                <w:sz w:val="24"/>
              </w:rPr>
              <w:t>1</w:t>
            </w:r>
            <w:r>
              <w:rPr>
                <w:sz w:val="24"/>
              </w:rPr>
              <w:t>0</w:t>
            </w:r>
          </w:p>
        </w:tc>
        <w:tc>
          <w:tcPr>
            <w:tcW w:w="4280" w:type="dxa"/>
            <w:vAlign w:val="center"/>
          </w:tcPr>
          <w:p w:rsidR="00941868" w14:paraId="4FC0F71B" w14:textId="77777777">
            <w:pPr>
              <w:wordWrap w:val="0"/>
              <w:outlineLvl w:val="0"/>
              <w:rPr>
                <w:b/>
                <w:bCs/>
                <w:sz w:val="24"/>
              </w:rPr>
            </w:pPr>
            <w:r>
              <w:rPr>
                <w:rFonts w:hint="eastAsia"/>
                <w:b/>
                <w:bCs/>
                <w:sz w:val="24"/>
              </w:rPr>
              <w:t>三、配套资金</w:t>
            </w:r>
          </w:p>
        </w:tc>
        <w:tc>
          <w:tcPr>
            <w:tcW w:w="3516" w:type="dxa"/>
            <w:vAlign w:val="center"/>
          </w:tcPr>
          <w:p w:rsidR="00941868" w14:paraId="38D4A13F" w14:textId="77777777">
            <w:pPr>
              <w:wordWrap w:val="0"/>
              <w:jc w:val="center"/>
              <w:outlineLvl w:val="0"/>
              <w:rPr>
                <w:rFonts w:ascii="宋体" w:eastAsia="宋体" w:hAnsi="宋体" w:cs="宋体"/>
                <w:sz w:val="24"/>
              </w:rPr>
            </w:pPr>
            <w:r>
              <w:rPr>
                <w:rFonts w:ascii="宋体" w:eastAsia="宋体" w:hAnsi="宋体" w:cs="宋体"/>
                <w:sz w:val="24"/>
              </w:rPr>
              <w:t>0.00</w:t>
            </w:r>
          </w:p>
        </w:tc>
      </w:tr>
      <w:tr w14:paraId="3A34ADF0" w14:textId="77777777">
        <w:tblPrEx>
          <w:tblW w:w="0" w:type="auto"/>
          <w:jc w:val="center"/>
          <w:tblLayout w:type="fixed"/>
          <w:tblLook w:val="04A0"/>
        </w:tblPrEx>
        <w:trPr>
          <w:trHeight w:hRule="exact" w:val="907"/>
          <w:jc w:val="center"/>
        </w:trPr>
        <w:tc>
          <w:tcPr>
            <w:tcW w:w="1677" w:type="dxa"/>
            <w:vAlign w:val="center"/>
          </w:tcPr>
          <w:p w:rsidR="00941868" w14:paraId="7B6E8C55" w14:textId="77777777">
            <w:pPr>
              <w:wordWrap w:val="0"/>
              <w:jc w:val="center"/>
              <w:outlineLvl w:val="0"/>
              <w:rPr>
                <w:sz w:val="24"/>
              </w:rPr>
            </w:pPr>
            <w:r>
              <w:rPr>
                <w:rFonts w:hint="eastAsia"/>
                <w:sz w:val="24"/>
              </w:rPr>
              <w:t>1</w:t>
            </w:r>
            <w:r>
              <w:rPr>
                <w:sz w:val="24"/>
              </w:rPr>
              <w:t>1</w:t>
            </w:r>
          </w:p>
        </w:tc>
        <w:tc>
          <w:tcPr>
            <w:tcW w:w="4280" w:type="dxa"/>
            <w:vAlign w:val="center"/>
          </w:tcPr>
          <w:p w:rsidR="00941868" w14:paraId="5B0A9077" w14:textId="77777777">
            <w:pPr>
              <w:wordWrap w:val="0"/>
              <w:jc w:val="center"/>
              <w:outlineLvl w:val="0"/>
              <w:rPr>
                <w:b/>
                <w:bCs/>
                <w:sz w:val="24"/>
              </w:rPr>
            </w:pPr>
            <w:r>
              <w:rPr>
                <w:rFonts w:hint="eastAsia"/>
                <w:b/>
                <w:bCs/>
                <w:sz w:val="24"/>
              </w:rPr>
              <w:t>合</w:t>
            </w:r>
            <w:r>
              <w:rPr>
                <w:rFonts w:hint="eastAsia"/>
                <w:b/>
                <w:bCs/>
                <w:sz w:val="24"/>
              </w:rPr>
              <w:t xml:space="preserve"> </w:t>
            </w:r>
            <w:r>
              <w:rPr>
                <w:rFonts w:hint="eastAsia"/>
                <w:b/>
                <w:bCs/>
                <w:sz w:val="24"/>
              </w:rPr>
              <w:t>计</w:t>
            </w:r>
          </w:p>
        </w:tc>
        <w:tc>
          <w:tcPr>
            <w:tcW w:w="3516" w:type="dxa"/>
            <w:vAlign w:val="center"/>
          </w:tcPr>
          <w:p w:rsidR="00941868" w14:paraId="3F54FB2C" w14:textId="77777777">
            <w:pPr>
              <w:wordWrap w:val="0"/>
              <w:jc w:val="center"/>
              <w:outlineLvl w:val="0"/>
              <w:rPr>
                <w:rFonts w:ascii="宋体" w:eastAsia="宋体" w:hAnsi="宋体" w:cs="宋体"/>
                <w:sz w:val="24"/>
              </w:rPr>
            </w:pPr>
            <w:r>
              <w:rPr>
                <w:rFonts w:ascii="宋体" w:eastAsia="宋体" w:hAnsi="宋体" w:cs="宋体"/>
                <w:sz w:val="24"/>
              </w:rPr>
              <w:t>10.00</w:t>
            </w:r>
          </w:p>
        </w:tc>
      </w:tr>
    </w:tbl>
    <w:p w:rsidR="00941868" w14:paraId="120199B2" w14:textId="77777777">
      <w:pPr>
        <w:wordWrap w:val="0"/>
        <w:spacing w:line="360" w:lineRule="auto"/>
        <w:ind w:right="567"/>
        <w:outlineLvl w:val="0"/>
        <w:rPr>
          <w:sz w:val="24"/>
        </w:rPr>
      </w:pPr>
    </w:p>
    <w:p w:rsidR="00941868" w14:paraId="6271FC68" w14:textId="77777777">
      <w:pPr>
        <w:wordWrap w:val="0"/>
        <w:rPr>
          <w:sz w:val="21"/>
        </w:rPr>
      </w:pPr>
      <w:r>
        <w:rPr>
          <w:rFonts w:hint="eastAsia"/>
          <w:sz w:val="21"/>
        </w:rPr>
        <w:t>注：</w:t>
      </w:r>
      <w:r>
        <w:rPr>
          <w:rFonts w:hint="eastAsia"/>
          <w:sz w:val="21"/>
        </w:rPr>
        <w:t>1.</w:t>
      </w:r>
      <w:r>
        <w:rPr>
          <w:rFonts w:hint="eastAsia"/>
          <w:sz w:val="21"/>
        </w:rPr>
        <w:t>间接费用无需编制预算说明；</w:t>
      </w:r>
      <w:r>
        <w:rPr>
          <w:rFonts w:hint="eastAsia"/>
          <w:sz w:val="21"/>
        </w:rPr>
        <w:t>2.</w:t>
      </w:r>
      <w:r>
        <w:rPr>
          <w:rFonts w:hint="eastAsia"/>
          <w:sz w:val="21"/>
        </w:rPr>
        <w:t>绩效支出在间接费用中</w:t>
      </w:r>
      <w:r>
        <w:rPr>
          <w:rFonts w:hint="eastAsia"/>
          <w:sz w:val="21"/>
        </w:rPr>
        <w:t>无比例</w:t>
      </w:r>
      <w:r>
        <w:rPr>
          <w:rFonts w:hint="eastAsia"/>
          <w:sz w:val="21"/>
        </w:rPr>
        <w:t>限制。</w:t>
      </w:r>
    </w:p>
    <w:p w:rsidR="00941868" w14:paraId="49ED0B34" w14:textId="77777777">
      <w:pPr>
        <w:tabs>
          <w:tab w:val="left" w:pos="1665"/>
        </w:tabs>
        <w:wordWrap w:val="0"/>
        <w:jc w:val="center"/>
        <w:rPr>
          <w:sz w:val="10"/>
          <w:szCs w:val="10"/>
        </w:rPr>
      </w:pPr>
    </w:p>
    <w:p w:rsidR="00941868" w14:paraId="25D3B989" w14:textId="77777777">
      <w:pPr>
        <w:tabs>
          <w:tab w:val="left" w:pos="1665"/>
        </w:tabs>
        <w:wordWrap w:val="0"/>
        <w:jc w:val="center"/>
        <w:rPr>
          <w:rFonts w:cs="Tahoma"/>
          <w:sz w:val="21"/>
          <w:szCs w:val="21"/>
        </w:rPr>
      </w:pPr>
      <w:r>
        <w:rPr>
          <w:sz w:val="10"/>
          <w:szCs w:val="10"/>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498"/>
      </w:tblGrid>
      <w:tr w14:paraId="727087E1"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7"/>
          <w:jc w:val="center"/>
        </w:trPr>
        <w:tc>
          <w:tcPr>
            <w:tcW w:w="9498" w:type="dxa"/>
            <w:tcBorders>
              <w:top w:val="single" w:sz="4" w:space="0" w:color="auto"/>
              <w:left w:val="single" w:sz="4" w:space="0" w:color="auto"/>
              <w:bottom w:val="single" w:sz="4" w:space="0" w:color="auto"/>
              <w:right w:val="single" w:sz="4" w:space="0" w:color="auto"/>
            </w:tcBorders>
          </w:tcPr>
          <w:p w:rsidR="00941868" w14:paraId="468188F9" w14:textId="77777777">
            <w:pPr>
              <w:wordWrap w:val="0"/>
              <w:spacing w:line="440" w:lineRule="exact"/>
              <w:jc w:val="left"/>
              <w:rPr>
                <w:szCs w:val="28"/>
              </w:rPr>
            </w:pPr>
            <w:r>
              <w:rPr>
                <w:rFonts w:hint="eastAsia"/>
                <w:b/>
                <w:szCs w:val="36"/>
              </w:rPr>
              <w:t>项目预算基本测算说明（不包含单价</w:t>
            </w:r>
            <w:r>
              <w:rPr>
                <w:b/>
                <w:szCs w:val="36"/>
              </w:rPr>
              <w:t>50</w:t>
            </w:r>
            <w:r>
              <w:rPr>
                <w:rFonts w:hint="eastAsia"/>
                <w:b/>
                <w:szCs w:val="36"/>
              </w:rPr>
              <w:t>万以上的设备详细说明）</w:t>
            </w:r>
          </w:p>
        </w:tc>
      </w:tr>
      <w:tr w14:paraId="0EB207D2" w14:textId="77777777">
        <w:tblPrEx>
          <w:tblW w:w="0" w:type="auto"/>
          <w:jc w:val="center"/>
          <w:tblLayout w:type="fixed"/>
          <w:tblLook w:val="04A0"/>
        </w:tblPrEx>
        <w:trPr>
          <w:jc w:val="center"/>
        </w:trPr>
        <w:tc>
          <w:tcPr>
            <w:tcW w:w="9498" w:type="dxa"/>
            <w:tcBorders>
              <w:top w:val="single" w:sz="4" w:space="0" w:color="auto"/>
              <w:left w:val="single" w:sz="4" w:space="0" w:color="auto"/>
              <w:bottom w:val="single" w:sz="4" w:space="0" w:color="auto"/>
              <w:right w:val="single" w:sz="4" w:space="0" w:color="auto"/>
            </w:tcBorders>
          </w:tcPr>
          <w:p w14:paraId="6219B141" w14:textId="77777777">
            <w:pPr>
              <w:widowControl/>
              <w:spacing w:before="0" w:after="0" w:line="360" w:lineRule="atLeast"/>
              <w:rPr>
                <w:rFonts w:ascii="宋体" w:hAnsi="宋体" w:cs="宋体"/>
                <w:kern w:val="0"/>
                <w:sz w:val="24"/>
              </w:rPr>
            </w:pPr>
            <w:bookmarkStart w:id="78" w:name="qtzc"/>
            <w:r>
              <w:rPr>
                <w:rFonts w:ascii="宋体" w:hAnsi="宋体" w:cs="宋体"/>
                <w:b/>
                <w:bCs/>
                <w:kern w:val="0"/>
                <w:sz w:val="24"/>
              </w:rPr>
              <w:t>一 直接经费使用主要包括实验材料费、测试化验加工费、会议差旅费、出版物/文献、信息传播费和劳务费的支出，共计9万元，具体说明如下：</w:t>
            </w:r>
          </w:p>
          <w:p>
            <w:pPr>
              <w:widowControl/>
              <w:spacing w:before="0" w:after="0" w:line="360" w:lineRule="atLeast"/>
              <w:rPr>
                <w:rFonts w:ascii="宋体" w:hAnsi="宋体" w:cs="宋体"/>
                <w:kern w:val="0"/>
                <w:sz w:val="24"/>
              </w:rPr>
            </w:pPr>
            <w:r>
              <w:rPr>
                <w:rFonts w:ascii="宋体" w:hAnsi="宋体" w:cs="宋体"/>
                <w:b/>
                <w:bCs/>
                <w:kern w:val="0"/>
                <w:sz w:val="24"/>
              </w:rPr>
              <w:t xml:space="preserve">1. 实验材料费 6.8万元 </w:t>
            </w:r>
            <w:r>
              <w:rPr>
                <w:rFonts w:ascii="宋体" w:hAnsi="宋体" w:cs="宋体"/>
                <w:kern w:val="0"/>
                <w:sz w:val="24"/>
              </w:rPr>
              <w:t>主要用于购买科研课题所需的实验动物、抗体、小鼠 DC、</w:t>
            </w:r>
            <w:r>
              <w:rPr>
                <w:rFonts w:ascii="宋体" w:hAnsi="宋体" w:cs="宋体"/>
                <w:kern w:val="0"/>
                <w:sz w:val="24"/>
              </w:rPr>
              <w:t>CD4</w:t>
            </w:r>
            <w:r>
              <w:rPr>
                <w:rFonts w:ascii="宋体" w:hAnsi="宋体" w:cs="宋体"/>
                <w:kern w:val="0"/>
                <w:sz w:val="9"/>
                <w:szCs w:val="9"/>
                <w:vertAlign w:val="superscript"/>
              </w:rPr>
              <w:t>+</w:t>
            </w:r>
            <w:r>
              <w:rPr>
                <w:rFonts w:ascii="宋体" w:hAnsi="宋体" w:cs="宋体"/>
                <w:kern w:val="0"/>
                <w:sz w:val="24"/>
              </w:rPr>
              <w:t>T</w:t>
            </w:r>
            <w:r>
              <w:rPr>
                <w:rFonts w:ascii="宋体" w:hAnsi="宋体" w:cs="宋体"/>
                <w:kern w:val="0"/>
                <w:sz w:val="24"/>
              </w:rPr>
              <w:t xml:space="preserve"> 淋巴细胞磁珠分选试剂、ELISA</w:t>
            </w:r>
            <w:r>
              <w:rPr>
                <w:rFonts w:ascii="宋体" w:hAnsi="宋体" w:cs="宋体"/>
                <w:kern w:val="0"/>
                <w:sz w:val="24"/>
              </w:rPr>
              <w:t>试剂盒</w:t>
            </w:r>
            <w:r>
              <w:rPr>
                <w:rFonts w:ascii="宋体" w:hAnsi="宋体" w:cs="宋体"/>
                <w:kern w:val="0"/>
                <w:sz w:val="24"/>
              </w:rPr>
              <w:t>及</w:t>
            </w:r>
            <w:r>
              <w:rPr>
                <w:rFonts w:ascii="宋体" w:hAnsi="宋体" w:cs="宋体"/>
                <w:kern w:val="0"/>
                <w:sz w:val="24"/>
              </w:rPr>
              <w:t>ELISPOT酶标板</w:t>
            </w:r>
            <w:r>
              <w:rPr>
                <w:rFonts w:ascii="宋体" w:hAnsi="宋体" w:cs="宋体"/>
                <w:kern w:val="0"/>
                <w:sz w:val="24"/>
              </w:rPr>
              <w:t>、分子生物学实验试剂及实验耗材、细胞培养试剂及耗材、</w:t>
            </w:r>
            <w:r>
              <w:rPr>
                <w:rFonts w:ascii="宋体" w:hAnsi="宋体" w:cs="宋体"/>
                <w:kern w:val="0"/>
                <w:sz w:val="24"/>
              </w:rPr>
              <w:t>Western Blotting实验试剂及耗材</w:t>
            </w:r>
            <w:r>
              <w:rPr>
                <w:rFonts w:ascii="宋体" w:hAnsi="宋体" w:cs="宋体"/>
                <w:kern w:val="0"/>
                <w:sz w:val="24"/>
              </w:rPr>
              <w:t>等。</w:t>
            </w:r>
          </w:p>
          <w:p>
            <w:pPr>
              <w:widowControl/>
              <w:spacing w:before="0" w:after="0" w:line="360" w:lineRule="atLeast"/>
              <w:rPr>
                <w:rFonts w:ascii="宋体" w:hAnsi="宋体" w:cs="宋体"/>
                <w:kern w:val="0"/>
                <w:sz w:val="24"/>
              </w:rPr>
            </w:pPr>
            <w:r>
              <w:rPr>
                <w:rFonts w:ascii="CambriaMath" w:eastAsia="CambriaMath" w:hAnsi="CambriaMath" w:cs="CambriaMath"/>
                <w:kern w:val="0"/>
                <w:sz w:val="24"/>
              </w:rPr>
              <w:t>（1）</w:t>
            </w:r>
            <w:r>
              <w:rPr>
                <w:rFonts w:ascii="宋体" w:hAnsi="宋体" w:cs="宋体"/>
                <w:kern w:val="0"/>
                <w:sz w:val="24"/>
              </w:rPr>
              <w:t>购买实验动物及动物饲料费约需 1.3万元。其中用于购买C57正常小鼠及其饲料费等共计0.5 万元；用于TIPE2基因敲除小鼠、TIPE2基因敲入小鼠、树突状细胞特异性Trim13条件性基因敲除小鼠繁育费用及运输费用等共计0.8万元。</w:t>
            </w:r>
          </w:p>
          <w:p>
            <w:pPr>
              <w:widowControl/>
              <w:spacing w:before="0" w:after="0" w:line="360" w:lineRule="atLeast"/>
              <w:rPr>
                <w:rFonts w:ascii="宋体" w:hAnsi="宋体" w:cs="宋体"/>
                <w:kern w:val="0"/>
                <w:sz w:val="24"/>
              </w:rPr>
            </w:pPr>
            <w:r>
              <w:rPr>
                <w:rFonts w:ascii="CambriaMath" w:eastAsia="CambriaMath" w:hAnsi="CambriaMath" w:cs="CambriaMath"/>
                <w:kern w:val="0"/>
                <w:sz w:val="24"/>
              </w:rPr>
              <w:t>（2）</w:t>
            </w:r>
            <w:r>
              <w:rPr>
                <w:rFonts w:ascii="宋体" w:hAnsi="宋体" w:cs="宋体"/>
                <w:kern w:val="0"/>
                <w:sz w:val="24"/>
              </w:rPr>
              <w:t>购买用于分离提取小鼠脾脏DC、CD4</w:t>
            </w:r>
            <w:r>
              <w:rPr>
                <w:rFonts w:ascii="宋体" w:hAnsi="宋体" w:cs="宋体"/>
                <w:kern w:val="0"/>
                <w:sz w:val="30"/>
                <w:szCs w:val="30"/>
                <w:vertAlign w:val="superscript"/>
              </w:rPr>
              <w:t>+</w:t>
            </w:r>
            <w:r>
              <w:rPr>
                <w:rFonts w:ascii="宋体" w:hAnsi="宋体" w:cs="宋体"/>
                <w:kern w:val="0"/>
                <w:sz w:val="24"/>
              </w:rPr>
              <w:t>T 细胞的免疫磁珠试剂盒及磁珠分选柱约需1.5万元。免疫磁珠试剂盒单价及需要量为：小鼠DC免疫磁珠0.65 万元/支×1支；小鼠CD4</w:t>
            </w:r>
            <w:r>
              <w:rPr>
                <w:rFonts w:ascii="宋体" w:hAnsi="宋体" w:cs="宋体"/>
                <w:kern w:val="0"/>
                <w:sz w:val="23"/>
                <w:szCs w:val="23"/>
                <w:vertAlign w:val="superscript"/>
              </w:rPr>
              <w:t>+</w:t>
            </w:r>
            <w:r>
              <w:rPr>
                <w:rFonts w:ascii="宋体" w:hAnsi="宋体" w:cs="宋体"/>
                <w:kern w:val="0"/>
                <w:sz w:val="24"/>
              </w:rPr>
              <w:t>T 细胞免疫磁珠0.65 万元/ 支×1 支；磁珠分选柱约0.2万元。 </w:t>
            </w:r>
          </w:p>
          <w:p>
            <w:pPr>
              <w:widowControl/>
              <w:spacing w:before="0" w:after="0" w:line="360" w:lineRule="atLeast"/>
              <w:rPr>
                <w:rFonts w:ascii="宋体" w:hAnsi="宋体" w:cs="宋体"/>
                <w:kern w:val="0"/>
                <w:sz w:val="24"/>
              </w:rPr>
            </w:pPr>
            <w:r>
              <w:rPr>
                <w:rFonts w:ascii="CambriaMath" w:eastAsia="CambriaMath" w:hAnsi="CambriaMath" w:cs="CambriaMath"/>
                <w:kern w:val="0"/>
                <w:sz w:val="24"/>
              </w:rPr>
              <w:t>（3）</w:t>
            </w:r>
            <w:r>
              <w:rPr>
                <w:rFonts w:ascii="宋体" w:hAnsi="宋体" w:cs="宋体"/>
                <w:kern w:val="0"/>
                <w:sz w:val="24"/>
              </w:rPr>
              <w:t>购买抗体试剂约需2万元：其中检测DC表面功能分子的流式抗体及相关试剂约需1万元，包括 FITC 或 PE/APC 标记的抗 CD80、CD86、MHC-Ⅱ、CD11c 等。购买TIPE2、内质网自噬活性（LC3II/I、SEC61B、内质网标志性抗体等）的抗体约1万元。</w:t>
            </w:r>
          </w:p>
          <w:p>
            <w:pPr>
              <w:widowControl/>
              <w:spacing w:before="0" w:after="0" w:line="360" w:lineRule="atLeast"/>
              <w:rPr>
                <w:rFonts w:ascii="宋体" w:hAnsi="宋体" w:cs="宋体"/>
                <w:kern w:val="0"/>
                <w:sz w:val="24"/>
              </w:rPr>
            </w:pPr>
            <w:r>
              <w:rPr>
                <w:rFonts w:ascii="宋体" w:hAnsi="宋体" w:cs="宋体"/>
                <w:kern w:val="0"/>
                <w:sz w:val="24"/>
              </w:rPr>
              <w:t>（4）用于购买Western Blotting和RT-PCR</w:t>
            </w:r>
            <w:r>
              <w:rPr>
                <w:rFonts w:ascii="宋体" w:hAnsi="宋体" w:cs="宋体"/>
                <w:kern w:val="0"/>
                <w:sz w:val="24"/>
              </w:rPr>
              <w:t>试剂及耗材</w:t>
            </w:r>
            <w:r>
              <w:rPr>
                <w:rFonts w:ascii="宋体" w:hAnsi="宋体" w:cs="宋体"/>
                <w:kern w:val="0"/>
                <w:sz w:val="24"/>
              </w:rPr>
              <w:t>、</w:t>
            </w:r>
            <w:r>
              <w:rPr>
                <w:rFonts w:ascii="宋体" w:hAnsi="宋体" w:cs="宋体"/>
                <w:kern w:val="0"/>
                <w:sz w:val="24"/>
              </w:rPr>
              <w:t>ELISA及ELISPOT检测试剂盒等</w:t>
            </w:r>
            <w:r>
              <w:rPr>
                <w:rFonts w:ascii="宋体" w:hAnsi="宋体" w:cs="宋体"/>
                <w:kern w:val="0"/>
                <w:sz w:val="24"/>
              </w:rPr>
              <w:t>约需1.0万元。</w:t>
            </w:r>
          </w:p>
          <w:p>
            <w:pPr>
              <w:widowControl/>
              <w:spacing w:before="0" w:after="0" w:line="360" w:lineRule="atLeast"/>
              <w:rPr>
                <w:rFonts w:ascii="宋体" w:hAnsi="宋体" w:cs="宋体"/>
                <w:kern w:val="0"/>
                <w:sz w:val="24"/>
              </w:rPr>
            </w:pPr>
            <w:r>
              <w:rPr>
                <w:rFonts w:ascii="宋体" w:hAnsi="宋体" w:cs="宋体"/>
                <w:kern w:val="0"/>
                <w:sz w:val="24"/>
              </w:rPr>
              <w:t>（5）用于慢病毒转染实验的相关试剂，约需1万元。 </w:t>
            </w:r>
          </w:p>
          <w:p>
            <w:pPr>
              <w:widowControl/>
              <w:spacing w:before="0" w:after="0" w:line="360" w:lineRule="atLeast"/>
              <w:jc w:val="left"/>
              <w:rPr>
                <w:rFonts w:ascii="宋体" w:hAnsi="宋体" w:cs="宋体"/>
                <w:kern w:val="0"/>
                <w:sz w:val="24"/>
              </w:rPr>
            </w:pPr>
            <w:r>
              <w:rPr>
                <w:rFonts w:ascii="宋体" w:hAnsi="宋体" w:cs="宋体"/>
                <w:b/>
                <w:bCs/>
                <w:kern w:val="0"/>
                <w:sz w:val="24"/>
              </w:rPr>
              <w:t>2. 测试化验加工费用</w:t>
            </w:r>
            <w:r>
              <w:rPr>
                <w:rFonts w:ascii="宋体" w:hAnsi="宋体" w:cs="宋体"/>
                <w:kern w:val="0"/>
                <w:sz w:val="24"/>
              </w:rPr>
              <w:t>(0.2 万元)：主要用于透射电子显微镜的检测和结果分析等。 </w:t>
            </w:r>
          </w:p>
          <w:p>
            <w:pPr>
              <w:widowControl/>
              <w:spacing w:before="0" w:after="0" w:line="360" w:lineRule="atLeast"/>
              <w:jc w:val="left"/>
              <w:rPr>
                <w:rFonts w:ascii="宋体" w:hAnsi="宋体" w:cs="宋体"/>
                <w:kern w:val="0"/>
                <w:sz w:val="24"/>
              </w:rPr>
            </w:pPr>
            <w:r>
              <w:rPr>
                <w:rFonts w:ascii="宋体" w:hAnsi="宋体" w:cs="宋体"/>
                <w:b/>
                <w:bCs/>
                <w:kern w:val="0"/>
                <w:sz w:val="24"/>
              </w:rPr>
              <w:t>3. 会议差旅费</w:t>
            </w:r>
            <w:r>
              <w:rPr>
                <w:rFonts w:ascii="宋体" w:hAnsi="宋体" w:cs="宋体"/>
                <w:kern w:val="0"/>
                <w:sz w:val="24"/>
              </w:rPr>
              <w:t>(0.8万元)：主要用于课题组成员参加 国内外学术会议交流所产生的会务费、食宿费、交通费等。 </w:t>
            </w:r>
          </w:p>
          <w:p>
            <w:pPr>
              <w:widowControl/>
              <w:spacing w:before="0" w:after="0" w:line="360" w:lineRule="atLeast"/>
              <w:jc w:val="left"/>
              <w:rPr>
                <w:rFonts w:ascii="宋体" w:hAnsi="宋体" w:cs="宋体"/>
                <w:kern w:val="0"/>
                <w:sz w:val="24"/>
              </w:rPr>
            </w:pPr>
            <w:r>
              <w:rPr>
                <w:rFonts w:ascii="宋体" w:hAnsi="宋体" w:cs="宋体"/>
                <w:b/>
                <w:bCs/>
                <w:kern w:val="0"/>
                <w:sz w:val="24"/>
              </w:rPr>
              <w:t>4. 出版物/文献/信息传播费</w:t>
            </w:r>
            <w:r>
              <w:rPr>
                <w:rFonts w:ascii="宋体" w:hAnsi="宋体" w:cs="宋体"/>
                <w:kern w:val="0"/>
                <w:sz w:val="24"/>
              </w:rPr>
              <w:t>(0.7万元)：主要包括发表文章的版面费和检索查新费用。 </w:t>
            </w:r>
          </w:p>
          <w:p>
            <w:pPr>
              <w:widowControl/>
              <w:spacing w:before="0" w:after="0" w:line="360" w:lineRule="atLeast"/>
              <w:jc w:val="left"/>
              <w:rPr>
                <w:rFonts w:ascii="宋体" w:hAnsi="宋体" w:cs="宋体"/>
                <w:kern w:val="0"/>
                <w:sz w:val="24"/>
              </w:rPr>
            </w:pPr>
            <w:r>
              <w:rPr>
                <w:rFonts w:ascii="宋体" w:hAnsi="宋体" w:cs="宋体"/>
                <w:b/>
                <w:bCs/>
                <w:kern w:val="0"/>
                <w:sz w:val="24"/>
              </w:rPr>
              <w:t>5. 劳务费(0.5万元)：</w:t>
            </w:r>
            <w:r>
              <w:rPr>
                <w:rFonts w:ascii="宋体" w:hAnsi="宋体" w:cs="宋体"/>
                <w:kern w:val="0"/>
                <w:sz w:val="24"/>
              </w:rPr>
              <w:t>用于支付参加本课题研究但无工资性收入的研究生的生活补贴。 </w:t>
            </w:r>
          </w:p>
          <w:p>
            <w:pPr>
              <w:widowControl/>
              <w:spacing w:before="0" w:after="0" w:line="360" w:lineRule="atLeast"/>
              <w:jc w:val="left"/>
              <w:rPr>
                <w:rFonts w:ascii="宋体" w:hAnsi="宋体" w:cs="宋体"/>
                <w:kern w:val="0"/>
                <w:sz w:val="24"/>
              </w:rPr>
            </w:pPr>
            <w:r>
              <w:rPr>
                <w:rFonts w:ascii="宋体" w:hAnsi="宋体" w:cs="宋体"/>
                <w:b/>
                <w:bCs/>
                <w:kern w:val="0"/>
                <w:sz w:val="24"/>
              </w:rPr>
              <w:t xml:space="preserve">二 间接经费(1.0 万元) </w:t>
            </w:r>
            <w:r>
              <w:rPr>
                <w:rFonts w:ascii="宋体" w:hAnsi="宋体" w:cs="宋体"/>
                <w:kern w:val="0"/>
                <w:sz w:val="24"/>
              </w:rPr>
              <w:t>主要用于科研管理费用（0.5 万元）和项目绩效支出（0.5万元）。</w:t>
            </w:r>
          </w:p>
          <w:p w:rsidR="00941868">
            <w:pPr>
              <w:wordWrap w:val="0"/>
              <w:spacing w:line="440" w:lineRule="exact"/>
              <w:ind w:firstLine="480" w:firstLineChars="200"/>
              <w:rPr>
                <w:sz w:val="24"/>
                <w:highlight w:val="yellow"/>
              </w:rPr>
            </w:pPr>
            <w:bookmarkEnd w:id="78"/>
          </w:p>
        </w:tc>
      </w:tr>
      <w:tr w14:paraId="3D89CC58" w14:textId="77777777">
        <w:tblPrEx>
          <w:tblW w:w="0" w:type="auto"/>
          <w:jc w:val="center"/>
          <w:tblLayout w:type="fixed"/>
          <w:tblLook w:val="04A0"/>
        </w:tblPrEx>
        <w:trPr>
          <w:trHeight w:val="581"/>
          <w:jc w:val="center"/>
        </w:trPr>
        <w:tc>
          <w:tcPr>
            <w:tcW w:w="9498" w:type="dxa"/>
            <w:tcBorders>
              <w:top w:val="single" w:sz="4" w:space="0" w:color="auto"/>
              <w:left w:val="single" w:sz="4" w:space="0" w:color="auto"/>
              <w:bottom w:val="single" w:sz="4" w:space="0" w:color="auto"/>
              <w:right w:val="single" w:sz="4" w:space="0" w:color="auto"/>
            </w:tcBorders>
          </w:tcPr>
          <w:p w:rsidR="00941868" w14:paraId="5EE2CAC5" w14:textId="77777777">
            <w:pPr>
              <w:wordWrap w:val="0"/>
              <w:spacing w:line="440" w:lineRule="exact"/>
              <w:jc w:val="left"/>
              <w:rPr>
                <w:szCs w:val="28"/>
              </w:rPr>
            </w:pPr>
            <w:r>
              <w:rPr>
                <w:rFonts w:hint="eastAsia"/>
                <w:b/>
                <w:szCs w:val="36"/>
              </w:rPr>
              <w:t>单价</w:t>
            </w:r>
            <w:r>
              <w:rPr>
                <w:b/>
                <w:szCs w:val="36"/>
              </w:rPr>
              <w:t>50</w:t>
            </w:r>
            <w:r>
              <w:rPr>
                <w:rFonts w:hint="eastAsia"/>
                <w:b/>
                <w:szCs w:val="36"/>
              </w:rPr>
              <w:t>万元以上的设备详细说明（无相关情况，本栏填“无”）</w:t>
            </w:r>
          </w:p>
        </w:tc>
      </w:tr>
      <w:tr w14:paraId="13879392" w14:textId="77777777">
        <w:tblPrEx>
          <w:tblW w:w="0" w:type="auto"/>
          <w:jc w:val="center"/>
          <w:tblLayout w:type="fixed"/>
          <w:tblLook w:val="04A0"/>
        </w:tblPrEx>
        <w:trPr>
          <w:jc w:val="center"/>
        </w:trPr>
        <w:tc>
          <w:tcPr>
            <w:tcW w:w="9498" w:type="dxa"/>
            <w:tcBorders>
              <w:top w:val="single" w:sz="4" w:space="0" w:color="auto"/>
              <w:left w:val="single" w:sz="4" w:space="0" w:color="auto"/>
              <w:bottom w:val="single" w:sz="4" w:space="0" w:color="auto"/>
              <w:right w:val="single" w:sz="4" w:space="0" w:color="auto"/>
            </w:tcBorders>
          </w:tcPr>
          <w:p w14:paraId="6A713192" w14:textId="77777777">
            <w:pPr>
              <w:widowControl/>
              <w:spacing w:before="0" w:after="0"/>
              <w:jc w:val="left"/>
              <w:rPr>
                <w:rFonts w:ascii="宋体" w:hAnsi="宋体" w:cs="宋体"/>
                <w:kern w:val="0"/>
                <w:sz w:val="24"/>
              </w:rPr>
            </w:pPr>
            <w:bookmarkStart w:id="79" w:name="sbxxsm"/>
            <w:r>
              <w:rPr>
                <w:rFonts w:ascii="宋体" w:hAnsi="宋体" w:cs="宋体"/>
                <w:kern w:val="0"/>
                <w:sz w:val="24"/>
              </w:rPr>
              <w:t>无</w:t>
            </w:r>
          </w:p>
          <w:p w:rsidR="00941868">
            <w:pPr>
              <w:wordWrap w:val="0"/>
              <w:spacing w:line="440" w:lineRule="exact"/>
              <w:ind w:firstLine="480" w:firstLineChars="200"/>
              <w:rPr>
                <w:sz w:val="24"/>
              </w:rPr>
            </w:pPr>
            <w:bookmarkEnd w:id="79"/>
          </w:p>
        </w:tc>
      </w:tr>
    </w:tbl>
    <w:p w:rsidR="00941868" w14:paraId="33B86CE1" w14:textId="77777777">
      <w:pPr>
        <w:wordWrap w:val="0"/>
        <w:spacing w:line="100" w:lineRule="exact"/>
        <w:rPr>
          <w:sz w:val="10"/>
          <w:szCs w:val="10"/>
        </w:rPr>
        <w:sectPr>
          <w:headerReference w:type="even" r:id="rId25"/>
          <w:headerReference w:type="default" r:id="rId26"/>
          <w:footerReference w:type="even" r:id="rId27"/>
          <w:footerReference w:type="default" r:id="rId28"/>
          <w:headerReference w:type="first" r:id="rId29"/>
          <w:footerReference w:type="first" r:id="rId30"/>
          <w:pgSz w:w="11906" w:h="16838"/>
          <w:pgMar w:top="1134" w:right="1134" w:bottom="1134" w:left="1134" w:header="851" w:footer="850" w:gutter="0"/>
          <w:cols w:space="425"/>
          <w:docGrid w:linePitch="381"/>
        </w:sectPr>
      </w:pPr>
      <w:bookmarkStart w:id="80" w:name="_GoBack"/>
      <w:bookmarkEnd w:id="80"/>
    </w:p>
    <w:p w:rsidR="00941868" w14:paraId="26EE8AA1" w14:textId="77777777">
      <w:pPr>
        <w:wordWrap w:val="0"/>
        <w:spacing w:line="20" w:lineRule="exact"/>
        <w:jc w:val="center"/>
        <w:rPr>
          <w:b/>
          <w:sz w:val="32"/>
        </w:rPr>
      </w:pPr>
    </w:p>
    <w:tbl>
      <w:tblPr>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tblPr>
      <w:tblGrid>
        <w:gridCol w:w="744"/>
        <w:gridCol w:w="2347"/>
        <w:gridCol w:w="1134"/>
        <w:gridCol w:w="4758"/>
        <w:gridCol w:w="1275"/>
        <w:gridCol w:w="993"/>
        <w:gridCol w:w="992"/>
        <w:gridCol w:w="1417"/>
        <w:gridCol w:w="851"/>
        <w:gridCol w:w="798"/>
      </w:tblGrid>
      <w:tr w14:paraId="13DCC1B7" w14:textId="77777777">
        <w:tblPrEx>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tblPrEx>
        <w:trPr>
          <w:cantSplit/>
          <w:trHeight w:val="598"/>
        </w:trPr>
        <w:tc>
          <w:tcPr>
            <w:tcW w:w="15309" w:type="dxa"/>
            <w:gridSpan w:val="10"/>
            <w:tcBorders>
              <w:top w:val="single" w:sz="4" w:space="0" w:color="auto"/>
              <w:left w:val="single" w:sz="4" w:space="0" w:color="auto"/>
              <w:bottom w:val="single" w:sz="4" w:space="0" w:color="auto"/>
              <w:right w:val="single" w:sz="4" w:space="0" w:color="auto"/>
            </w:tcBorders>
            <w:vAlign w:val="center"/>
          </w:tcPr>
          <w:p w:rsidR="00941868" w14:paraId="284901F4" w14:textId="77777777">
            <w:pPr>
              <w:tabs>
                <w:tab w:val="left" w:pos="2520"/>
                <w:tab w:val="center" w:pos="4144"/>
              </w:tabs>
              <w:wordWrap w:val="0"/>
              <w:jc w:val="left"/>
              <w:rPr>
                <w:sz w:val="24"/>
              </w:rPr>
            </w:pPr>
            <w:r>
              <w:rPr>
                <w:rFonts w:hint="eastAsia"/>
                <w:b/>
              </w:rPr>
              <w:t>申报单位、合作单位经费预算明细表</w:t>
            </w:r>
            <w:r>
              <w:rPr>
                <w:rFonts w:hint="eastAsia"/>
                <w:sz w:val="24"/>
              </w:rPr>
              <w:t xml:space="preserve">                                                    </w:t>
            </w:r>
            <w:r>
              <w:rPr>
                <w:rFonts w:hint="eastAsia"/>
                <w:sz w:val="24"/>
              </w:rPr>
              <w:t>金额单位：万元</w:t>
            </w:r>
          </w:p>
        </w:tc>
      </w:tr>
      <w:tr w14:paraId="386FDC59" w14:textId="77777777">
        <w:tblPrEx>
          <w:tblW w:w="15309" w:type="dxa"/>
          <w:tblInd w:w="-624" w:type="dxa"/>
          <w:tblCellMar>
            <w:left w:w="57" w:type="dxa"/>
            <w:right w:w="57" w:type="dxa"/>
          </w:tblCellMar>
          <w:tblLook w:val="04A0"/>
        </w:tblPrEx>
        <w:trPr>
          <w:cantSplit/>
          <w:trHeight w:hRule="exact" w:val="474"/>
        </w:trPr>
        <w:tc>
          <w:tcPr>
            <w:tcW w:w="744" w:type="dxa"/>
            <w:vMerge w:val="restart"/>
            <w:tcBorders>
              <w:top w:val="single" w:sz="4" w:space="0" w:color="auto"/>
              <w:left w:val="single" w:sz="4" w:space="0" w:color="auto"/>
              <w:right w:val="single" w:sz="4" w:space="0" w:color="auto"/>
            </w:tcBorders>
            <w:vAlign w:val="center"/>
          </w:tcPr>
          <w:p w:rsidR="00941868" w14:paraId="17003551" w14:textId="77777777">
            <w:pPr>
              <w:wordWrap w:val="0"/>
              <w:jc w:val="center"/>
              <w:rPr>
                <w:sz w:val="24"/>
              </w:rPr>
            </w:pPr>
            <w:r>
              <w:rPr>
                <w:rFonts w:hint="eastAsia"/>
                <w:sz w:val="24"/>
              </w:rPr>
              <w:t>序号</w:t>
            </w:r>
          </w:p>
        </w:tc>
        <w:tc>
          <w:tcPr>
            <w:tcW w:w="2347" w:type="dxa"/>
            <w:vMerge w:val="restart"/>
            <w:tcBorders>
              <w:top w:val="single" w:sz="4" w:space="0" w:color="auto"/>
              <w:left w:val="single" w:sz="4" w:space="0" w:color="auto"/>
              <w:right w:val="single" w:sz="4" w:space="0" w:color="auto"/>
            </w:tcBorders>
            <w:vAlign w:val="center"/>
          </w:tcPr>
          <w:p w:rsidR="00941868" w14:paraId="7E0A21DD" w14:textId="77777777">
            <w:pPr>
              <w:wordWrap w:val="0"/>
              <w:jc w:val="center"/>
              <w:rPr>
                <w:sz w:val="24"/>
              </w:rPr>
            </w:pPr>
            <w:r>
              <w:rPr>
                <w:rFonts w:hint="eastAsia"/>
                <w:sz w:val="24"/>
              </w:rPr>
              <w:t>单位名称</w:t>
            </w:r>
          </w:p>
        </w:tc>
        <w:tc>
          <w:tcPr>
            <w:tcW w:w="1134" w:type="dxa"/>
            <w:vMerge w:val="restart"/>
            <w:tcBorders>
              <w:top w:val="single" w:sz="4" w:space="0" w:color="auto"/>
              <w:left w:val="single" w:sz="4" w:space="0" w:color="auto"/>
              <w:right w:val="single" w:sz="4" w:space="0" w:color="auto"/>
            </w:tcBorders>
            <w:vAlign w:val="center"/>
          </w:tcPr>
          <w:p w:rsidR="00941868" w14:paraId="65C21963" w14:textId="77777777">
            <w:pPr>
              <w:wordWrap w:val="0"/>
              <w:jc w:val="center"/>
              <w:rPr>
                <w:sz w:val="24"/>
              </w:rPr>
            </w:pPr>
            <w:r>
              <w:rPr>
                <w:rFonts w:hint="eastAsia"/>
                <w:sz w:val="24"/>
              </w:rPr>
              <w:t>单位类型</w:t>
            </w:r>
          </w:p>
        </w:tc>
        <w:tc>
          <w:tcPr>
            <w:tcW w:w="4758" w:type="dxa"/>
            <w:vMerge w:val="restart"/>
            <w:tcBorders>
              <w:top w:val="single" w:sz="4" w:space="0" w:color="auto"/>
              <w:left w:val="single" w:sz="4" w:space="0" w:color="auto"/>
              <w:right w:val="single" w:sz="4" w:space="0" w:color="auto"/>
            </w:tcBorders>
            <w:vAlign w:val="center"/>
          </w:tcPr>
          <w:p w:rsidR="00941868" w14:paraId="6254DFC7" w14:textId="77777777">
            <w:pPr>
              <w:wordWrap w:val="0"/>
              <w:jc w:val="center"/>
              <w:rPr>
                <w:sz w:val="24"/>
              </w:rPr>
            </w:pPr>
            <w:r>
              <w:rPr>
                <w:rFonts w:hint="eastAsia"/>
                <w:sz w:val="24"/>
              </w:rPr>
              <w:t>任务分工</w:t>
            </w:r>
          </w:p>
        </w:tc>
        <w:tc>
          <w:tcPr>
            <w:tcW w:w="1275" w:type="dxa"/>
            <w:vMerge w:val="restart"/>
            <w:tcBorders>
              <w:top w:val="single" w:sz="4" w:space="0" w:color="auto"/>
              <w:left w:val="single" w:sz="4" w:space="0" w:color="auto"/>
              <w:right w:val="single" w:sz="4" w:space="0" w:color="auto"/>
            </w:tcBorders>
            <w:vAlign w:val="center"/>
          </w:tcPr>
          <w:p w:rsidR="00941868" w14:paraId="6D19B5F3" w14:textId="77777777">
            <w:pPr>
              <w:wordWrap w:val="0"/>
              <w:jc w:val="center"/>
              <w:rPr>
                <w:sz w:val="24"/>
              </w:rPr>
            </w:pPr>
            <w:r>
              <w:rPr>
                <w:rFonts w:hint="eastAsia"/>
                <w:sz w:val="24"/>
              </w:rPr>
              <w:t>研究任务</w:t>
            </w:r>
          </w:p>
          <w:p w:rsidR="00941868" w14:paraId="0E661142" w14:textId="77777777">
            <w:pPr>
              <w:wordWrap w:val="0"/>
              <w:jc w:val="center"/>
              <w:rPr>
                <w:sz w:val="24"/>
              </w:rPr>
            </w:pPr>
            <w:r>
              <w:rPr>
                <w:rFonts w:hint="eastAsia"/>
                <w:sz w:val="24"/>
              </w:rPr>
              <w:t>负责人</w:t>
            </w:r>
          </w:p>
        </w:tc>
        <w:tc>
          <w:tcPr>
            <w:tcW w:w="993" w:type="dxa"/>
            <w:vMerge w:val="restart"/>
            <w:tcBorders>
              <w:top w:val="single" w:sz="4" w:space="0" w:color="auto"/>
              <w:left w:val="single" w:sz="4" w:space="0" w:color="auto"/>
              <w:right w:val="single" w:sz="4" w:space="0" w:color="auto"/>
            </w:tcBorders>
            <w:vAlign w:val="center"/>
          </w:tcPr>
          <w:p w:rsidR="00941868" w14:paraId="7CB0CCB1" w14:textId="77777777">
            <w:pPr>
              <w:wordWrap w:val="0"/>
              <w:jc w:val="center"/>
              <w:rPr>
                <w:sz w:val="24"/>
              </w:rPr>
            </w:pPr>
            <w:r>
              <w:rPr>
                <w:rFonts w:hint="eastAsia"/>
                <w:sz w:val="24"/>
              </w:rPr>
              <w:t>合计</w:t>
            </w:r>
          </w:p>
        </w:tc>
        <w:tc>
          <w:tcPr>
            <w:tcW w:w="2409" w:type="dxa"/>
            <w:gridSpan w:val="2"/>
            <w:tcBorders>
              <w:top w:val="single" w:sz="4" w:space="0" w:color="auto"/>
              <w:left w:val="single" w:sz="4" w:space="0" w:color="auto"/>
              <w:bottom w:val="single" w:sz="4" w:space="0" w:color="auto"/>
              <w:right w:val="single" w:sz="4" w:space="0" w:color="auto"/>
            </w:tcBorders>
            <w:vAlign w:val="center"/>
          </w:tcPr>
          <w:p w:rsidR="00941868" w14:paraId="25A99997" w14:textId="77777777">
            <w:pPr>
              <w:wordWrap w:val="0"/>
              <w:jc w:val="center"/>
              <w:rPr>
                <w:sz w:val="24"/>
              </w:rPr>
            </w:pPr>
            <w:r>
              <w:rPr>
                <w:rFonts w:hint="eastAsia"/>
                <w:sz w:val="24"/>
              </w:rPr>
              <w:t>专项经费</w:t>
            </w:r>
          </w:p>
        </w:tc>
        <w:tc>
          <w:tcPr>
            <w:tcW w:w="851" w:type="dxa"/>
            <w:vMerge w:val="restart"/>
            <w:tcBorders>
              <w:top w:val="single" w:sz="4" w:space="0" w:color="auto"/>
              <w:left w:val="single" w:sz="4" w:space="0" w:color="auto"/>
              <w:right w:val="single" w:sz="4" w:space="0" w:color="auto"/>
            </w:tcBorders>
            <w:vAlign w:val="center"/>
          </w:tcPr>
          <w:p w:rsidR="00941868" w14:paraId="7675EFEC" w14:textId="77777777">
            <w:pPr>
              <w:tabs>
                <w:tab w:val="left" w:pos="2520"/>
                <w:tab w:val="center" w:pos="4144"/>
              </w:tabs>
              <w:wordWrap w:val="0"/>
              <w:jc w:val="center"/>
              <w:rPr>
                <w:sz w:val="24"/>
              </w:rPr>
            </w:pPr>
            <w:r>
              <w:rPr>
                <w:rFonts w:hint="eastAsia"/>
                <w:sz w:val="24"/>
              </w:rPr>
              <w:t>自筹</w:t>
            </w:r>
          </w:p>
          <w:p w:rsidR="00941868" w14:paraId="2582282C" w14:textId="77777777">
            <w:pPr>
              <w:tabs>
                <w:tab w:val="left" w:pos="2520"/>
                <w:tab w:val="center" w:pos="4144"/>
              </w:tabs>
              <w:wordWrap w:val="0"/>
              <w:jc w:val="center"/>
              <w:rPr>
                <w:sz w:val="24"/>
              </w:rPr>
            </w:pPr>
            <w:r>
              <w:rPr>
                <w:rFonts w:hint="eastAsia"/>
                <w:sz w:val="24"/>
              </w:rPr>
              <w:t>经费</w:t>
            </w:r>
          </w:p>
        </w:tc>
        <w:tc>
          <w:tcPr>
            <w:tcW w:w="798" w:type="dxa"/>
            <w:vMerge w:val="restart"/>
            <w:tcBorders>
              <w:top w:val="single" w:sz="4" w:space="0" w:color="auto"/>
              <w:left w:val="single" w:sz="4" w:space="0" w:color="auto"/>
              <w:right w:val="single" w:sz="4" w:space="0" w:color="auto"/>
            </w:tcBorders>
            <w:vAlign w:val="center"/>
          </w:tcPr>
          <w:p w:rsidR="00941868" w14:paraId="0D4BE825" w14:textId="77777777">
            <w:pPr>
              <w:tabs>
                <w:tab w:val="left" w:pos="2520"/>
                <w:tab w:val="center" w:pos="4144"/>
              </w:tabs>
              <w:wordWrap w:val="0"/>
              <w:jc w:val="center"/>
              <w:rPr>
                <w:sz w:val="24"/>
              </w:rPr>
            </w:pPr>
            <w:r>
              <w:rPr>
                <w:rFonts w:hint="eastAsia"/>
                <w:sz w:val="24"/>
              </w:rPr>
              <w:t>配套</w:t>
            </w:r>
          </w:p>
          <w:p w:rsidR="00941868" w14:paraId="341583D9" w14:textId="77777777">
            <w:pPr>
              <w:tabs>
                <w:tab w:val="left" w:pos="2520"/>
                <w:tab w:val="center" w:pos="4144"/>
              </w:tabs>
              <w:wordWrap w:val="0"/>
              <w:jc w:val="center"/>
              <w:rPr>
                <w:sz w:val="24"/>
              </w:rPr>
            </w:pPr>
            <w:r>
              <w:rPr>
                <w:rFonts w:hint="eastAsia"/>
                <w:sz w:val="24"/>
              </w:rPr>
              <w:t>经费</w:t>
            </w:r>
          </w:p>
        </w:tc>
      </w:tr>
      <w:tr w14:paraId="58DBBFE9" w14:textId="77777777">
        <w:tblPrEx>
          <w:tblW w:w="15309" w:type="dxa"/>
          <w:tblInd w:w="-624" w:type="dxa"/>
          <w:tblCellMar>
            <w:left w:w="57" w:type="dxa"/>
            <w:right w:w="57" w:type="dxa"/>
          </w:tblCellMar>
          <w:tblLook w:val="04A0"/>
        </w:tblPrEx>
        <w:trPr>
          <w:cantSplit/>
          <w:trHeight w:hRule="exact" w:val="728"/>
        </w:trPr>
        <w:tc>
          <w:tcPr>
            <w:tcW w:w="744" w:type="dxa"/>
            <w:vMerge/>
            <w:tcBorders>
              <w:left w:val="single" w:sz="4" w:space="0" w:color="auto"/>
              <w:bottom w:val="single" w:sz="4" w:space="0" w:color="auto"/>
              <w:right w:val="single" w:sz="4" w:space="0" w:color="auto"/>
            </w:tcBorders>
            <w:vAlign w:val="center"/>
          </w:tcPr>
          <w:p w:rsidR="00941868" w14:paraId="366504DF" w14:textId="77777777">
            <w:pPr>
              <w:wordWrap w:val="0"/>
              <w:jc w:val="center"/>
              <w:rPr>
                <w:sz w:val="24"/>
              </w:rPr>
            </w:pPr>
          </w:p>
        </w:tc>
        <w:tc>
          <w:tcPr>
            <w:tcW w:w="2347" w:type="dxa"/>
            <w:vMerge/>
            <w:tcBorders>
              <w:left w:val="single" w:sz="4" w:space="0" w:color="auto"/>
              <w:bottom w:val="single" w:sz="4" w:space="0" w:color="auto"/>
              <w:right w:val="single" w:sz="4" w:space="0" w:color="auto"/>
            </w:tcBorders>
            <w:vAlign w:val="center"/>
          </w:tcPr>
          <w:p w:rsidR="00941868" w14:paraId="5C789DE0" w14:textId="77777777">
            <w:pPr>
              <w:wordWrap w:val="0"/>
              <w:jc w:val="center"/>
              <w:rPr>
                <w:sz w:val="24"/>
              </w:rPr>
            </w:pPr>
          </w:p>
        </w:tc>
        <w:tc>
          <w:tcPr>
            <w:tcW w:w="1134" w:type="dxa"/>
            <w:vMerge/>
            <w:tcBorders>
              <w:left w:val="single" w:sz="4" w:space="0" w:color="auto"/>
              <w:bottom w:val="single" w:sz="4" w:space="0" w:color="auto"/>
              <w:right w:val="single" w:sz="4" w:space="0" w:color="auto"/>
            </w:tcBorders>
            <w:vAlign w:val="center"/>
          </w:tcPr>
          <w:p w:rsidR="00941868" w14:paraId="1A4D836D" w14:textId="77777777">
            <w:pPr>
              <w:wordWrap w:val="0"/>
              <w:jc w:val="center"/>
              <w:rPr>
                <w:sz w:val="24"/>
              </w:rPr>
            </w:pPr>
          </w:p>
        </w:tc>
        <w:tc>
          <w:tcPr>
            <w:tcW w:w="4758" w:type="dxa"/>
            <w:vMerge/>
            <w:tcBorders>
              <w:left w:val="single" w:sz="4" w:space="0" w:color="auto"/>
              <w:bottom w:val="single" w:sz="4" w:space="0" w:color="auto"/>
              <w:right w:val="single" w:sz="4" w:space="0" w:color="auto"/>
            </w:tcBorders>
            <w:vAlign w:val="center"/>
          </w:tcPr>
          <w:p w:rsidR="00941868" w14:paraId="2AB7B967" w14:textId="77777777">
            <w:pPr>
              <w:wordWrap w:val="0"/>
              <w:jc w:val="center"/>
              <w:rPr>
                <w:sz w:val="24"/>
              </w:rPr>
            </w:pPr>
          </w:p>
        </w:tc>
        <w:tc>
          <w:tcPr>
            <w:tcW w:w="1275" w:type="dxa"/>
            <w:vMerge/>
            <w:tcBorders>
              <w:left w:val="single" w:sz="4" w:space="0" w:color="auto"/>
              <w:bottom w:val="single" w:sz="4" w:space="0" w:color="auto"/>
              <w:right w:val="single" w:sz="4" w:space="0" w:color="auto"/>
            </w:tcBorders>
            <w:vAlign w:val="center"/>
          </w:tcPr>
          <w:p w:rsidR="00941868" w14:paraId="65505EDC" w14:textId="77777777">
            <w:pPr>
              <w:wordWrap w:val="0"/>
              <w:jc w:val="center"/>
              <w:rPr>
                <w:sz w:val="24"/>
              </w:rPr>
            </w:pPr>
          </w:p>
        </w:tc>
        <w:tc>
          <w:tcPr>
            <w:tcW w:w="993" w:type="dxa"/>
            <w:vMerge/>
            <w:tcBorders>
              <w:left w:val="single" w:sz="4" w:space="0" w:color="auto"/>
              <w:bottom w:val="single" w:sz="4" w:space="0" w:color="auto"/>
              <w:right w:val="single" w:sz="4" w:space="0" w:color="auto"/>
            </w:tcBorders>
            <w:vAlign w:val="center"/>
          </w:tcPr>
          <w:p w:rsidR="00941868" w14:paraId="575411D6" w14:textId="77777777">
            <w:pPr>
              <w:wordWrap w:val="0"/>
              <w:jc w:val="center"/>
              <w:rPr>
                <w:sz w:val="24"/>
              </w:rPr>
            </w:pPr>
          </w:p>
        </w:tc>
        <w:tc>
          <w:tcPr>
            <w:tcW w:w="992" w:type="dxa"/>
            <w:tcBorders>
              <w:top w:val="single" w:sz="4" w:space="0" w:color="auto"/>
              <w:left w:val="single" w:sz="4" w:space="0" w:color="auto"/>
              <w:bottom w:val="single" w:sz="4" w:space="0" w:color="auto"/>
              <w:right w:val="single" w:sz="4" w:space="0" w:color="auto"/>
            </w:tcBorders>
            <w:vAlign w:val="center"/>
          </w:tcPr>
          <w:p w:rsidR="00941868" w14:paraId="4F3D1881" w14:textId="77777777">
            <w:pPr>
              <w:wordWrap w:val="0"/>
              <w:jc w:val="center"/>
              <w:rPr>
                <w:sz w:val="24"/>
              </w:rPr>
            </w:pPr>
            <w:r>
              <w:rPr>
                <w:rFonts w:hint="eastAsia"/>
                <w:sz w:val="24"/>
              </w:rPr>
              <w:t>小计</w:t>
            </w:r>
          </w:p>
        </w:tc>
        <w:tc>
          <w:tcPr>
            <w:tcW w:w="1417" w:type="dxa"/>
            <w:tcBorders>
              <w:top w:val="single" w:sz="4" w:space="0" w:color="auto"/>
              <w:left w:val="single" w:sz="4" w:space="0" w:color="auto"/>
              <w:bottom w:val="single" w:sz="4" w:space="0" w:color="auto"/>
              <w:right w:val="single" w:sz="4" w:space="0" w:color="auto"/>
            </w:tcBorders>
            <w:vAlign w:val="center"/>
          </w:tcPr>
          <w:p w:rsidR="00941868" w14:paraId="75E1FDED" w14:textId="77777777">
            <w:pPr>
              <w:wordWrap w:val="0"/>
              <w:jc w:val="center"/>
              <w:rPr>
                <w:sz w:val="24"/>
              </w:rPr>
            </w:pPr>
            <w:r>
              <w:rPr>
                <w:rFonts w:hint="eastAsia"/>
                <w:sz w:val="24"/>
              </w:rPr>
              <w:t>其中：间接</w:t>
            </w:r>
          </w:p>
          <w:p w:rsidR="00941868" w14:paraId="79D770F8" w14:textId="77777777">
            <w:pPr>
              <w:wordWrap w:val="0"/>
              <w:jc w:val="center"/>
              <w:rPr>
                <w:sz w:val="24"/>
              </w:rPr>
            </w:pPr>
            <w:r>
              <w:rPr>
                <w:rFonts w:hint="eastAsia"/>
                <w:sz w:val="24"/>
              </w:rPr>
              <w:t>费用</w:t>
            </w:r>
          </w:p>
        </w:tc>
        <w:tc>
          <w:tcPr>
            <w:tcW w:w="851" w:type="dxa"/>
            <w:vMerge/>
            <w:tcBorders>
              <w:left w:val="single" w:sz="4" w:space="0" w:color="auto"/>
              <w:bottom w:val="single" w:sz="4" w:space="0" w:color="auto"/>
              <w:right w:val="single" w:sz="4" w:space="0" w:color="auto"/>
            </w:tcBorders>
            <w:vAlign w:val="center"/>
          </w:tcPr>
          <w:p w:rsidR="00941868" w14:paraId="5915CE4E" w14:textId="77777777">
            <w:pPr>
              <w:tabs>
                <w:tab w:val="left" w:pos="2520"/>
                <w:tab w:val="center" w:pos="4144"/>
              </w:tabs>
              <w:wordWrap w:val="0"/>
              <w:jc w:val="center"/>
              <w:rPr>
                <w:sz w:val="24"/>
              </w:rPr>
            </w:pPr>
          </w:p>
        </w:tc>
        <w:tc>
          <w:tcPr>
            <w:tcW w:w="798" w:type="dxa"/>
            <w:vMerge/>
            <w:tcBorders>
              <w:left w:val="single" w:sz="4" w:space="0" w:color="auto"/>
              <w:bottom w:val="single" w:sz="4" w:space="0" w:color="auto"/>
              <w:right w:val="single" w:sz="4" w:space="0" w:color="auto"/>
            </w:tcBorders>
            <w:vAlign w:val="center"/>
          </w:tcPr>
          <w:p w:rsidR="00941868" w14:paraId="34987C0D" w14:textId="77777777">
            <w:pPr>
              <w:tabs>
                <w:tab w:val="left" w:pos="2520"/>
                <w:tab w:val="center" w:pos="4144"/>
              </w:tabs>
              <w:wordWrap w:val="0"/>
              <w:jc w:val="center"/>
              <w:rPr>
                <w:sz w:val="24"/>
              </w:rPr>
            </w:pPr>
          </w:p>
        </w:tc>
      </w:tr>
      <w:tr w14:paraId="0A86DE68" w14:textId="77777777">
        <w:tblPrEx>
          <w:tblW w:w="15309" w:type="dxa"/>
          <w:tblInd w:w="-624" w:type="dxa"/>
          <w:tblCellMar>
            <w:left w:w="57" w:type="dxa"/>
            <w:right w:w="57" w:type="dxa"/>
          </w:tblCellMar>
          <w:tblLook w:val="04A0"/>
        </w:tblPrEx>
        <w:trPr>
          <w:cantSplit/>
          <w:trHeight w:val="598"/>
        </w:trPr>
        <w:tc>
          <w:tcPr>
            <w:tcW w:w="744" w:type="dxa"/>
            <w:tcBorders>
              <w:top w:val="single" w:sz="4" w:space="0" w:color="auto"/>
              <w:left w:val="single" w:sz="4" w:space="0" w:color="auto"/>
              <w:bottom w:val="single" w:sz="4" w:space="0" w:color="auto"/>
              <w:right w:val="single" w:sz="4" w:space="0" w:color="auto"/>
            </w:tcBorders>
            <w:vAlign w:val="center"/>
          </w:tcPr>
          <w:p w:rsidR="00941868" w14:paraId="015E2889" w14:textId="77777777">
            <w:pPr>
              <w:wordWrap w:val="0"/>
              <w:jc w:val="center"/>
              <w:rPr>
                <w:rFonts w:ascii="宋体" w:eastAsia="宋体" w:hAnsi="宋体" w:cs="宋体"/>
                <w:sz w:val="24"/>
              </w:rPr>
            </w:pPr>
            <w:r>
              <w:rPr>
                <w:rFonts w:ascii="宋体" w:eastAsia="宋体" w:hAnsi="宋体" w:cs="宋体"/>
                <w:sz w:val="24"/>
              </w:rPr>
              <w:t>1</w:t>
            </w:r>
          </w:p>
        </w:tc>
        <w:tc>
          <w:tcPr>
            <w:tcW w:w="2347" w:type="dxa"/>
            <w:tcBorders>
              <w:top w:val="single" w:sz="4" w:space="0" w:color="auto"/>
              <w:left w:val="single" w:sz="4" w:space="0" w:color="auto"/>
              <w:bottom w:val="single" w:sz="4" w:space="0" w:color="auto"/>
              <w:right w:val="single" w:sz="4" w:space="0" w:color="auto"/>
            </w:tcBorders>
            <w:vAlign w:val="center"/>
          </w:tcPr>
          <w:p w:rsidR="00941868" w14:paraId="1445CFE9" w14:textId="77777777">
            <w:pPr>
              <w:wordWrap w:val="0"/>
              <w:jc w:val="left"/>
              <w:rPr>
                <w:rFonts w:ascii="宋体" w:eastAsia="宋体" w:hAnsi="宋体" w:cs="宋体"/>
                <w:sz w:val="24"/>
              </w:rPr>
            </w:pPr>
            <w:r>
              <w:rPr>
                <w:rFonts w:ascii="宋体" w:eastAsia="宋体" w:hAnsi="宋体" w:cs="宋体"/>
                <w:sz w:val="24"/>
              </w:rPr>
              <w:t>河北北方学院</w:t>
            </w:r>
          </w:p>
        </w:tc>
        <w:tc>
          <w:tcPr>
            <w:tcW w:w="1134" w:type="dxa"/>
            <w:tcBorders>
              <w:top w:val="single" w:sz="4" w:space="0" w:color="auto"/>
              <w:left w:val="single" w:sz="4" w:space="0" w:color="auto"/>
              <w:bottom w:val="single" w:sz="4" w:space="0" w:color="auto"/>
              <w:right w:val="single" w:sz="4" w:space="0" w:color="auto"/>
            </w:tcBorders>
            <w:vAlign w:val="center"/>
          </w:tcPr>
          <w:p w:rsidR="00941868" w14:paraId="5545E3B4" w14:textId="77777777">
            <w:pPr>
              <w:wordWrap w:val="0"/>
              <w:jc w:val="center"/>
              <w:rPr>
                <w:rFonts w:ascii="宋体" w:eastAsia="宋体" w:hAnsi="宋体" w:cs="宋体"/>
                <w:sz w:val="24"/>
              </w:rPr>
            </w:pPr>
            <w:r>
              <w:rPr>
                <w:rFonts w:ascii="宋体" w:eastAsia="宋体" w:hAnsi="宋体" w:cs="宋体"/>
                <w:sz w:val="24"/>
              </w:rPr>
              <w:t>申报单位</w:t>
            </w:r>
          </w:p>
        </w:tc>
        <w:tc>
          <w:tcPr>
            <w:tcW w:w="4758" w:type="dxa"/>
            <w:tcBorders>
              <w:top w:val="single" w:sz="4" w:space="0" w:color="auto"/>
              <w:left w:val="single" w:sz="4" w:space="0" w:color="auto"/>
              <w:bottom w:val="single" w:sz="4" w:space="0" w:color="auto"/>
              <w:right w:val="single" w:sz="4" w:space="0" w:color="auto"/>
            </w:tcBorders>
            <w:vAlign w:val="center"/>
          </w:tcPr>
          <w:p w:rsidR="00941868" w14:paraId="753D4F5C" w14:textId="77777777">
            <w:pPr>
              <w:wordWrap w:val="0"/>
              <w:jc w:val="left"/>
              <w:rPr>
                <w:rFonts w:ascii="宋体" w:eastAsia="宋体" w:hAnsi="宋体" w:cs="宋体"/>
                <w:sz w:val="24"/>
              </w:rPr>
            </w:pPr>
            <w:r>
              <w:rPr>
                <w:rFonts w:ascii="宋体" w:eastAsia="宋体" w:hAnsi="宋体" w:cs="宋体"/>
                <w:sz w:val="24"/>
              </w:rPr>
              <w:t>项目整体实施</w:t>
            </w:r>
          </w:p>
        </w:tc>
        <w:tc>
          <w:tcPr>
            <w:tcW w:w="1275" w:type="dxa"/>
            <w:tcBorders>
              <w:top w:val="single" w:sz="4" w:space="0" w:color="auto"/>
              <w:left w:val="single" w:sz="4" w:space="0" w:color="auto"/>
              <w:bottom w:val="single" w:sz="4" w:space="0" w:color="auto"/>
              <w:right w:val="single" w:sz="4" w:space="0" w:color="auto"/>
            </w:tcBorders>
            <w:vAlign w:val="center"/>
          </w:tcPr>
          <w:p w:rsidR="00941868" w14:paraId="4C1A7235" w14:textId="77777777">
            <w:pPr>
              <w:wordWrap w:val="0"/>
              <w:jc w:val="center"/>
              <w:rPr>
                <w:rFonts w:ascii="宋体" w:eastAsia="宋体" w:hAnsi="宋体" w:cs="宋体"/>
                <w:sz w:val="24"/>
              </w:rPr>
            </w:pPr>
            <w:r>
              <w:rPr>
                <w:rFonts w:ascii="宋体" w:eastAsia="宋体" w:hAnsi="宋体" w:cs="宋体"/>
                <w:sz w:val="24"/>
              </w:rPr>
              <w:t>蒋丽娜</w:t>
            </w:r>
          </w:p>
        </w:tc>
        <w:tc>
          <w:tcPr>
            <w:tcW w:w="993" w:type="dxa"/>
            <w:tcBorders>
              <w:top w:val="single" w:sz="4" w:space="0" w:color="auto"/>
              <w:left w:val="single" w:sz="4" w:space="0" w:color="auto"/>
              <w:bottom w:val="single" w:sz="4" w:space="0" w:color="auto"/>
              <w:right w:val="single" w:sz="4" w:space="0" w:color="auto"/>
            </w:tcBorders>
            <w:vAlign w:val="center"/>
          </w:tcPr>
          <w:p w:rsidR="00941868" w14:paraId="2D9C49C6" w14:textId="77777777">
            <w:pPr>
              <w:wordWrap w:val="0"/>
              <w:jc w:val="center"/>
              <w:rPr>
                <w:rFonts w:ascii="宋体" w:eastAsia="宋体" w:hAnsi="宋体" w:cs="宋体"/>
                <w:sz w:val="24"/>
              </w:rPr>
            </w:pPr>
            <w:r>
              <w:rPr>
                <w:rFonts w:ascii="宋体" w:eastAsia="宋体" w:hAnsi="宋体" w:cs="宋体"/>
                <w:sz w:val="24"/>
              </w:rPr>
              <w:t>10.00</w:t>
            </w:r>
          </w:p>
        </w:tc>
        <w:tc>
          <w:tcPr>
            <w:tcW w:w="992" w:type="dxa"/>
            <w:tcBorders>
              <w:top w:val="single" w:sz="4" w:space="0" w:color="auto"/>
              <w:left w:val="single" w:sz="4" w:space="0" w:color="auto"/>
              <w:bottom w:val="single" w:sz="4" w:space="0" w:color="auto"/>
              <w:right w:val="single" w:sz="4" w:space="0" w:color="auto"/>
            </w:tcBorders>
            <w:vAlign w:val="center"/>
          </w:tcPr>
          <w:p w:rsidR="00941868" w14:paraId="5FC707B2" w14:textId="77777777">
            <w:pPr>
              <w:wordWrap w:val="0"/>
              <w:jc w:val="center"/>
              <w:rPr>
                <w:rFonts w:ascii="宋体" w:eastAsia="宋体" w:hAnsi="宋体" w:cs="宋体"/>
                <w:sz w:val="24"/>
              </w:rPr>
            </w:pPr>
            <w:r>
              <w:rPr>
                <w:rFonts w:ascii="宋体" w:eastAsia="宋体" w:hAnsi="宋体" w:cs="宋体"/>
                <w:sz w:val="24"/>
              </w:rPr>
              <w:t>10.00</w:t>
            </w:r>
          </w:p>
        </w:tc>
        <w:tc>
          <w:tcPr>
            <w:tcW w:w="1417" w:type="dxa"/>
            <w:tcBorders>
              <w:top w:val="single" w:sz="4" w:space="0" w:color="auto"/>
              <w:left w:val="single" w:sz="4" w:space="0" w:color="auto"/>
              <w:bottom w:val="single" w:sz="4" w:space="0" w:color="auto"/>
              <w:right w:val="single" w:sz="4" w:space="0" w:color="auto"/>
            </w:tcBorders>
            <w:vAlign w:val="center"/>
          </w:tcPr>
          <w:p w:rsidR="00941868" w14:paraId="717F1E8A" w14:textId="77777777">
            <w:pPr>
              <w:wordWrap w:val="0"/>
              <w:jc w:val="center"/>
              <w:rPr>
                <w:rFonts w:ascii="宋体" w:eastAsia="宋体" w:hAnsi="宋体" w:cs="宋体"/>
                <w:sz w:val="24"/>
              </w:rPr>
            </w:pPr>
            <w:r>
              <w:rPr>
                <w:rFonts w:ascii="宋体" w:eastAsia="宋体" w:hAnsi="宋体" w:cs="宋体"/>
                <w:sz w:val="24"/>
              </w:rPr>
              <w:t>1.00</w:t>
            </w:r>
          </w:p>
        </w:tc>
        <w:tc>
          <w:tcPr>
            <w:tcW w:w="851" w:type="dxa"/>
            <w:tcBorders>
              <w:top w:val="single" w:sz="4" w:space="0" w:color="auto"/>
              <w:left w:val="single" w:sz="4" w:space="0" w:color="auto"/>
              <w:bottom w:val="single" w:sz="4" w:space="0" w:color="auto"/>
              <w:right w:val="single" w:sz="4" w:space="0" w:color="auto"/>
            </w:tcBorders>
            <w:vAlign w:val="center"/>
          </w:tcPr>
          <w:p w:rsidR="00941868" w14:paraId="34C37D09" w14:textId="77777777">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798" w:type="dxa"/>
            <w:tcBorders>
              <w:top w:val="single" w:sz="4" w:space="0" w:color="auto"/>
              <w:left w:val="single" w:sz="4" w:space="0" w:color="auto"/>
              <w:bottom w:val="single" w:sz="4" w:space="0" w:color="auto"/>
              <w:right w:val="single" w:sz="4" w:space="0" w:color="auto"/>
            </w:tcBorders>
            <w:vAlign w:val="center"/>
          </w:tcPr>
          <w:p w:rsidR="00941868" w14:paraId="4AA08122" w14:textId="77777777">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r w14:paraId="0A86DE68" w14:textId="77777777">
        <w:tblPrEx>
          <w:tblW w:w="15309" w:type="dxa"/>
          <w:tblInd w:w="-624" w:type="dxa"/>
          <w:tblCellMar>
            <w:left w:w="57" w:type="dxa"/>
            <w:right w:w="57" w:type="dxa"/>
          </w:tblCellMar>
          <w:tblLook w:val="04A0"/>
        </w:tblPrEx>
        <w:trPr>
          <w:cantSplit/>
          <w:trHeight w:val="598"/>
        </w:trPr>
        <w:tc>
          <w:tcPr>
            <w:tcW w:w="744"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2</w:t>
            </w:r>
          </w:p>
        </w:tc>
        <w:tc>
          <w:tcPr>
            <w:tcW w:w="2347"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河北北方学院附属第一医院</w:t>
            </w:r>
          </w:p>
        </w:tc>
        <w:tc>
          <w:tcPr>
            <w:tcW w:w="1134"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合作单位</w:t>
            </w:r>
          </w:p>
        </w:tc>
        <w:tc>
          <w:tcPr>
            <w:tcW w:w="4758"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流式细胞术检测技术支持及免疫学细胞实验检测分析</w:t>
            </w:r>
          </w:p>
        </w:tc>
        <w:tc>
          <w:tcPr>
            <w:tcW w:w="127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蒋丽娜</w:t>
            </w:r>
          </w:p>
        </w:tc>
        <w:tc>
          <w:tcPr>
            <w:tcW w:w="99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0.00</w:t>
            </w:r>
          </w:p>
        </w:tc>
        <w:tc>
          <w:tcPr>
            <w:tcW w:w="992"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0.00</w:t>
            </w:r>
          </w:p>
        </w:tc>
        <w:tc>
          <w:tcPr>
            <w:tcW w:w="1417"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0.00</w:t>
            </w:r>
          </w:p>
        </w:tc>
        <w:tc>
          <w:tcPr>
            <w:tcW w:w="851" w:type="dxa"/>
            <w:tcBorders>
              <w:top w:val="single" w:sz="4" w:space="0" w:color="auto"/>
              <w:left w:val="single" w:sz="4" w:space="0" w:color="auto"/>
              <w:bottom w:val="single" w:sz="4" w:space="0" w:color="auto"/>
              <w:right w:val="single" w:sz="4" w:space="0" w:color="auto"/>
            </w:tcBorders>
            <w:vAlign w:val="center"/>
          </w:tcPr>
          <w:p w:rsidR="00941868" w14:textId="77777777">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798" w:type="dxa"/>
            <w:tcBorders>
              <w:top w:val="single" w:sz="4" w:space="0" w:color="auto"/>
              <w:left w:val="single" w:sz="4" w:space="0" w:color="auto"/>
              <w:bottom w:val="single" w:sz="4" w:space="0" w:color="auto"/>
              <w:right w:val="single" w:sz="4" w:space="0" w:color="auto"/>
            </w:tcBorders>
            <w:vAlign w:val="center"/>
          </w:tcPr>
          <w:p w:rsidR="00941868" w14:textId="77777777">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rsidR="00941868" w14:paraId="0C04F171" w14:textId="77777777">
      <w:pPr>
        <w:wordWrap w:val="0"/>
        <w:rPr>
          <w:sz w:val="10"/>
          <w:szCs w:val="10"/>
        </w:rPr>
        <w:sectPr>
          <w:pgSz w:w="16838" w:h="11906" w:orient="landscape"/>
          <w:pgMar w:top="1134" w:right="851" w:bottom="1134" w:left="1418" w:header="851" w:footer="850" w:gutter="0"/>
          <w:cols w:space="425"/>
          <w:docGrid w:linePitch="381"/>
        </w:sectPr>
      </w:pPr>
    </w:p>
    <w:p w:rsidR="00941868" w14:paraId="1D095F27" w14:textId="77777777">
      <w:pPr>
        <w:wordWrap w:val="0"/>
        <w:spacing w:line="360" w:lineRule="auto"/>
        <w:jc w:val="center"/>
        <w:rPr>
          <w:b/>
          <w:szCs w:val="28"/>
        </w:rPr>
      </w:pPr>
      <w:r>
        <w:rPr>
          <w:rFonts w:hint="eastAsia"/>
          <w:b/>
          <w:szCs w:val="28"/>
        </w:rPr>
        <w:t>项目绩效评价考核目标及指标</w:t>
      </w:r>
    </w:p>
    <w:tbl>
      <w:tblPr>
        <w:tblW w:w="15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34"/>
        <w:gridCol w:w="4995"/>
        <w:gridCol w:w="2364"/>
        <w:gridCol w:w="2280"/>
        <w:gridCol w:w="2184"/>
        <w:gridCol w:w="2069"/>
      </w:tblGrid>
      <w:tr w14:paraId="532893D7" w14:textId="77777777">
        <w:tblPrEx>
          <w:tblW w:w="15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1023"/>
          <w:jc w:val="center"/>
        </w:trPr>
        <w:tc>
          <w:tcPr>
            <w:tcW w:w="1134" w:type="dxa"/>
            <w:vMerge w:val="restart"/>
            <w:tcBorders>
              <w:top w:val="single" w:sz="4" w:space="0" w:color="auto"/>
              <w:left w:val="single" w:sz="4" w:space="0" w:color="auto"/>
              <w:bottom w:val="single" w:sz="4" w:space="0" w:color="auto"/>
              <w:right w:val="single" w:sz="4" w:space="0" w:color="auto"/>
            </w:tcBorders>
            <w:vAlign w:val="center"/>
          </w:tcPr>
          <w:p w:rsidR="00941868" w14:paraId="0B9428B9" w14:textId="77777777">
            <w:pPr>
              <w:wordWrap w:val="0"/>
              <w:spacing w:line="320" w:lineRule="exact"/>
              <w:jc w:val="center"/>
              <w:rPr>
                <w:bCs/>
                <w:sz w:val="24"/>
              </w:rPr>
            </w:pPr>
            <w:r>
              <w:rPr>
                <w:rFonts w:hint="eastAsia"/>
                <w:bCs/>
                <w:sz w:val="24"/>
              </w:rPr>
              <w:t>总体</w:t>
            </w:r>
          </w:p>
          <w:p w:rsidR="00941868" w14:paraId="4DEAF49B" w14:textId="77777777">
            <w:pPr>
              <w:wordWrap w:val="0"/>
              <w:spacing w:line="320" w:lineRule="exact"/>
              <w:jc w:val="center"/>
              <w:rPr>
                <w:bCs/>
                <w:sz w:val="24"/>
              </w:rPr>
            </w:pPr>
            <w:r>
              <w:rPr>
                <w:rFonts w:hint="eastAsia"/>
                <w:bCs/>
                <w:sz w:val="24"/>
              </w:rPr>
              <w:t>目标</w:t>
            </w:r>
          </w:p>
        </w:tc>
        <w:tc>
          <w:tcPr>
            <w:tcW w:w="7359" w:type="dxa"/>
            <w:gridSpan w:val="2"/>
            <w:tcBorders>
              <w:top w:val="single" w:sz="4" w:space="0" w:color="auto"/>
              <w:left w:val="single" w:sz="4" w:space="0" w:color="auto"/>
              <w:bottom w:val="single" w:sz="4" w:space="0" w:color="auto"/>
              <w:right w:val="single" w:sz="4" w:space="0" w:color="auto"/>
            </w:tcBorders>
            <w:vAlign w:val="center"/>
          </w:tcPr>
          <w:p w:rsidR="00941868" w14:paraId="49B6CF60" w14:textId="77777777">
            <w:pPr>
              <w:wordWrap w:val="0"/>
              <w:spacing w:line="240" w:lineRule="exact"/>
              <w:jc w:val="center"/>
              <w:rPr>
                <w:bCs/>
                <w:sz w:val="24"/>
              </w:rPr>
            </w:pPr>
            <w:r>
              <w:rPr>
                <w:rFonts w:hint="eastAsia"/>
                <w:bCs/>
                <w:sz w:val="24"/>
              </w:rPr>
              <w:t>实施</w:t>
            </w:r>
            <w:r>
              <w:rPr>
                <w:rFonts w:hint="eastAsia"/>
                <w:bCs/>
                <w:sz w:val="24"/>
              </w:rPr>
              <w:t>期目标</w:t>
            </w:r>
          </w:p>
        </w:tc>
        <w:tc>
          <w:tcPr>
            <w:tcW w:w="2280" w:type="dxa"/>
            <w:tcBorders>
              <w:top w:val="single" w:sz="4" w:space="0" w:color="auto"/>
              <w:left w:val="single" w:sz="4" w:space="0" w:color="auto"/>
              <w:bottom w:val="single" w:sz="4" w:space="0" w:color="auto"/>
              <w:right w:val="single" w:sz="4" w:space="0" w:color="auto"/>
            </w:tcBorders>
            <w:vAlign w:val="center"/>
          </w:tcPr>
          <w:p w:rsidR="00941868" w14:paraId="053E7364" w14:textId="77777777">
            <w:pPr>
              <w:wordWrap w:val="0"/>
              <w:spacing w:line="360" w:lineRule="exact"/>
              <w:jc w:val="center"/>
              <w:rPr>
                <w:bCs/>
                <w:sz w:val="24"/>
              </w:rPr>
            </w:pPr>
            <w:r>
              <w:rPr>
                <w:rFonts w:hint="eastAsia"/>
                <w:bCs/>
                <w:sz w:val="24"/>
              </w:rPr>
              <w:t>第一年度目标</w:t>
            </w:r>
          </w:p>
          <w:p w:rsidR="00941868" w14:paraId="47DD6AD1" w14:textId="77777777">
            <w:pPr>
              <w:wordWrap w:val="0"/>
              <w:spacing w:line="360" w:lineRule="exact"/>
              <w:jc w:val="center"/>
              <w:rPr>
                <w:bCs/>
                <w:sz w:val="24"/>
              </w:rPr>
            </w:pPr>
            <w:r>
              <w:rPr>
                <w:rFonts w:hint="eastAsia"/>
                <w:bCs/>
                <w:sz w:val="24"/>
              </w:rPr>
              <w:t>（当前年度</w:t>
            </w:r>
            <w:r>
              <w:rPr>
                <w:bCs/>
                <w:sz w:val="24"/>
              </w:rPr>
              <w:t>）</w:t>
            </w:r>
          </w:p>
        </w:tc>
        <w:tc>
          <w:tcPr>
            <w:tcW w:w="2184" w:type="dxa"/>
            <w:tcBorders>
              <w:top w:val="single" w:sz="4" w:space="0" w:color="auto"/>
              <w:left w:val="single" w:sz="4" w:space="0" w:color="auto"/>
              <w:bottom w:val="single" w:sz="4" w:space="0" w:color="auto"/>
              <w:right w:val="single" w:sz="4" w:space="0" w:color="auto"/>
            </w:tcBorders>
            <w:vAlign w:val="center"/>
          </w:tcPr>
          <w:p w:rsidR="00941868" w14:paraId="1457A334" w14:textId="77777777">
            <w:pPr>
              <w:wordWrap w:val="0"/>
              <w:spacing w:line="360" w:lineRule="exact"/>
              <w:jc w:val="center"/>
              <w:rPr>
                <w:bCs/>
                <w:sz w:val="24"/>
              </w:rPr>
            </w:pPr>
            <w:r>
              <w:rPr>
                <w:rFonts w:hint="eastAsia"/>
                <w:bCs/>
                <w:sz w:val="24"/>
              </w:rPr>
              <w:t>第二年度目标</w:t>
            </w:r>
          </w:p>
          <w:p w:rsidR="00941868" w14:paraId="011CBC1D" w14:textId="77777777">
            <w:pPr>
              <w:wordWrap w:val="0"/>
              <w:spacing w:line="360" w:lineRule="exact"/>
              <w:jc w:val="center"/>
              <w:rPr>
                <w:bCs/>
                <w:sz w:val="24"/>
              </w:rPr>
            </w:pPr>
            <w:r>
              <w:rPr>
                <w:rFonts w:hint="eastAsia"/>
                <w:bCs/>
                <w:sz w:val="24"/>
              </w:rPr>
              <w:t>（当前年度</w:t>
            </w:r>
            <w:r>
              <w:rPr>
                <w:bCs/>
                <w:sz w:val="24"/>
              </w:rPr>
              <w:t>）</w:t>
            </w:r>
          </w:p>
        </w:tc>
        <w:tc>
          <w:tcPr>
            <w:tcW w:w="2069" w:type="dxa"/>
            <w:tcBorders>
              <w:top w:val="single" w:sz="4" w:space="0" w:color="auto"/>
              <w:left w:val="single" w:sz="4" w:space="0" w:color="auto"/>
              <w:bottom w:val="single" w:sz="4" w:space="0" w:color="auto"/>
              <w:right w:val="single" w:sz="4" w:space="0" w:color="auto"/>
            </w:tcBorders>
            <w:vAlign w:val="center"/>
          </w:tcPr>
          <w:p w:rsidR="00941868" w14:paraId="46695D2E" w14:textId="77777777">
            <w:pPr>
              <w:wordWrap w:val="0"/>
              <w:spacing w:line="360" w:lineRule="exact"/>
              <w:jc w:val="center"/>
              <w:rPr>
                <w:bCs/>
                <w:sz w:val="24"/>
              </w:rPr>
            </w:pPr>
            <w:r>
              <w:rPr>
                <w:rFonts w:hint="eastAsia"/>
                <w:bCs/>
                <w:sz w:val="24"/>
              </w:rPr>
              <w:t>第三年度目标（当前年度</w:t>
            </w:r>
            <w:r>
              <w:rPr>
                <w:bCs/>
                <w:sz w:val="24"/>
              </w:rPr>
              <w:t>）</w:t>
            </w:r>
          </w:p>
        </w:tc>
      </w:tr>
      <w:tr w14:paraId="1F94EB1C" w14:textId="77777777">
        <w:tblPrEx>
          <w:tblW w:w="15026" w:type="dxa"/>
          <w:jc w:val="center"/>
          <w:tblLayout w:type="fixed"/>
          <w:tblLook w:val="04A0"/>
        </w:tblPrEx>
        <w:trPr>
          <w:trHeight w:val="76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941868" w14:paraId="56BC7426" w14:textId="77777777">
            <w:pPr>
              <w:wordWrap w:val="0"/>
              <w:rPr>
                <w:bCs/>
                <w:sz w:val="24"/>
              </w:rPr>
            </w:pPr>
          </w:p>
        </w:tc>
        <w:tc>
          <w:tcPr>
            <w:tcW w:w="7359" w:type="dxa"/>
            <w:gridSpan w:val="2"/>
            <w:tcBorders>
              <w:top w:val="single" w:sz="4" w:space="0" w:color="auto"/>
              <w:left w:val="single" w:sz="4" w:space="0" w:color="auto"/>
              <w:bottom w:val="single" w:sz="4" w:space="0" w:color="auto"/>
              <w:right w:val="single" w:sz="4" w:space="0" w:color="auto"/>
            </w:tcBorders>
            <w:vAlign w:val="center"/>
          </w:tcPr>
          <w:p w:rsidR="00941868" w14:paraId="16C0B5DE" w14:textId="77777777">
            <w:pPr>
              <w:wordWrap w:val="0"/>
              <w:spacing w:line="240" w:lineRule="exact"/>
              <w:rPr>
                <w:rFonts w:ascii="宋体" w:eastAsia="宋体" w:hAnsi="宋体" w:cs="宋体"/>
                <w:bCs/>
                <w:sz w:val="24"/>
              </w:rPr>
            </w:pPr>
            <w:r>
              <w:rPr>
                <w:rFonts w:ascii="宋体" w:eastAsia="宋体" w:hAnsi="宋体" w:cs="宋体"/>
                <w:bCs/>
                <w:sz w:val="24"/>
              </w:rPr>
              <w:t>本项目系统阐明TRIM13介导的内质网自噬在失血性休克诱导DC免疫功能障碍中的重要作用，明确调控TRIM13介导的内质网自噬以改善失血性休克后DC免疫功能障碍中的重要分子靶点及机制；进一步揭示TIPE2调控TRIM13介导内质网自噬在改善失血性休克后DC免疫功能紊乱中的重要作用，从而探寻改善失血性休克后树突状细胞免疫功能紊乱的有效调控靶点，明确TIPE2调控TRIM13介导的内质网自噬在改善失血性休克诱导树突状细胞免疫功能紊乱中的重要科学意义；丰富与深化失血性休克诱导树突状细胞免疫功能紊乱的新认识。</w:t>
            </w:r>
          </w:p>
        </w:tc>
        <w:tc>
          <w:tcPr>
            <w:tcW w:w="2280" w:type="dxa"/>
            <w:tcBorders>
              <w:top w:val="single" w:sz="4" w:space="0" w:color="auto"/>
              <w:left w:val="single" w:sz="4" w:space="0" w:color="auto"/>
              <w:bottom w:val="single" w:sz="4" w:space="0" w:color="auto"/>
              <w:right w:val="single" w:sz="4" w:space="0" w:color="auto"/>
            </w:tcBorders>
            <w:vAlign w:val="center"/>
          </w:tcPr>
          <w:p w:rsidR="00941868" w14:paraId="7A0DB3E0" w14:textId="77777777">
            <w:pPr>
              <w:wordWrap w:val="0"/>
              <w:spacing w:line="240" w:lineRule="exact"/>
              <w:rPr>
                <w:rFonts w:ascii="宋体" w:eastAsia="宋体" w:hAnsi="宋体" w:cs="宋体"/>
                <w:bCs/>
                <w:sz w:val="24"/>
              </w:rPr>
            </w:pPr>
            <w:r>
              <w:rPr>
                <w:rFonts w:ascii="宋体" w:eastAsia="宋体" w:hAnsi="宋体" w:cs="宋体"/>
                <w:bCs/>
                <w:sz w:val="24"/>
              </w:rPr>
              <w:t>从不同角度验证、体内、外实验分析失血性休克及休克肠淋巴液对小鼠DC内质网自噬水平的影响及与DC免疫功能变化的关联。</w:t>
            </w:r>
          </w:p>
        </w:tc>
        <w:tc>
          <w:tcPr>
            <w:tcW w:w="2184" w:type="dxa"/>
            <w:tcBorders>
              <w:top w:val="single" w:sz="4" w:space="0" w:color="auto"/>
              <w:left w:val="single" w:sz="4" w:space="0" w:color="auto"/>
              <w:bottom w:val="single" w:sz="4" w:space="0" w:color="auto"/>
              <w:right w:val="single" w:sz="4" w:space="0" w:color="auto"/>
            </w:tcBorders>
            <w:vAlign w:val="center"/>
          </w:tcPr>
          <w:p w:rsidR="00941868" w14:paraId="7ABA9B59" w14:textId="77777777">
            <w:pPr>
              <w:wordWrap w:val="0"/>
              <w:spacing w:line="240" w:lineRule="exact"/>
              <w:rPr>
                <w:rFonts w:ascii="宋体" w:eastAsia="宋体" w:hAnsi="宋体" w:cs="宋体"/>
                <w:bCs/>
                <w:sz w:val="24"/>
              </w:rPr>
            </w:pPr>
            <w:r>
              <w:rPr>
                <w:rFonts w:ascii="宋体" w:eastAsia="宋体" w:hAnsi="宋体" w:cs="宋体"/>
                <w:bCs/>
                <w:sz w:val="24"/>
              </w:rPr>
              <w:t>体内外实验验证、明确TIPE2调控TRIM13介导的内质网自噬在失血性休克后DC免疫功能中的重要作用。</w:t>
            </w:r>
          </w:p>
        </w:tc>
        <w:tc>
          <w:tcPr>
            <w:tcW w:w="2069" w:type="dxa"/>
            <w:tcBorders>
              <w:top w:val="single" w:sz="4" w:space="0" w:color="auto"/>
              <w:left w:val="single" w:sz="4" w:space="0" w:color="auto"/>
              <w:bottom w:val="single" w:sz="4" w:space="0" w:color="auto"/>
              <w:right w:val="single" w:sz="4" w:space="0" w:color="auto"/>
            </w:tcBorders>
            <w:vAlign w:val="center"/>
          </w:tcPr>
          <w:p w:rsidR="00941868" w14:paraId="63E692A7" w14:textId="77777777">
            <w:pPr>
              <w:wordWrap w:val="0"/>
              <w:spacing w:line="240" w:lineRule="exact"/>
              <w:rPr>
                <w:rFonts w:ascii="宋体" w:eastAsia="宋体" w:hAnsi="宋体" w:cs="宋体"/>
                <w:bCs/>
                <w:sz w:val="24"/>
              </w:rPr>
            </w:pPr>
            <w:r>
              <w:rPr>
                <w:rFonts w:ascii="宋体" w:eastAsia="宋体" w:hAnsi="宋体" w:cs="宋体"/>
                <w:bCs/>
                <w:sz w:val="24"/>
              </w:rPr>
              <w:t>体内、体外两个方面阐明TRIM13介导的内质网自噬在失血性休克诱导DC免疫功能障碍中的重要作用及与TIPE2表达的内在联系。</w:t>
            </w:r>
          </w:p>
        </w:tc>
      </w:tr>
      <w:tr w14:paraId="78A91E90" w14:textId="77777777">
        <w:tblPrEx>
          <w:tblW w:w="15026" w:type="dxa"/>
          <w:jc w:val="center"/>
          <w:tblLayout w:type="fixed"/>
          <w:tblLook w:val="04A0"/>
        </w:tblPrEx>
        <w:trPr>
          <w:trHeight w:hRule="exact" w:val="874"/>
          <w:jc w:val="center"/>
        </w:trPr>
        <w:tc>
          <w:tcPr>
            <w:tcW w:w="1134" w:type="dxa"/>
            <w:vMerge w:val="restart"/>
            <w:tcBorders>
              <w:top w:val="single" w:sz="4" w:space="0" w:color="auto"/>
              <w:left w:val="single" w:sz="4" w:space="0" w:color="auto"/>
              <w:bottom w:val="single" w:sz="4" w:space="0" w:color="auto"/>
              <w:right w:val="single" w:sz="4" w:space="0" w:color="auto"/>
            </w:tcBorders>
            <w:vAlign w:val="center"/>
          </w:tcPr>
          <w:p w:rsidR="00941868" w14:paraId="2F0C4DDD" w14:textId="77777777">
            <w:pPr>
              <w:wordWrap w:val="0"/>
              <w:spacing w:line="320" w:lineRule="exact"/>
              <w:jc w:val="center"/>
              <w:rPr>
                <w:bCs/>
                <w:sz w:val="24"/>
              </w:rPr>
            </w:pPr>
            <w:r>
              <w:rPr>
                <w:rFonts w:hint="eastAsia"/>
                <w:bCs/>
                <w:sz w:val="24"/>
              </w:rPr>
              <w:t>绩效</w:t>
            </w:r>
          </w:p>
          <w:p w:rsidR="00941868" w14:paraId="0613F613" w14:textId="77777777">
            <w:pPr>
              <w:wordWrap w:val="0"/>
              <w:spacing w:line="320" w:lineRule="exact"/>
              <w:jc w:val="center"/>
              <w:rPr>
                <w:bCs/>
                <w:sz w:val="24"/>
              </w:rPr>
            </w:pPr>
            <w:r>
              <w:rPr>
                <w:rFonts w:hint="eastAsia"/>
                <w:bCs/>
                <w:sz w:val="24"/>
              </w:rPr>
              <w:t>指标</w:t>
            </w:r>
          </w:p>
        </w:tc>
        <w:tc>
          <w:tcPr>
            <w:tcW w:w="4995" w:type="dxa"/>
            <w:tcBorders>
              <w:top w:val="single" w:sz="4" w:space="0" w:color="auto"/>
              <w:left w:val="single" w:sz="4" w:space="0" w:color="auto"/>
              <w:bottom w:val="single" w:sz="4" w:space="0" w:color="auto"/>
              <w:right w:val="single" w:sz="4" w:space="0" w:color="auto"/>
            </w:tcBorders>
            <w:vAlign w:val="center"/>
          </w:tcPr>
          <w:p w:rsidR="00941868" w14:paraId="46D3E1C3" w14:textId="77777777">
            <w:pPr>
              <w:wordWrap w:val="0"/>
              <w:spacing w:line="320" w:lineRule="exact"/>
              <w:jc w:val="center"/>
              <w:rPr>
                <w:bCs/>
                <w:sz w:val="24"/>
              </w:rPr>
            </w:pPr>
            <w:r>
              <w:rPr>
                <w:rFonts w:hint="eastAsia"/>
                <w:bCs/>
                <w:sz w:val="24"/>
              </w:rPr>
              <w:t>指标名称</w:t>
            </w:r>
          </w:p>
        </w:tc>
        <w:tc>
          <w:tcPr>
            <w:tcW w:w="2364" w:type="dxa"/>
            <w:tcBorders>
              <w:top w:val="single" w:sz="4" w:space="0" w:color="auto"/>
              <w:left w:val="single" w:sz="4" w:space="0" w:color="auto"/>
              <w:bottom w:val="single" w:sz="4" w:space="0" w:color="auto"/>
              <w:right w:val="single" w:sz="4" w:space="0" w:color="auto"/>
            </w:tcBorders>
            <w:vAlign w:val="center"/>
          </w:tcPr>
          <w:p w:rsidR="00941868" w14:paraId="4988CBC8" w14:textId="77777777">
            <w:pPr>
              <w:wordWrap w:val="0"/>
              <w:spacing w:line="320" w:lineRule="exact"/>
              <w:jc w:val="center"/>
              <w:rPr>
                <w:bCs/>
                <w:sz w:val="24"/>
              </w:rPr>
            </w:pPr>
            <w:r>
              <w:rPr>
                <w:rFonts w:hint="eastAsia"/>
                <w:bCs/>
                <w:sz w:val="24"/>
              </w:rPr>
              <w:t>指标值</w:t>
            </w:r>
          </w:p>
        </w:tc>
        <w:tc>
          <w:tcPr>
            <w:tcW w:w="2280" w:type="dxa"/>
            <w:tcBorders>
              <w:top w:val="single" w:sz="4" w:space="0" w:color="auto"/>
              <w:left w:val="single" w:sz="4" w:space="0" w:color="auto"/>
              <w:bottom w:val="single" w:sz="4" w:space="0" w:color="auto"/>
              <w:right w:val="single" w:sz="4" w:space="0" w:color="auto"/>
            </w:tcBorders>
            <w:vAlign w:val="center"/>
          </w:tcPr>
          <w:p w:rsidR="00941868" w14:paraId="1FFE9E9C" w14:textId="77777777">
            <w:pPr>
              <w:wordWrap w:val="0"/>
              <w:spacing w:line="240" w:lineRule="exact"/>
              <w:jc w:val="center"/>
              <w:rPr>
                <w:bCs/>
                <w:sz w:val="24"/>
              </w:rPr>
            </w:pPr>
          </w:p>
        </w:tc>
        <w:tc>
          <w:tcPr>
            <w:tcW w:w="2184" w:type="dxa"/>
            <w:tcBorders>
              <w:top w:val="single" w:sz="4" w:space="0" w:color="auto"/>
              <w:left w:val="single" w:sz="4" w:space="0" w:color="auto"/>
              <w:bottom w:val="single" w:sz="4" w:space="0" w:color="auto"/>
              <w:right w:val="single" w:sz="4" w:space="0" w:color="auto"/>
            </w:tcBorders>
            <w:vAlign w:val="center"/>
          </w:tcPr>
          <w:p w:rsidR="00941868" w14:paraId="0617902E" w14:textId="77777777">
            <w:pPr>
              <w:wordWrap w:val="0"/>
              <w:spacing w:line="240" w:lineRule="exact"/>
              <w:jc w:val="center"/>
              <w:rPr>
                <w:bCs/>
                <w:sz w:val="24"/>
              </w:rPr>
            </w:pPr>
          </w:p>
        </w:tc>
        <w:tc>
          <w:tcPr>
            <w:tcW w:w="2069" w:type="dxa"/>
            <w:tcBorders>
              <w:top w:val="single" w:sz="4" w:space="0" w:color="auto"/>
              <w:left w:val="single" w:sz="4" w:space="0" w:color="auto"/>
              <w:bottom w:val="single" w:sz="4" w:space="0" w:color="auto"/>
              <w:right w:val="single" w:sz="4" w:space="0" w:color="auto"/>
            </w:tcBorders>
            <w:vAlign w:val="center"/>
          </w:tcPr>
          <w:p w:rsidR="00941868" w14:paraId="5102EF74" w14:textId="77777777">
            <w:pPr>
              <w:wordWrap w:val="0"/>
              <w:spacing w:line="240" w:lineRule="exact"/>
              <w:jc w:val="center"/>
              <w:rPr>
                <w:bCs/>
                <w:sz w:val="24"/>
              </w:rPr>
            </w:pPr>
          </w:p>
        </w:tc>
      </w:tr>
      <w:tr w14:paraId="2976E2E4" w14:textId="77777777">
        <w:tblPrEx>
          <w:tblW w:w="15026" w:type="dxa"/>
          <w:jc w:val="center"/>
          <w:tblLayout w:type="fixed"/>
          <w:tblLook w:val="04A0"/>
        </w:tblPrEx>
        <w:trPr>
          <w:trHeight w:val="53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941868" w14:paraId="0B0669F6" w14:textId="77777777">
            <w:pPr>
              <w:wordWrap w:val="0"/>
              <w:rPr>
                <w:bCs/>
                <w:sz w:val="24"/>
              </w:rPr>
            </w:pPr>
          </w:p>
        </w:tc>
        <w:tc>
          <w:tcPr>
            <w:tcW w:w="4995" w:type="dxa"/>
            <w:tcBorders>
              <w:top w:val="single" w:sz="4" w:space="0" w:color="auto"/>
              <w:left w:val="single" w:sz="4" w:space="0" w:color="auto"/>
              <w:bottom w:val="single" w:sz="4" w:space="0" w:color="auto"/>
              <w:right w:val="single" w:sz="4" w:space="0" w:color="auto"/>
            </w:tcBorders>
            <w:vAlign w:val="center"/>
          </w:tcPr>
          <w:p w:rsidR="00941868" w14:paraId="101BA85C" w14:textId="77777777">
            <w:pPr>
              <w:wordWrap w:val="0"/>
              <w:spacing w:line="240" w:lineRule="exact"/>
              <w:rPr>
                <w:rFonts w:ascii="宋体" w:eastAsia="宋体" w:hAnsi="宋体" w:cs="宋体"/>
                <w:bCs/>
                <w:sz w:val="24"/>
              </w:rPr>
            </w:pPr>
            <w:r>
              <w:rPr>
                <w:rFonts w:ascii="宋体" w:eastAsia="宋体" w:hAnsi="宋体" w:cs="宋体"/>
                <w:bCs/>
                <w:sz w:val="24"/>
              </w:rPr>
              <w:t>培养研究生（人）</w:t>
            </w:r>
          </w:p>
        </w:tc>
        <w:tc>
          <w:tcPr>
            <w:tcW w:w="2364" w:type="dxa"/>
            <w:tcBorders>
              <w:top w:val="single" w:sz="4" w:space="0" w:color="auto"/>
              <w:left w:val="single" w:sz="4" w:space="0" w:color="auto"/>
              <w:bottom w:val="single" w:sz="4" w:space="0" w:color="auto"/>
              <w:right w:val="single" w:sz="4" w:space="0" w:color="auto"/>
            </w:tcBorders>
            <w:vAlign w:val="center"/>
          </w:tcPr>
          <w:p w:rsidR="00941868" w14:paraId="1016886C"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941868" w14:paraId="4B7C5726"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rsidR="00941868" w14:paraId="7C282451"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69" w:type="dxa"/>
            <w:tcBorders>
              <w:top w:val="single" w:sz="4" w:space="0" w:color="auto"/>
              <w:left w:val="single" w:sz="4" w:space="0" w:color="auto"/>
              <w:bottom w:val="single" w:sz="4" w:space="0" w:color="auto"/>
              <w:right w:val="single" w:sz="4" w:space="0" w:color="auto"/>
            </w:tcBorders>
            <w:vAlign w:val="center"/>
          </w:tcPr>
          <w:p w:rsidR="00941868" w14:paraId="2B063DA0"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2976E2E4" w14:textId="77777777">
        <w:tblPrEx>
          <w:tblW w:w="15026" w:type="dxa"/>
          <w:jc w:val="center"/>
          <w:tblLayout w:type="fixed"/>
          <w:tblLook w:val="04A0"/>
        </w:tblPrEx>
        <w:trPr>
          <w:trHeight w:val="53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941868" w14:textId="77777777">
            <w:pPr>
              <w:wordWrap w:val="0"/>
              <w:rPr>
                <w:bCs/>
                <w:sz w:val="24"/>
              </w:rPr>
            </w:pPr>
          </w:p>
        </w:tc>
        <w:tc>
          <w:tcPr>
            <w:tcW w:w="499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rPr>
                <w:rFonts w:ascii="宋体" w:eastAsia="宋体" w:hAnsi="宋体" w:cs="宋体"/>
                <w:bCs/>
                <w:sz w:val="24"/>
              </w:rPr>
            </w:pPr>
            <w:r>
              <w:rPr>
                <w:rFonts w:ascii="宋体" w:eastAsia="宋体" w:hAnsi="宋体" w:cs="宋体"/>
                <w:bCs/>
                <w:sz w:val="24"/>
              </w:rPr>
              <w:t>培养专业技术人员（人）</w:t>
            </w:r>
          </w:p>
        </w:tc>
        <w:tc>
          <w:tcPr>
            <w:tcW w:w="2364"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4"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6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2976E2E4" w14:textId="77777777">
        <w:tblPrEx>
          <w:tblW w:w="15026" w:type="dxa"/>
          <w:jc w:val="center"/>
          <w:tblLayout w:type="fixed"/>
          <w:tblLook w:val="04A0"/>
        </w:tblPrEx>
        <w:trPr>
          <w:trHeight w:val="53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941868" w14:textId="77777777">
            <w:pPr>
              <w:wordWrap w:val="0"/>
              <w:rPr>
                <w:bCs/>
                <w:sz w:val="24"/>
              </w:rPr>
            </w:pPr>
          </w:p>
        </w:tc>
        <w:tc>
          <w:tcPr>
            <w:tcW w:w="499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rPr>
                <w:rFonts w:ascii="宋体" w:eastAsia="宋体" w:hAnsi="宋体" w:cs="宋体"/>
                <w:bCs/>
                <w:sz w:val="24"/>
              </w:rPr>
            </w:pPr>
            <w:r>
              <w:rPr>
                <w:rFonts w:ascii="宋体" w:eastAsia="宋体" w:hAnsi="宋体" w:cs="宋体"/>
                <w:bCs/>
                <w:sz w:val="24"/>
              </w:rPr>
              <w:t>发表科技论文（篇）</w:t>
            </w:r>
          </w:p>
        </w:tc>
        <w:tc>
          <w:tcPr>
            <w:tcW w:w="2364"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6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2976E2E4" w14:textId="77777777">
        <w:tblPrEx>
          <w:tblW w:w="15026" w:type="dxa"/>
          <w:jc w:val="center"/>
          <w:tblLayout w:type="fixed"/>
          <w:tblLook w:val="04A0"/>
        </w:tblPrEx>
        <w:trPr>
          <w:trHeight w:val="53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941868" w14:textId="77777777">
            <w:pPr>
              <w:wordWrap w:val="0"/>
              <w:rPr>
                <w:bCs/>
                <w:sz w:val="24"/>
              </w:rPr>
            </w:pPr>
          </w:p>
        </w:tc>
        <w:tc>
          <w:tcPr>
            <w:tcW w:w="499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rPr>
                <w:rFonts w:ascii="宋体" w:eastAsia="宋体" w:hAnsi="宋体" w:cs="宋体"/>
                <w:bCs/>
                <w:sz w:val="24"/>
              </w:rPr>
            </w:pPr>
            <w:r>
              <w:rPr>
                <w:rFonts w:ascii="宋体" w:eastAsia="宋体" w:hAnsi="宋体" w:cs="宋体"/>
                <w:bCs/>
                <w:sz w:val="24"/>
              </w:rPr>
              <w:t>撰写科技报告、研究报告（篇）</w:t>
            </w:r>
          </w:p>
        </w:tc>
        <w:tc>
          <w:tcPr>
            <w:tcW w:w="2364"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06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2976E2E4" w14:textId="77777777">
        <w:tblPrEx>
          <w:tblW w:w="15026" w:type="dxa"/>
          <w:jc w:val="center"/>
          <w:tblLayout w:type="fixed"/>
          <w:tblLook w:val="04A0"/>
        </w:tblPrEx>
        <w:trPr>
          <w:trHeight w:val="53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941868" w14:textId="77777777">
            <w:pPr>
              <w:wordWrap w:val="0"/>
              <w:rPr>
                <w:bCs/>
                <w:sz w:val="24"/>
              </w:rPr>
            </w:pPr>
          </w:p>
        </w:tc>
        <w:tc>
          <w:tcPr>
            <w:tcW w:w="499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rPr>
                <w:rFonts w:ascii="宋体" w:eastAsia="宋体" w:hAnsi="宋体" w:cs="宋体"/>
                <w:bCs/>
                <w:sz w:val="24"/>
              </w:rPr>
            </w:pPr>
            <w:r>
              <w:rPr>
                <w:rFonts w:ascii="宋体" w:eastAsia="宋体" w:hAnsi="宋体" w:cs="宋体"/>
                <w:bCs/>
                <w:sz w:val="24"/>
              </w:rPr>
              <w:t>开展科学普及活动（场）</w:t>
            </w:r>
          </w:p>
        </w:tc>
        <w:tc>
          <w:tcPr>
            <w:tcW w:w="2364"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6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r>
    </w:tbl>
    <w:p w:rsidR="00941868" w14:paraId="21C48973" w14:textId="77777777">
      <w:pPr>
        <w:wordWrap w:val="0"/>
        <w:spacing w:line="100" w:lineRule="exact"/>
        <w:jc w:val="center"/>
        <w:rPr>
          <w:sz w:val="32"/>
          <w:szCs w:val="32"/>
        </w:rPr>
      </w:pPr>
      <w:bookmarkStart w:id="81" w:name="rlyczyfyf"/>
      <w:r>
        <w:rPr>
          <w:rFonts w:hint="eastAsia"/>
          <w:sz w:val="32"/>
          <w:szCs w:val="32"/>
        </w:rPr>
        <w:br w:type="page"/>
      </w:r>
      <w:bookmarkEnd w:id="81"/>
      <w:r>
        <w:rPr>
          <w:rFonts w:hint="eastAsia"/>
          <w:sz w:val="32"/>
          <w:szCs w:val="32"/>
        </w:rPr>
        <w:t xml:space="preserve"> </w:t>
      </w:r>
      <w:r>
        <w:rPr>
          <w:sz w:val="32"/>
          <w:szCs w:val="32"/>
        </w:rPr>
        <w:t xml:space="preserve">   </w:t>
      </w:r>
      <w:bookmarkStart w:id="82" w:name="rlyczy"/>
      <w:bookmarkEnd w:id="82"/>
      <w:r>
        <w:rPr>
          <w:sz w:val="32"/>
          <w:szCs w:val="32"/>
        </w:rPr>
        <w:t xml:space="preserve">  </w:t>
      </w:r>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83" w:name="yes"/>
      <w:r w:rsidRPr="00A37D73">
        <w:rPr>
          <w:rFonts w:ascii="Wingdings 2" w:hAnsi="Wingdings 2" w:eastAsiaTheme="minorEastAsia" w:cs="宋体"/>
          <w:b/>
          <w:color w:val="000000"/>
          <w:sz w:val="24"/>
          <w:szCs w:val="24"/>
        </w:rPr>
        <w:sym w:font="Wingdings 2" w:char="F0A3"/>
      </w:r>
      <w:bookmarkEnd w:id="83"/>
      <w:r w:rsidRPr="00A37D73">
        <w:rPr>
          <w:rFonts w:asciiTheme="minorEastAsia" w:eastAsiaTheme="minorEastAsia" w:hAnsiTheme="minorEastAsia" w:cs="宋体" w:hint="eastAsia"/>
          <w:b/>
          <w:kern w:val="2"/>
          <w:sz w:val="24"/>
          <w:szCs w:val="24"/>
        </w:rPr>
        <w:t xml:space="preserve">是   </w:t>
      </w:r>
      <w:bookmarkStart w:id="84" w:name="no"/>
      <w:r w:rsidRPr="00A37D73">
        <w:rPr>
          <w:rFonts w:ascii="Wingdings 2" w:eastAsia="Wingdings 2" w:hAnsi="Wingdings 2" w:cs="Wingdings 2" w:hint="eastAsia"/>
          <w:b/>
          <w:kern w:val="2"/>
          <w:sz w:val="24"/>
          <w:szCs w:val="24"/>
        </w:rPr>
        <w:t>R</w:t>
      </w:r>
      <w:bookmarkEnd w:id="84"/>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85" w:name="title_0"/>
      <w:bookmarkEnd w:id="85"/>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6" w:name="ycjx"/>
            <w:r w:rsidRPr="001716E5">
              <w:rPr>
                <w:rFonts w:ascii="Wingdings 2" w:hAnsi="Wingdings 2" w:eastAsiaTheme="minorEastAsia" w:cs="宋体"/>
                <w:color w:val="000000"/>
                <w:sz w:val="21"/>
                <w:szCs w:val="21"/>
              </w:rPr>
              <w:sym w:font="Wingdings 2" w:char="F0A3"/>
            </w:r>
            <w:bookmarkEnd w:id="86"/>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7" w:name="tqryzy"/>
            <w:r w:rsidRPr="001716E5">
              <w:rPr>
                <w:rFonts w:ascii="Wingdings 2" w:hAnsi="Wingdings 2" w:eastAsiaTheme="minorEastAsia" w:cs="宋体"/>
                <w:color w:val="000000"/>
                <w:sz w:val="21"/>
                <w:szCs w:val="21"/>
              </w:rPr>
              <w:sym w:font="Wingdings 2" w:char="F0A3"/>
            </w:r>
            <w:bookmarkEnd w:id="87"/>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8" w:name="gdrs"/>
            <w:r w:rsidRPr="001716E5">
              <w:rPr>
                <w:rFonts w:ascii="Wingdings 2" w:hAnsi="Wingdings 2" w:eastAsiaTheme="minorEastAsia" w:cs="宋体"/>
                <w:color w:val="000000"/>
                <w:sz w:val="21"/>
                <w:szCs w:val="21"/>
              </w:rPr>
              <w:sym w:font="Wingdings 2" w:char="F0A3"/>
            </w:r>
            <w:bookmarkEnd w:id="88"/>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9" w:name="hjb"/>
            <w:r w:rsidRPr="001716E5">
              <w:rPr>
                <w:rFonts w:ascii="Wingdings 2" w:hAnsi="Wingdings 2" w:eastAsiaTheme="minorEastAsia" w:cs="宋体"/>
                <w:color w:val="000000"/>
                <w:sz w:val="21"/>
                <w:szCs w:val="21"/>
              </w:rPr>
              <w:sym w:font="Wingdings 2" w:char="F0A3"/>
            </w:r>
            <w:bookmarkEnd w:id="89"/>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0" w:name="tsqt"/>
            <w:r w:rsidRPr="001716E5">
              <w:rPr>
                <w:rFonts w:ascii="Wingdings 2" w:hAnsi="Wingdings 2" w:eastAsiaTheme="minorEastAsia" w:cs="宋体"/>
                <w:color w:val="000000"/>
                <w:sz w:val="21"/>
                <w:szCs w:val="21"/>
              </w:rPr>
              <w:sym w:font="Wingdings 2" w:char="F0A3"/>
            </w:r>
            <w:bookmarkEnd w:id="90"/>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91" w:name="cjZl"/>
            <w:bookmarkEnd w:id="91"/>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92" w:name="cjSl"/>
            <w:bookmarkEnd w:id="92"/>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93" w:name="cjXmmc"/>
            <w:bookmarkEnd w:id="93"/>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94" w:name="cjdwmc"/>
            <w:bookmarkEnd w:id="94"/>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95" w:name="cjPzbasj"/>
            <w:bookmarkEnd w:id="95"/>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96" w:name="cjYczyjg"/>
            <w:bookmarkEnd w:id="96"/>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97" w:name="cjBz"/>
            <w:bookmarkEnd w:id="97"/>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8" w:name="bcDd"/>
            <w:bookmarkEnd w:id="9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9" w:name="bcSs"/>
            <w:bookmarkEnd w:id="9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100" w:name="bcPt"/>
            <w:bookmarkEnd w:id="10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101" w:name="bcZl"/>
            <w:bookmarkEnd w:id="10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102" w:name="bcSl"/>
            <w:bookmarkEnd w:id="102"/>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103" w:name="bcXmmc"/>
            <w:bookmarkEnd w:id="103"/>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104" w:name="bcDwmc"/>
            <w:bookmarkEnd w:id="104"/>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05" w:name="bcPzbasj"/>
            <w:bookmarkEnd w:id="105"/>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06" w:name="bcYczyjg"/>
            <w:bookmarkEnd w:id="106"/>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07" w:name="bcBz"/>
            <w:bookmarkEnd w:id="107"/>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8" w:name="kfhd2"/>
            <w:r w:rsidRPr="001716E5">
              <w:rPr>
                <w:rFonts w:ascii="Wingdings 2" w:hAnsi="Wingdings 2" w:eastAsiaTheme="minorEastAsia" w:cs="宋体"/>
                <w:color w:val="000000"/>
                <w:sz w:val="21"/>
                <w:szCs w:val="21"/>
              </w:rPr>
              <w:sym w:font="Wingdings 2" w:char="F0A3"/>
            </w:r>
            <w:bookmarkEnd w:id="108"/>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9" w:name="lcsy2"/>
            <w:r w:rsidRPr="001716E5">
              <w:rPr>
                <w:rFonts w:ascii="Wingdings 2" w:hAnsi="Wingdings 2" w:eastAsiaTheme="minorEastAsia" w:cs="宋体"/>
                <w:color w:val="000000"/>
                <w:sz w:val="21"/>
                <w:szCs w:val="21"/>
              </w:rPr>
              <w:sym w:font="Wingdings 2" w:char="F0A3"/>
            </w:r>
            <w:bookmarkEnd w:id="109"/>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0" w:name="lyZl"/>
            <w:bookmarkEnd w:id="11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1" w:name="lySl"/>
            <w:bookmarkEnd w:id="11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12" w:name="lyXmmc"/>
            <w:bookmarkEnd w:id="112"/>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13" w:name="lyDwmc"/>
            <w:bookmarkEnd w:id="113"/>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14" w:name="lyPzbasj"/>
            <w:bookmarkEnd w:id="114"/>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15" w:name="lyYczyjg"/>
            <w:bookmarkEnd w:id="115"/>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16" w:name="lyBz"/>
            <w:bookmarkEnd w:id="116"/>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7" w:name="kfhd1"/>
            <w:r w:rsidRPr="001716E5">
              <w:rPr>
                <w:rFonts w:ascii="Wingdings 2" w:hAnsi="Wingdings 2" w:eastAsiaTheme="minorEastAsia" w:cs="宋体"/>
                <w:color w:val="000000"/>
                <w:sz w:val="21"/>
                <w:szCs w:val="21"/>
              </w:rPr>
              <w:sym w:font="Wingdings 2" w:char="F0A3"/>
            </w:r>
            <w:bookmarkEnd w:id="117"/>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8" w:name="lcsy1"/>
            <w:r w:rsidRPr="001716E5">
              <w:rPr>
                <w:rFonts w:ascii="Wingdings 2" w:hAnsi="Wingdings 2" w:eastAsiaTheme="minorEastAsia" w:cs="宋体"/>
                <w:color w:val="000000"/>
                <w:sz w:val="21"/>
                <w:szCs w:val="21"/>
              </w:rPr>
              <w:sym w:font="Wingdings 2" w:char="F0A3"/>
            </w:r>
            <w:bookmarkEnd w:id="118"/>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9" w:name="gjhzxzxkZl"/>
            <w:bookmarkEnd w:id="11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0" w:name="gjhzxzxkSl"/>
            <w:bookmarkEnd w:id="12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21" w:name="gjhzxzxkXmmc"/>
            <w:bookmarkEnd w:id="121"/>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22" w:name="gjhzxzxkDwmc"/>
            <w:bookmarkEnd w:id="122"/>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23" w:name="gjhzxzxkPzbasj"/>
            <w:bookmarkEnd w:id="123"/>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24" w:name="gjhzxzxkYczyjg"/>
            <w:bookmarkEnd w:id="124"/>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25" w:name="gjhzxzxkBz"/>
            <w:bookmarkEnd w:id="125"/>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6" w:name="kfhd"/>
            <w:r w:rsidRPr="001716E5">
              <w:rPr>
                <w:rFonts w:ascii="Wingdings 2" w:hAnsi="Wingdings 2" w:eastAsiaTheme="minorEastAsia" w:cs="宋体"/>
                <w:color w:val="000000"/>
                <w:sz w:val="21"/>
                <w:szCs w:val="21"/>
              </w:rPr>
              <w:sym w:font="Wingdings 2" w:char="F0A3"/>
            </w:r>
            <w:bookmarkEnd w:id="126"/>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7" w:name="lcsy"/>
            <w:r w:rsidRPr="001716E5">
              <w:rPr>
                <w:rFonts w:ascii="Wingdings 2" w:hAnsi="Wingdings 2" w:eastAsiaTheme="minorEastAsia" w:cs="宋体"/>
                <w:color w:val="000000"/>
                <w:sz w:val="21"/>
                <w:szCs w:val="21"/>
              </w:rPr>
              <w:sym w:font="Wingdings 2" w:char="F0A3"/>
            </w:r>
            <w:bookmarkEnd w:id="127"/>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8" w:name="gjhzbaZl"/>
            <w:bookmarkEnd w:id="12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9" w:name="gjhzbaSl"/>
            <w:bookmarkEnd w:id="12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30" w:name="gjhzbaXmmc"/>
            <w:bookmarkEnd w:id="130"/>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31" w:name="gjhzbaDwmc"/>
            <w:bookmarkEnd w:id="131"/>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32" w:name="gjhzbaPzbasj"/>
            <w:bookmarkEnd w:id="132"/>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33" w:name="gjhzbaYczyjg"/>
            <w:bookmarkEnd w:id="133"/>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34" w:name="gjhzbaBz"/>
            <w:bookmarkEnd w:id="134"/>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35" w:name="chujHzf"/>
            <w:bookmarkEnd w:id="13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36" w:name="chujYt"/>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7" w:name="chujZl"/>
            <w:bookmarkEnd w:id="13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8" w:name="chujSl"/>
            <w:bookmarkEnd w:id="13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9" w:name="chujXmmc"/>
            <w:bookmarkEnd w:id="139"/>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40" w:name="chujDwmc"/>
            <w:bookmarkEnd w:id="140"/>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41" w:name="chujPzbasj"/>
            <w:bookmarkEnd w:id="141"/>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42" w:name="chujYczyjg"/>
            <w:bookmarkEnd w:id="142"/>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43" w:name="chujBz"/>
            <w:bookmarkEnd w:id="143"/>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44" w:name="xxsyWfdwmc"/>
            <w:bookmarkEnd w:id="14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45" w:name="xxsyYjmd"/>
            <w:bookmarkEnd w:id="14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46" w:name="xxsyLy"/>
            <w:bookmarkEnd w:id="14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7" w:name="xxsyZl"/>
            <w:bookmarkEnd w:id="14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8" w:name="xxsySl"/>
            <w:bookmarkEnd w:id="14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9" w:name="xxsyXmmc"/>
            <w:bookmarkEnd w:id="149"/>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50" w:name="xxsyDwmc"/>
            <w:bookmarkEnd w:id="150"/>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51" w:name="xxsyPzbasj"/>
            <w:bookmarkEnd w:id="151"/>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52" w:name="xxsyYczyjg"/>
            <w:bookmarkEnd w:id="152"/>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53" w:name="xxsyBz"/>
            <w:bookmarkEnd w:id="153"/>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sectPr>
          <w:headerReference w:type="even" r:id="rId31"/>
          <w:headerReference w:type="default" r:id="rId32"/>
          <w:footerReference w:type="even" r:id="rId33"/>
          <w:footerReference w:type="default" r:id="rId34"/>
          <w:headerReference w:type="first" r:id="rId35"/>
          <w:footerReference w:type="first" r:id="rId36"/>
          <w:pgSz w:w="16838" w:h="11906" w:orient="landscape"/>
          <w:pgMar w:top="1134" w:right="1134" w:bottom="1134" w:left="1134" w:header="851" w:footer="850" w:gutter="0"/>
          <w:cols w:space="425"/>
          <w:docGrid w:linePitch="381"/>
        </w:sect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p w:rsidR="00941868" w14:paraId="649493DB" w14:textId="77777777">
      <w:pPr>
        <w:wordWrap w:val="0"/>
        <w:spacing w:line="360" w:lineRule="auto"/>
        <w:jc w:val="center"/>
        <w:rPr>
          <w:b/>
          <w:szCs w:val="28"/>
        </w:rPr>
      </w:pPr>
      <w:r>
        <w:rPr>
          <w:rFonts w:hint="eastAsia"/>
          <w:b/>
          <w:szCs w:val="28"/>
        </w:rPr>
        <w:t>指南要求符合申报条件的附件信息</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4"/>
        <w:gridCol w:w="3119"/>
        <w:gridCol w:w="6100"/>
      </w:tblGrid>
      <w:tr w14:paraId="19FB70F1" w14:textId="77777777">
        <w:tblPrEx>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65"/>
          <w:jc w:val="center"/>
        </w:trPr>
        <w:tc>
          <w:tcPr>
            <w:tcW w:w="9923" w:type="dxa"/>
            <w:gridSpan w:val="3"/>
            <w:vAlign w:val="center"/>
          </w:tcPr>
          <w:p w:rsidR="00941868" w14:paraId="32F91DDD" w14:textId="77777777">
            <w:pPr>
              <w:wordWrap w:val="0"/>
              <w:jc w:val="left"/>
              <w:rPr>
                <w:sz w:val="24"/>
              </w:rPr>
            </w:pPr>
            <w:r>
              <w:rPr>
                <w:rFonts w:hint="eastAsia"/>
                <w:sz w:val="24"/>
              </w:rPr>
              <w:t>附件目录：</w:t>
            </w:r>
          </w:p>
        </w:tc>
      </w:tr>
      <w:tr w14:paraId="23E6E21F" w14:textId="77777777">
        <w:tblPrEx>
          <w:tblW w:w="9923" w:type="dxa"/>
          <w:jc w:val="center"/>
          <w:tblLayout w:type="fixed"/>
          <w:tblLook w:val="04A0"/>
        </w:tblPrEx>
        <w:trPr>
          <w:trHeight w:val="465"/>
          <w:jc w:val="center"/>
        </w:trPr>
        <w:tc>
          <w:tcPr>
            <w:tcW w:w="704" w:type="dxa"/>
            <w:vAlign w:val="center"/>
          </w:tcPr>
          <w:p w:rsidR="00941868" w14:paraId="5E28963B" w14:textId="77777777">
            <w:pPr>
              <w:wordWrap w:val="0"/>
              <w:jc w:val="center"/>
              <w:rPr>
                <w:sz w:val="24"/>
              </w:rPr>
            </w:pPr>
            <w:r>
              <w:rPr>
                <w:rFonts w:hint="eastAsia"/>
                <w:sz w:val="24"/>
              </w:rPr>
              <w:t>序号</w:t>
            </w:r>
          </w:p>
        </w:tc>
        <w:tc>
          <w:tcPr>
            <w:tcW w:w="3119" w:type="dxa"/>
            <w:vAlign w:val="center"/>
          </w:tcPr>
          <w:p w:rsidR="00941868" w14:paraId="5618369D" w14:textId="77777777">
            <w:pPr>
              <w:wordWrap w:val="0"/>
              <w:jc w:val="center"/>
              <w:rPr>
                <w:sz w:val="24"/>
              </w:rPr>
            </w:pPr>
            <w:r>
              <w:rPr>
                <w:rFonts w:hint="eastAsia"/>
                <w:sz w:val="24"/>
              </w:rPr>
              <w:t>附件类型</w:t>
            </w:r>
          </w:p>
        </w:tc>
        <w:tc>
          <w:tcPr>
            <w:tcW w:w="6100" w:type="dxa"/>
            <w:vAlign w:val="center"/>
          </w:tcPr>
          <w:p w:rsidR="00941868" w14:paraId="79F4156D" w14:textId="77777777">
            <w:pPr>
              <w:wordWrap w:val="0"/>
              <w:jc w:val="center"/>
              <w:rPr>
                <w:sz w:val="24"/>
              </w:rPr>
            </w:pPr>
            <w:r>
              <w:rPr>
                <w:rFonts w:hint="eastAsia"/>
                <w:sz w:val="24"/>
              </w:rPr>
              <w:t>附件名称</w:t>
            </w:r>
          </w:p>
        </w:tc>
      </w:tr>
      <w:tr w14:paraId="333A252A" w14:textId="77777777">
        <w:tblPrEx>
          <w:tblW w:w="9923" w:type="dxa"/>
          <w:jc w:val="center"/>
          <w:tblLayout w:type="fixed"/>
          <w:tblLook w:val="04A0"/>
        </w:tblPrEx>
        <w:trPr>
          <w:trHeight w:val="465"/>
          <w:jc w:val="center"/>
        </w:trPr>
        <w:tc>
          <w:tcPr>
            <w:tcW w:w="704" w:type="dxa"/>
            <w:vAlign w:val="center"/>
          </w:tcPr>
          <w:p w:rsidR="00941868" w14:paraId="6B7D8BE9" w14:textId="77777777">
            <w:pPr>
              <w:wordWrap w:val="0"/>
              <w:jc w:val="center"/>
              <w:rPr>
                <w:rFonts w:ascii="宋体" w:eastAsia="宋体" w:hAnsi="宋体" w:cs="宋体"/>
                <w:sz w:val="24"/>
              </w:rPr>
            </w:pPr>
            <w:r>
              <w:rPr>
                <w:rFonts w:ascii="宋体" w:eastAsia="宋体" w:hAnsi="宋体" w:cs="宋体"/>
                <w:sz w:val="24"/>
              </w:rPr>
              <w:t>1</w:t>
            </w:r>
          </w:p>
        </w:tc>
        <w:tc>
          <w:tcPr>
            <w:tcW w:w="3119" w:type="dxa"/>
            <w:vAlign w:val="center"/>
          </w:tcPr>
          <w:p w:rsidR="00941868" w14:paraId="4A6D62E1" w14:textId="77777777">
            <w:pPr>
              <w:wordWrap w:val="0"/>
              <w:jc w:val="left"/>
              <w:rPr>
                <w:rFonts w:ascii="宋体" w:eastAsia="宋体" w:hAnsi="宋体" w:cs="宋体"/>
                <w:sz w:val="24"/>
              </w:rPr>
            </w:pPr>
            <w:r>
              <w:rPr>
                <w:rFonts w:ascii="宋体" w:eastAsia="宋体" w:hAnsi="宋体" w:cs="宋体"/>
                <w:sz w:val="24"/>
              </w:rPr>
              <w:t>论文</w:t>
            </w:r>
          </w:p>
        </w:tc>
        <w:tc>
          <w:tcPr>
            <w:tcW w:w="6100" w:type="dxa"/>
            <w:vAlign w:val="center"/>
          </w:tcPr>
          <w:p w:rsidR="00941868" w14:paraId="617727AE" w14:textId="77777777">
            <w:pPr>
              <w:wordWrap w:val="0"/>
              <w:jc w:val="left"/>
              <w:rPr>
                <w:rFonts w:ascii="宋体" w:eastAsia="宋体" w:hAnsi="宋体" w:cs="宋体"/>
                <w:sz w:val="24"/>
              </w:rPr>
            </w:pPr>
            <w:r>
              <w:rPr>
                <w:rFonts w:ascii="宋体" w:eastAsia="宋体" w:hAnsi="宋体" w:cs="宋体"/>
                <w:sz w:val="24"/>
              </w:rPr>
              <w:t>用于申请项目的SCI论文</w:t>
            </w:r>
          </w:p>
        </w:tc>
        <w:bookmarkStart w:id="154" w:name="hzxyfyf"/>
        <w:bookmarkEnd w:id="154"/>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2</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收录检索证明报告</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SCI文章收录证明</w:t>
            </w:r>
          </w:p>
        </w:tc>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3</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伦理审查意见（证明）</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动物伦理审查表</w:t>
            </w:r>
          </w:p>
        </w:tc>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4</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代表性学术论文</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代表性学术论文1</w:t>
            </w:r>
          </w:p>
        </w:tc>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5</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代表性学术论文</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代表性学术论文2</w:t>
            </w:r>
          </w:p>
        </w:tc>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6</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代表性学术论文</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代表性学术论文3</w:t>
            </w:r>
          </w:p>
        </w:tc>
      </w:tr>
    </w:tbl>
    <w:p w:rsidR="00941868" w14:paraId="58B085C3" w14:textId="77777777">
      <w:pPr>
        <w:wordWrap w:val="0"/>
        <w:rPr>
          <w:sz w:val="10"/>
          <w:szCs w:val="10"/>
        </w:rPr>
      </w:pPr>
    </w:p>
    <w:p w:rsidR="00941868" w14:paraId="07086AF3" w14:textId="77777777">
      <w:pPr>
        <w:wordWrap w:val="0"/>
      </w:pPr>
    </w:p>
    <w:sectPr>
      <w:footerReference w:type="default" r:id="rId37"/>
      <w:pgSz w:w="11906" w:h="16838"/>
      <w:pgMar w:top="1134" w:right="1134" w:bottom="1134" w:left="1134" w:header="851" w:footer="850" w:gutter="0"/>
      <w:cols w:space="425"/>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1"/>
    <w:family w:val="roman"/>
    <w:pitch w:val="variable"/>
    <w:sig w:usb0="E0002EFF" w:usb1="C000785B" w:usb2="00000009" w:usb3="00000000" w:csb0="000001FF" w:csb1="00000000"/>
  </w:font>
  <w:font w:name="AGaramond">
    <w:altName w:val="宋体"/>
    <w:charset w:val="86"/>
    <w:family w:val="roman"/>
    <w:pitch w:val="default"/>
    <w:sig w:usb0="00000000" w:usb1="0000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楷体">
    <w:panose1 w:val="02010609060101010101"/>
    <w:charset w:val="86"/>
    <w:family w:val="modern"/>
    <w:pitch w:val="default"/>
    <w:sig w:usb0="800002BF" w:usb1="38CF7CFA" w:usb2="00000016" w:usb3="00000000" w:csb0="00040001" w:csb1="00000000"/>
  </w:font>
  <w:font w:name="Times New Roman Regular">
    <w:altName w:val="Times New Roman"/>
    <w:panose1 w:val="020B06040202020202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CIDFont + F3">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5443A8A4"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941868" w14:paraId="42A9840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7A096590"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rsidR="00941868" w14:paraId="558A363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25CFDC65"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3BA6F946"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941868" w14:paraId="0FB5D796"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2F64558B"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p w:rsidR="00941868" w14:paraId="37326F91"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33A23975" w14:textId="77777777">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29BF9CB6"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941868" w14:paraId="36EBB5A1"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238734FE"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rsidR="00941868" w14:paraId="1508ADF9"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46095613"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5071B6D1"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rsidR="00941868" w14:paraId="357F40C6"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77A8CAC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6FCC556C" w14:textId="77777777">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261A13B1"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60403588"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6C946A9B" w14:textId="77777777">
    <w:pPr>
      <w:pStyle w:val="Header"/>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7AE433C1" w14:textId="77777777">
    <w:pPr>
      <w:pStyle w:val="Header"/>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4988A627"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32D3BF1A" w14:textId="77777777">
    <w:pPr>
      <w:pStyle w:val="Header"/>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668D578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72FCC7D"/>
    <w:multiLevelType w:val="singleLevel"/>
    <w:tmpl w:val="872FCC7D"/>
    <w:lvl w:ilvl="0">
      <w:start w:val="1"/>
      <w:numFmt w:val="decimal"/>
      <w:suff w:val="space"/>
      <w:lvlText w:val="(%1)"/>
      <w:lvlJc w:val="left"/>
    </w:lvl>
  </w:abstractNum>
  <w:abstractNum w:abstractNumId="1">
    <w:nsid w:val="8D2FD4A4"/>
    <w:multiLevelType w:val="singleLevel"/>
    <w:tmpl w:val="8D2FD4A4"/>
    <w:lvl w:ilvl="0">
      <w:start w:val="1"/>
      <w:numFmt w:val="decimal"/>
      <w:suff w:val="space"/>
      <w:lvlText w:val="(%1)"/>
      <w:lvlJc w:val="left"/>
    </w:lvl>
  </w:abstractNum>
  <w:abstractNum w:abstractNumId="2">
    <w:nsid w:val="B255ACEE"/>
    <w:multiLevelType w:val="singleLevel"/>
    <w:tmpl w:val="B255ACEE"/>
    <w:lvl w:ilvl="0">
      <w:start w:val="1"/>
      <w:numFmt w:val="decimal"/>
      <w:suff w:val="space"/>
      <w:lvlText w:val="(%1)"/>
      <w:lvlJc w:val="left"/>
    </w:lvl>
  </w:abstractNum>
  <w:abstractNum w:abstractNumId="3">
    <w:nsid w:val="E15AB1DF"/>
    <w:multiLevelType w:val="singleLevel"/>
    <w:tmpl w:val="E15AB1DF"/>
    <w:lvl w:ilvl="0">
      <w:start w:val="1"/>
      <w:numFmt w:val="decimal"/>
      <w:suff w:val="space"/>
      <w:lvlText w:val="(%1)"/>
      <w:lvlJc w:val="left"/>
    </w:lvl>
  </w:abstractNum>
  <w:abstractNum w:abstractNumId="4">
    <w:nsid w:val="194F2ACF"/>
    <w:multiLevelType w:val="singleLevel"/>
    <w:tmpl w:val="194F2ACF"/>
    <w:lvl w:ilvl="0">
      <w:start w:val="1"/>
      <w:numFmt w:val="decimal"/>
      <w:suff w:val="space"/>
      <w:lvlText w:val="%1."/>
      <w:lvlJc w:val="left"/>
    </w:lvl>
  </w:abstractNum>
  <w:abstractNum w:abstractNumId="5">
    <w:nsid w:val="3486908D"/>
    <w:multiLevelType w:val="singleLevel"/>
    <w:tmpl w:val="3486908D"/>
    <w:lvl w:ilvl="0">
      <w:start w:val="1"/>
      <w:numFmt w:val="decimal"/>
      <w:suff w:val="space"/>
      <w:lvlText w:val="(%1)"/>
      <w:lvlJc w:val="left"/>
    </w:lvl>
  </w:abstractNum>
  <w:abstractNum w:abstractNumId="6">
    <w:nsid w:val="4AF5A0B8"/>
    <w:multiLevelType w:val="singleLevel"/>
    <w:tmpl w:val="4AF5A0B8"/>
    <w:lvl w:ilvl="0">
      <w:start w:val="1"/>
      <w:numFmt w:val="decimal"/>
      <w:suff w:val="space"/>
      <w:lvlText w:val="[%1]"/>
      <w:lvlJc w:val="left"/>
    </w:lvl>
  </w:abstractNum>
  <w:num w:numId="1">
    <w:abstractNumId w:val="6"/>
  </w:num>
  <w:num w:numId="2">
    <w:abstractNumId w:val="3"/>
  </w:num>
  <w:num w:numId="3">
    <w:abstractNumId w:val="0"/>
  </w:num>
  <w:num w:numId="4">
    <w:abstractNumId w:val="1"/>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grammar="clean"/>
  <w:defaultTabStop w:val="420"/>
  <w:drawingGridHorizontalSpacing w:val="140"/>
  <w:drawingGridVerticalSpacing w:val="381"/>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0ED"/>
    <w:rsid w:val="000060DF"/>
    <w:rsid w:val="00013A35"/>
    <w:rsid w:val="000666FC"/>
    <w:rsid w:val="00067F0B"/>
    <w:rsid w:val="00083C65"/>
    <w:rsid w:val="000C12D0"/>
    <w:rsid w:val="000F266E"/>
    <w:rsid w:val="000F5D5E"/>
    <w:rsid w:val="001202A7"/>
    <w:rsid w:val="001512C3"/>
    <w:rsid w:val="00152FC8"/>
    <w:rsid w:val="00162E08"/>
    <w:rsid w:val="00167904"/>
    <w:rsid w:val="001716E5"/>
    <w:rsid w:val="001D59AC"/>
    <w:rsid w:val="001E4682"/>
    <w:rsid w:val="002048E8"/>
    <w:rsid w:val="00257A99"/>
    <w:rsid w:val="00260E17"/>
    <w:rsid w:val="00270917"/>
    <w:rsid w:val="00283AE0"/>
    <w:rsid w:val="002855DE"/>
    <w:rsid w:val="002D68AD"/>
    <w:rsid w:val="002E6199"/>
    <w:rsid w:val="003756B6"/>
    <w:rsid w:val="0038089F"/>
    <w:rsid w:val="0038349C"/>
    <w:rsid w:val="003859F7"/>
    <w:rsid w:val="003A3630"/>
    <w:rsid w:val="003B20ED"/>
    <w:rsid w:val="003B259E"/>
    <w:rsid w:val="003B7585"/>
    <w:rsid w:val="003C1F16"/>
    <w:rsid w:val="003D2B2A"/>
    <w:rsid w:val="003E5BC2"/>
    <w:rsid w:val="004110E6"/>
    <w:rsid w:val="004358AB"/>
    <w:rsid w:val="0045258A"/>
    <w:rsid w:val="004C0C90"/>
    <w:rsid w:val="004C7479"/>
    <w:rsid w:val="004D3DED"/>
    <w:rsid w:val="004F2F9C"/>
    <w:rsid w:val="00501161"/>
    <w:rsid w:val="005122FE"/>
    <w:rsid w:val="005416C1"/>
    <w:rsid w:val="005511BD"/>
    <w:rsid w:val="005712FA"/>
    <w:rsid w:val="005737B8"/>
    <w:rsid w:val="005D673C"/>
    <w:rsid w:val="005E533D"/>
    <w:rsid w:val="006423CF"/>
    <w:rsid w:val="00694CA6"/>
    <w:rsid w:val="006C1DEC"/>
    <w:rsid w:val="006E2546"/>
    <w:rsid w:val="006E43F8"/>
    <w:rsid w:val="006E4890"/>
    <w:rsid w:val="006F2C7C"/>
    <w:rsid w:val="00700D24"/>
    <w:rsid w:val="00701160"/>
    <w:rsid w:val="0074245E"/>
    <w:rsid w:val="007508DD"/>
    <w:rsid w:val="00767C6C"/>
    <w:rsid w:val="007704D4"/>
    <w:rsid w:val="007741FE"/>
    <w:rsid w:val="00776FE9"/>
    <w:rsid w:val="007A02A9"/>
    <w:rsid w:val="007A47FA"/>
    <w:rsid w:val="007A78EC"/>
    <w:rsid w:val="007C06BC"/>
    <w:rsid w:val="00813CCF"/>
    <w:rsid w:val="008360E4"/>
    <w:rsid w:val="008509EF"/>
    <w:rsid w:val="008524CD"/>
    <w:rsid w:val="008C2CC2"/>
    <w:rsid w:val="008D1869"/>
    <w:rsid w:val="008D67DC"/>
    <w:rsid w:val="008E4AF4"/>
    <w:rsid w:val="008F0186"/>
    <w:rsid w:val="00941868"/>
    <w:rsid w:val="009467A4"/>
    <w:rsid w:val="0095464A"/>
    <w:rsid w:val="00956C44"/>
    <w:rsid w:val="00964900"/>
    <w:rsid w:val="009848BE"/>
    <w:rsid w:val="0099391F"/>
    <w:rsid w:val="00997463"/>
    <w:rsid w:val="009A35C3"/>
    <w:rsid w:val="009A48BF"/>
    <w:rsid w:val="009F0902"/>
    <w:rsid w:val="00A01EE2"/>
    <w:rsid w:val="00A11D27"/>
    <w:rsid w:val="00A37D73"/>
    <w:rsid w:val="00A77B69"/>
    <w:rsid w:val="00A92D5C"/>
    <w:rsid w:val="00A95278"/>
    <w:rsid w:val="00AA3110"/>
    <w:rsid w:val="00B2000D"/>
    <w:rsid w:val="00B248DD"/>
    <w:rsid w:val="00B67221"/>
    <w:rsid w:val="00B8794E"/>
    <w:rsid w:val="00BA1B4F"/>
    <w:rsid w:val="00BA28CF"/>
    <w:rsid w:val="00BA4AC1"/>
    <w:rsid w:val="00BB021D"/>
    <w:rsid w:val="00BE6913"/>
    <w:rsid w:val="00C51F60"/>
    <w:rsid w:val="00C563ED"/>
    <w:rsid w:val="00C80C77"/>
    <w:rsid w:val="00C96B00"/>
    <w:rsid w:val="00CA3D16"/>
    <w:rsid w:val="00CA49A8"/>
    <w:rsid w:val="00CC6FCA"/>
    <w:rsid w:val="00CD05C4"/>
    <w:rsid w:val="00CD641E"/>
    <w:rsid w:val="00D1048D"/>
    <w:rsid w:val="00D444B8"/>
    <w:rsid w:val="00D82B1A"/>
    <w:rsid w:val="00D85157"/>
    <w:rsid w:val="00D85863"/>
    <w:rsid w:val="00D97F23"/>
    <w:rsid w:val="00DA2F5A"/>
    <w:rsid w:val="00DA484D"/>
    <w:rsid w:val="00DB2826"/>
    <w:rsid w:val="00DC00FE"/>
    <w:rsid w:val="00DE24E7"/>
    <w:rsid w:val="00DE6D30"/>
    <w:rsid w:val="00DF1BF3"/>
    <w:rsid w:val="00DF3BE0"/>
    <w:rsid w:val="00E26A63"/>
    <w:rsid w:val="00E30302"/>
    <w:rsid w:val="00E341FE"/>
    <w:rsid w:val="00E351BD"/>
    <w:rsid w:val="00E8133D"/>
    <w:rsid w:val="00E846F1"/>
    <w:rsid w:val="00E90324"/>
    <w:rsid w:val="00E942B8"/>
    <w:rsid w:val="00E963F0"/>
    <w:rsid w:val="00EC31E8"/>
    <w:rsid w:val="00F14226"/>
    <w:rsid w:val="00F20748"/>
    <w:rsid w:val="00F74F2B"/>
    <w:rsid w:val="00F84148"/>
    <w:rsid w:val="00F90497"/>
    <w:rsid w:val="00FA3185"/>
    <w:rsid w:val="00FC166E"/>
    <w:rsid w:val="00FC631C"/>
    <w:rsid w:val="00FC6491"/>
    <w:rsid w:val="00FF4BDD"/>
    <w:rsid w:val="00FF5CA2"/>
    <w:rsid w:val="12BE7C32"/>
    <w:rsid w:val="73300AE9"/>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15:docId w15:val="{9CFD088D-19ED-4E98-BB48-20164540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imes New Roman" w:eastAsia="宋体" w:hAnsi="Times New Roman" w:cs="Times New Roman"/>
      <w:kern w:val="2"/>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a1"/>
    <w:semiHidden/>
    <w:qFormat/>
    <w:pPr>
      <w:spacing w:after="120"/>
    </w:p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spacing w:before="100" w:beforeAutospacing="1" w:after="100" w:afterAutospacing="1"/>
      <w:jc w:val="left"/>
    </w:pPr>
    <w:rPr>
      <w:kern w:val="0"/>
      <w:sz w:val="24"/>
      <w:szCs w:val="20"/>
    </w:rPr>
  </w:style>
  <w:style w:type="character" w:styleId="PageNumber">
    <w:name w:val="page number"/>
    <w:basedOn w:val="DefaultParagraphFont"/>
    <w:semiHidden/>
    <w:qFormat/>
  </w:style>
  <w:style w:type="character" w:customStyle="1" w:styleId="a">
    <w:name w:val="页眉 字符"/>
    <w:basedOn w:val="DefaultParagraphFont"/>
    <w:link w:val="Header"/>
    <w:uiPriority w:val="99"/>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正文文本 字符"/>
    <w:basedOn w:val="DefaultParagraphFont"/>
    <w:link w:val="BodyText"/>
    <w:semiHidden/>
    <w:qFormat/>
    <w:rPr>
      <w:rFonts w:ascii="Times New Roman" w:eastAsia="宋体" w:hAnsi="Times New Roman" w:cs="Times New Roman"/>
      <w:sz w:val="28"/>
      <w:szCs w:val="24"/>
    </w:rPr>
  </w:style>
  <w:style w:type="character" w:customStyle="1" w:styleId="fontstyle01">
    <w:name w:val="fontstyle01"/>
    <w:qFormat/>
    <w:rPr>
      <w:rFonts w:ascii="宋体" w:eastAsia="宋体" w:hAnsi="宋体" w:hint="eastAsia"/>
      <w:color w:val="000000"/>
      <w:sz w:val="24"/>
      <w:szCs w:val="24"/>
    </w:rPr>
  </w:style>
  <w:style w:type="paragraph" w:customStyle="1" w:styleId="Default">
    <w:name w:val="Default"/>
    <w:unhideWhenUsed/>
    <w:qFormat/>
    <w:pPr>
      <w:widowControl w:val="0"/>
      <w:autoSpaceDE w:val="0"/>
      <w:autoSpaceDN w:val="0"/>
      <w:adjustRightInd w:val="0"/>
    </w:pPr>
    <w:rPr>
      <w:rFonts w:ascii="AGaramond" w:eastAsia="AGaramond" w:hAnsi="AGaramond" w:cs="Times New Roman" w:hint="eastAsia"/>
      <w:color w:val="000000"/>
      <w:sz w:val="24"/>
    </w:rPr>
  </w:style>
  <w:style w:type="paragraph" w:styleId="ListParagraph">
    <w:name w:val="List Paragraph"/>
    <w:basedOn w:val="Normal"/>
    <w:uiPriority w:val="99"/>
    <w:qFormat/>
    <w:pPr>
      <w:ind w:firstLine="420" w:firstLineChars="200"/>
    </w:pPr>
    <w:rPr>
      <w:szCs w:val="28"/>
    </w:rPr>
  </w:style>
  <w:style w:type="paragraph" w:customStyle="1" w:styleId="NormalWeb0">
    <w:name w:val="Normal (Web)_0"/>
    <w:basedOn w:val="Normal"/>
    <w:uiPriority w:val="99"/>
    <w:semiHidden/>
    <w:unhideWhenUsed/>
    <w:qFormat/>
    <w:pPr>
      <w:spacing w:beforeAutospacing="1" w:afterAutospacing="1"/>
      <w:jc w:val="left"/>
    </w:pPr>
    <w:rPr>
      <w:kern w:val="0"/>
      <w:sz w:val="24"/>
      <w:szCs w:val="28"/>
      <w:lang w:bidi="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jpeg" /><Relationship Id="rId11" Type="http://schemas.openxmlformats.org/officeDocument/2006/relationships/image" Target="media/image7.jpeg" /><Relationship Id="rId12" Type="http://schemas.openxmlformats.org/officeDocument/2006/relationships/image" Target="media/image8.jpeg" /><Relationship Id="rId13" Type="http://schemas.openxmlformats.org/officeDocument/2006/relationships/image" Target="media/image9.png" /><Relationship Id="rId14" Type="http://schemas.openxmlformats.org/officeDocument/2006/relationships/image" Target="media/image10.jpe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header" Target="header2.xml"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header" Target="header3.xml" /><Relationship Id="rId24" Type="http://schemas.openxmlformats.org/officeDocument/2006/relationships/footer" Target="footer3.xml" /><Relationship Id="rId25" Type="http://schemas.openxmlformats.org/officeDocument/2006/relationships/header" Target="header4.xml" /><Relationship Id="rId26" Type="http://schemas.openxmlformats.org/officeDocument/2006/relationships/header" Target="header5.xml" /><Relationship Id="rId27" Type="http://schemas.openxmlformats.org/officeDocument/2006/relationships/footer" Target="footer4.xml" /><Relationship Id="rId28" Type="http://schemas.openxmlformats.org/officeDocument/2006/relationships/footer" Target="footer5.xml" /><Relationship Id="rId29" Type="http://schemas.openxmlformats.org/officeDocument/2006/relationships/header" Target="header6.xml" /><Relationship Id="rId3" Type="http://schemas.openxmlformats.org/officeDocument/2006/relationships/fontTable" Target="fontTable.xml" /><Relationship Id="rId30" Type="http://schemas.openxmlformats.org/officeDocument/2006/relationships/footer" Target="footer6.xml" /><Relationship Id="rId31" Type="http://schemas.openxmlformats.org/officeDocument/2006/relationships/header" Target="header7.xml" /><Relationship Id="rId32" Type="http://schemas.openxmlformats.org/officeDocument/2006/relationships/header" Target="header8.xml" /><Relationship Id="rId33" Type="http://schemas.openxmlformats.org/officeDocument/2006/relationships/footer" Target="footer7.xml" /><Relationship Id="rId34" Type="http://schemas.openxmlformats.org/officeDocument/2006/relationships/footer" Target="footer8.xml" /><Relationship Id="rId35" Type="http://schemas.openxmlformats.org/officeDocument/2006/relationships/header" Target="header9.xml" /><Relationship Id="rId36" Type="http://schemas.openxmlformats.org/officeDocument/2006/relationships/footer" Target="footer9.xml" /><Relationship Id="rId37" Type="http://schemas.openxmlformats.org/officeDocument/2006/relationships/footer" Target="footer10.xml" /><Relationship Id="rId38" Type="http://schemas.openxmlformats.org/officeDocument/2006/relationships/theme" Target="theme/theme1.xml" /><Relationship Id="rId39" Type="http://schemas.openxmlformats.org/officeDocument/2006/relationships/numbering" Target="numbering.xml" /><Relationship Id="rId4" Type="http://schemas.openxmlformats.org/officeDocument/2006/relationships/image" Target="media/image1.png" /><Relationship Id="rId40"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yperlink" Target="https://pubmed.ncbi.nlm.nih.gov/38429475/" TargetMode="External" /><Relationship Id="rId8" Type="http://schemas.openxmlformats.org/officeDocument/2006/relationships/image" Target="media/image4.jpeg" /><Relationship Id="rId9" Type="http://schemas.openxmlformats.org/officeDocument/2006/relationships/image" Target="media/image5.jpe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冯彦斐</cp:lastModifiedBy>
  <cp:revision>87</cp:revision>
  <dcterms:created xsi:type="dcterms:W3CDTF">2020-02-17T03:25:00Z</dcterms:created>
  <dcterms:modified xsi:type="dcterms:W3CDTF">2025-03-22T00:58:00Z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3858AA66935A4EA688064D49A591BD1A_12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