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139A95DE">
      <w:pPr>
        <w:wordWrap w:val="0"/>
        <w:jc w:val="left"/>
        <w:rPr>
          <w:szCs w:val="28"/>
        </w:rPr>
      </w:pPr>
      <w:bookmarkStart w:id="0" w:name="_GoBack"/>
      <w:bookmarkEnd w:id="0"/>
    </w:p>
    <w:p w14:paraId="2C741F92">
      <w:pPr>
        <w:wordWrap w:val="0"/>
        <w:jc w:val="right"/>
        <w:rPr>
          <w:sz w:val="24"/>
        </w:rPr>
      </w:pPr>
    </w:p>
    <w:p w14:paraId="7DEBE72C">
      <w:pPr>
        <w:wordWrap w:val="0"/>
        <w:jc w:val="right"/>
        <w:rPr>
          <w:sz w:val="24"/>
        </w:rPr>
      </w:pPr>
    </w:p>
    <w:p w14:paraId="5E107998">
      <w:pPr>
        <w:wordWrap w:val="0"/>
        <w:jc w:val="right"/>
        <w:rPr>
          <w:sz w:val="24"/>
        </w:rPr>
      </w:pPr>
    </w:p>
    <w:p w14:paraId="3915AABD">
      <w:pPr>
        <w:wordWrap w:val="0"/>
        <w:jc w:val="center"/>
        <w:rPr>
          <w:b/>
          <w:bCs/>
          <w:sz w:val="48"/>
        </w:rPr>
      </w:pPr>
    </w:p>
    <w:p w14:paraId="0F43EB6E">
      <w:pPr>
        <w:wordWrap w:val="0"/>
        <w:jc w:val="center"/>
        <w:rPr>
          <w:rFonts w:ascii="宋体" w:eastAsia="宋体" w:hAnsi="宋体" w:cs="宋体"/>
          <w:b/>
          <w:bCs/>
          <w:sz w:val="48"/>
        </w:rPr>
      </w:pPr>
      <w:bookmarkStart w:id="1" w:name="title"/>
      <w:r>
        <w:rPr>
          <w:rFonts w:ascii="宋体" w:eastAsia="宋体" w:hAnsi="宋体" w:cs="宋体"/>
          <w:b/>
          <w:bCs/>
          <w:sz w:val="48"/>
        </w:rPr>
        <w:t>河北省自然科学基金申报书</w:t>
      </w:r>
      <w:bookmarkEnd w:id="1"/>
    </w:p>
    <w:p w14:paraId="3BAB9B7A">
      <w:pPr>
        <w:wordWrap w:val="0"/>
        <w:jc w:val="center"/>
      </w:pPr>
    </w:p>
    <w:p w14:paraId="417859DB">
      <w:pPr>
        <w:wordWrap w:val="0"/>
        <w:ind w:left="560" w:leftChars="200"/>
      </w:pPr>
    </w:p>
    <w:tbl>
      <w:tblPr>
        <w:tblStyle w:val="TableNormal"/>
        <w:tblW w:w="9072" w:type="dxa"/>
        <w:jc w:val="center"/>
        <w:tblCellMar>
          <w:top w:w="0" w:type="dxa"/>
          <w:left w:w="108" w:type="dxa"/>
          <w:bottom w:w="0" w:type="dxa"/>
          <w:right w:w="108" w:type="dxa"/>
        </w:tblCellMar>
      </w:tblPr>
      <w:tblGrid>
        <w:gridCol w:w="1724"/>
        <w:gridCol w:w="7348"/>
      </w:tblGrid>
      <w:tr w14:paraId="65050A57">
        <w:tblPrEx>
          <w:tblW w:w="9072" w:type="dxa"/>
          <w:jc w:val="center"/>
          <w:tblCellMar>
            <w:top w:w="0" w:type="dxa"/>
            <w:left w:w="108" w:type="dxa"/>
            <w:bottom w:w="0" w:type="dxa"/>
            <w:right w:w="108" w:type="dxa"/>
          </w:tblCellMar>
        </w:tblPrEx>
        <w:trPr>
          <w:trHeight w:val="680"/>
          <w:jc w:val="center"/>
        </w:trPr>
        <w:tc>
          <w:tcPr>
            <w:tcW w:w="1724" w:type="dxa"/>
            <w:vAlign w:val="center"/>
          </w:tcPr>
          <w:p w14:paraId="411C0BC9">
            <w:pPr>
              <w:wordWrap w:val="0"/>
            </w:pPr>
            <w:r>
              <w:rPr>
                <w:rFonts w:hint="eastAsia"/>
              </w:rPr>
              <w:t>专项名称：</w:t>
            </w:r>
          </w:p>
        </w:tc>
        <w:tc>
          <w:tcPr>
            <w:tcW w:w="7348" w:type="dxa"/>
            <w:vAlign w:val="center"/>
          </w:tcPr>
          <w:p w14:paraId="6BFD0711">
            <w:pPr>
              <w:wordWrap w:val="0"/>
              <w:rPr>
                <w:rFonts w:ascii="宋体" w:eastAsia="宋体" w:hAnsi="宋体" w:cs="宋体"/>
              </w:rPr>
            </w:pPr>
            <w:bookmarkStart w:id="2" w:name="zxmc"/>
            <w:r>
              <w:rPr>
                <w:rFonts w:ascii="宋体" w:eastAsia="宋体" w:hAnsi="宋体" w:cs="宋体"/>
              </w:rPr>
              <w:t>基础研究专项（自然科学基金）</w:t>
            </w:r>
            <w:bookmarkEnd w:id="2"/>
          </w:p>
        </w:tc>
      </w:tr>
      <w:tr w14:paraId="4AE55F1B">
        <w:tblPrEx>
          <w:tblW w:w="9072" w:type="dxa"/>
          <w:jc w:val="center"/>
          <w:tblCellMar>
            <w:top w:w="0" w:type="dxa"/>
            <w:left w:w="108" w:type="dxa"/>
            <w:bottom w:w="0" w:type="dxa"/>
            <w:right w:w="108" w:type="dxa"/>
          </w:tblCellMar>
        </w:tblPrEx>
        <w:trPr>
          <w:trHeight w:val="680"/>
          <w:jc w:val="center"/>
        </w:trPr>
        <w:tc>
          <w:tcPr>
            <w:tcW w:w="1724" w:type="dxa"/>
            <w:vAlign w:val="center"/>
          </w:tcPr>
          <w:p w14:paraId="0D6A8C7E">
            <w:pPr>
              <w:wordWrap w:val="0"/>
            </w:pPr>
            <w:r>
              <w:rPr>
                <w:rFonts w:hint="eastAsia"/>
              </w:rPr>
              <w:t>指南代码：</w:t>
            </w:r>
          </w:p>
        </w:tc>
        <w:tc>
          <w:tcPr>
            <w:tcW w:w="7348" w:type="dxa"/>
            <w:vAlign w:val="center"/>
          </w:tcPr>
          <w:p w14:paraId="4B9C6BEE">
            <w:pPr>
              <w:wordWrap w:val="0"/>
              <w:jc w:val="left"/>
              <w:rPr>
                <w:rFonts w:ascii="宋体" w:eastAsia="宋体" w:hAnsi="宋体" w:cs="宋体"/>
              </w:rPr>
            </w:pPr>
            <w:bookmarkStart w:id="3" w:name="zndm"/>
            <w:r>
              <w:rPr>
                <w:rFonts w:ascii="宋体" w:eastAsia="宋体" w:hAnsi="宋体" w:cs="宋体"/>
              </w:rPr>
              <w:t>1010101-面上项目</w:t>
            </w:r>
            <w:bookmarkEnd w:id="3"/>
          </w:p>
        </w:tc>
      </w:tr>
      <w:tr w14:paraId="3E01C8C0">
        <w:tblPrEx>
          <w:tblW w:w="9072" w:type="dxa"/>
          <w:jc w:val="center"/>
          <w:tblCellMar>
            <w:top w:w="0" w:type="dxa"/>
            <w:left w:w="108" w:type="dxa"/>
            <w:bottom w:w="0" w:type="dxa"/>
            <w:right w:w="108" w:type="dxa"/>
          </w:tblCellMar>
        </w:tblPrEx>
        <w:trPr>
          <w:trHeight w:val="680"/>
          <w:jc w:val="center"/>
        </w:trPr>
        <w:tc>
          <w:tcPr>
            <w:tcW w:w="1724" w:type="dxa"/>
            <w:vAlign w:val="center"/>
          </w:tcPr>
          <w:p w14:paraId="5C7E59E3">
            <w:pPr>
              <w:wordWrap w:val="0"/>
            </w:pPr>
            <w:r>
              <w:rPr>
                <w:rFonts w:hint="eastAsia"/>
              </w:rPr>
              <w:t>项目名称：</w:t>
            </w:r>
          </w:p>
        </w:tc>
        <w:tc>
          <w:tcPr>
            <w:tcW w:w="7348" w:type="dxa"/>
            <w:vAlign w:val="center"/>
          </w:tcPr>
          <w:p w14:paraId="764B3373">
            <w:pPr>
              <w:wordWrap w:val="0"/>
              <w:jc w:val="left"/>
              <w:rPr>
                <w:rFonts w:ascii="宋体" w:eastAsia="宋体" w:hAnsi="宋体" w:cs="宋体"/>
              </w:rPr>
            </w:pPr>
            <w:bookmarkStart w:id="4" w:name="xmmc"/>
            <w:r>
              <w:rPr>
                <w:rFonts w:ascii="宋体" w:eastAsia="宋体" w:hAnsi="宋体" w:cs="宋体"/>
              </w:rPr>
              <w:t>工业机器人高阶关节相关误差标定补偿与全局刚柔耦合动力学建模的研究</w:t>
            </w:r>
            <w:bookmarkEnd w:id="4"/>
          </w:p>
        </w:tc>
      </w:tr>
      <w:tr w14:paraId="635F421D">
        <w:tblPrEx>
          <w:tblW w:w="9072" w:type="dxa"/>
          <w:jc w:val="center"/>
          <w:tblCellMar>
            <w:top w:w="0" w:type="dxa"/>
            <w:left w:w="108" w:type="dxa"/>
            <w:bottom w:w="0" w:type="dxa"/>
            <w:right w:w="108" w:type="dxa"/>
          </w:tblCellMar>
        </w:tblPrEx>
        <w:trPr>
          <w:trHeight w:val="680"/>
          <w:jc w:val="center"/>
        </w:trPr>
        <w:tc>
          <w:tcPr>
            <w:tcW w:w="1724" w:type="dxa"/>
            <w:vAlign w:val="center"/>
          </w:tcPr>
          <w:p w14:paraId="657F3EE5">
            <w:pPr>
              <w:wordWrap w:val="0"/>
            </w:pPr>
            <w:r>
              <w:rPr>
                <w:rFonts w:hint="eastAsia"/>
              </w:rPr>
              <w:t>项目类别：</w:t>
            </w:r>
          </w:p>
        </w:tc>
        <w:tc>
          <w:tcPr>
            <w:tcW w:w="7348" w:type="dxa"/>
            <w:vAlign w:val="center"/>
          </w:tcPr>
          <w:p w14:paraId="5D9CCC87">
            <w:pPr>
              <w:wordWrap w:val="0"/>
              <w:jc w:val="left"/>
              <w:rPr>
                <w:rFonts w:ascii="宋体" w:eastAsia="宋体" w:hAnsi="宋体" w:cs="宋体"/>
                <w:szCs w:val="28"/>
              </w:rPr>
            </w:pPr>
            <w:bookmarkStart w:id="5" w:name="xmlb"/>
            <w:r>
              <w:rPr>
                <w:rFonts w:ascii="宋体" w:eastAsia="宋体" w:hAnsi="宋体" w:cs="宋体"/>
                <w:szCs w:val="28"/>
              </w:rPr>
              <w:t>1010101-面上项目</w:t>
            </w:r>
            <w:bookmarkEnd w:id="5"/>
          </w:p>
        </w:tc>
      </w:tr>
      <w:tr w14:paraId="7E0FCEA6">
        <w:tblPrEx>
          <w:tblW w:w="9072" w:type="dxa"/>
          <w:jc w:val="center"/>
          <w:tblCellMar>
            <w:top w:w="0" w:type="dxa"/>
            <w:left w:w="108" w:type="dxa"/>
            <w:bottom w:w="0" w:type="dxa"/>
            <w:right w:w="108" w:type="dxa"/>
          </w:tblCellMar>
        </w:tblPrEx>
        <w:trPr>
          <w:trHeight w:val="680"/>
          <w:jc w:val="center"/>
        </w:trPr>
        <w:tc>
          <w:tcPr>
            <w:tcW w:w="1724" w:type="dxa"/>
            <w:vAlign w:val="center"/>
          </w:tcPr>
          <w:p w14:paraId="58784207">
            <w:pPr>
              <w:wordWrap w:val="0"/>
            </w:pPr>
            <w:r>
              <w:rPr>
                <w:rFonts w:hint="eastAsia"/>
              </w:rPr>
              <w:t>所属学科1：</w:t>
            </w:r>
          </w:p>
        </w:tc>
        <w:tc>
          <w:tcPr>
            <w:tcW w:w="7348" w:type="dxa"/>
            <w:vAlign w:val="center"/>
          </w:tcPr>
          <w:p w14:paraId="1889EB2D">
            <w:pPr>
              <w:wordWrap w:val="0"/>
              <w:jc w:val="left"/>
              <w:rPr>
                <w:rFonts w:ascii="宋体" w:eastAsia="宋体" w:hAnsi="宋体" w:cs="宋体"/>
                <w:szCs w:val="28"/>
              </w:rPr>
            </w:pPr>
            <w:bookmarkStart w:id="6" w:name="fmxk1"/>
            <w:r>
              <w:rPr>
                <w:rFonts w:ascii="宋体" w:eastAsia="宋体" w:hAnsi="宋体" w:cs="宋体"/>
                <w:szCs w:val="28"/>
              </w:rPr>
              <w:t>E050102-机构运动学与动力学</w:t>
            </w:r>
            <w:bookmarkEnd w:id="6"/>
          </w:p>
        </w:tc>
      </w:tr>
      <w:tr w14:paraId="49E7F1B6">
        <w:tblPrEx>
          <w:tblW w:w="9072" w:type="dxa"/>
          <w:jc w:val="center"/>
          <w:tblCellMar>
            <w:top w:w="0" w:type="dxa"/>
            <w:left w:w="108" w:type="dxa"/>
            <w:bottom w:w="0" w:type="dxa"/>
            <w:right w:w="108" w:type="dxa"/>
          </w:tblCellMar>
        </w:tblPrEx>
        <w:trPr>
          <w:trHeight w:val="680"/>
          <w:jc w:val="center"/>
        </w:trPr>
        <w:tc>
          <w:tcPr>
            <w:tcW w:w="1724" w:type="dxa"/>
            <w:vAlign w:val="center"/>
          </w:tcPr>
          <w:p w14:paraId="3F77A413">
            <w:pPr>
              <w:wordWrap w:val="0"/>
            </w:pPr>
            <w:r>
              <w:rPr>
                <w:rFonts w:hint="eastAsia"/>
              </w:rPr>
              <w:t>所属学科2：</w:t>
            </w:r>
          </w:p>
        </w:tc>
        <w:tc>
          <w:tcPr>
            <w:tcW w:w="7348" w:type="dxa"/>
            <w:vAlign w:val="center"/>
          </w:tcPr>
          <w:p w14:paraId="6BDE4AC9">
            <w:pPr>
              <w:wordWrap w:val="0"/>
              <w:jc w:val="left"/>
              <w:rPr>
                <w:rFonts w:ascii="宋体" w:eastAsia="宋体" w:hAnsi="宋体" w:cs="宋体"/>
                <w:szCs w:val="28"/>
              </w:rPr>
            </w:pPr>
            <w:bookmarkStart w:id="7" w:name="fmxk2"/>
            <w:r>
              <w:rPr>
                <w:rFonts w:ascii="宋体" w:eastAsia="宋体" w:hAnsi="宋体" w:cs="宋体"/>
                <w:szCs w:val="28"/>
              </w:rPr>
              <w:t>无</w:t>
            </w:r>
            <w:bookmarkEnd w:id="7"/>
          </w:p>
        </w:tc>
      </w:tr>
      <w:tr w14:paraId="0BEFEFBF">
        <w:tblPrEx>
          <w:tblW w:w="9072" w:type="dxa"/>
          <w:jc w:val="center"/>
          <w:tblCellMar>
            <w:top w:w="0" w:type="dxa"/>
            <w:left w:w="108" w:type="dxa"/>
            <w:bottom w:w="0" w:type="dxa"/>
            <w:right w:w="108" w:type="dxa"/>
          </w:tblCellMar>
        </w:tblPrEx>
        <w:trPr>
          <w:trHeight w:val="680"/>
          <w:jc w:val="center"/>
        </w:trPr>
        <w:tc>
          <w:tcPr>
            <w:tcW w:w="1724" w:type="dxa"/>
            <w:vAlign w:val="center"/>
          </w:tcPr>
          <w:p w14:paraId="6230B426">
            <w:pPr>
              <w:wordWrap w:val="0"/>
            </w:pPr>
            <w:r>
              <w:rPr>
                <w:rFonts w:hint="eastAsia"/>
              </w:rPr>
              <w:t>申 报 人：</w:t>
            </w:r>
          </w:p>
        </w:tc>
        <w:tc>
          <w:tcPr>
            <w:tcW w:w="7348" w:type="dxa"/>
            <w:vAlign w:val="center"/>
          </w:tcPr>
          <w:p w14:paraId="017BF844">
            <w:pPr>
              <w:wordWrap w:val="0"/>
              <w:jc w:val="left"/>
              <w:rPr>
                <w:rFonts w:ascii="宋体" w:eastAsia="宋体" w:hAnsi="宋体" w:cs="宋体"/>
                <w:szCs w:val="28"/>
              </w:rPr>
            </w:pPr>
            <w:bookmarkStart w:id="8" w:name="sqr"/>
            <w:r>
              <w:rPr>
                <w:rFonts w:ascii="宋体" w:eastAsia="宋体" w:hAnsi="宋体" w:cs="宋体"/>
                <w:szCs w:val="28"/>
              </w:rPr>
              <w:t>张玉洁</w:t>
            </w:r>
            <w:bookmarkEnd w:id="8"/>
          </w:p>
        </w:tc>
      </w:tr>
      <w:tr w14:paraId="6F0852FC">
        <w:tblPrEx>
          <w:tblW w:w="9072" w:type="dxa"/>
          <w:jc w:val="center"/>
          <w:tblCellMar>
            <w:top w:w="0" w:type="dxa"/>
            <w:left w:w="108" w:type="dxa"/>
            <w:bottom w:w="0" w:type="dxa"/>
            <w:right w:w="108" w:type="dxa"/>
          </w:tblCellMar>
        </w:tblPrEx>
        <w:trPr>
          <w:trHeight w:val="680"/>
          <w:jc w:val="center"/>
        </w:trPr>
        <w:tc>
          <w:tcPr>
            <w:tcW w:w="1724" w:type="dxa"/>
            <w:vAlign w:val="center"/>
          </w:tcPr>
          <w:p w14:paraId="0ECD17DB">
            <w:pPr>
              <w:wordWrap w:val="0"/>
            </w:pPr>
            <w:r>
              <w:rPr>
                <w:rFonts w:hint="eastAsia"/>
              </w:rPr>
              <w:t>依托单位：</w:t>
            </w:r>
          </w:p>
        </w:tc>
        <w:tc>
          <w:tcPr>
            <w:tcW w:w="7348" w:type="dxa"/>
            <w:vAlign w:val="center"/>
          </w:tcPr>
          <w:p w14:paraId="6D18E4A4">
            <w:pPr>
              <w:wordWrap w:val="0"/>
              <w:jc w:val="left"/>
              <w:rPr>
                <w:rFonts w:ascii="宋体" w:eastAsia="宋体" w:hAnsi="宋体" w:cs="宋体"/>
                <w:szCs w:val="28"/>
              </w:rPr>
            </w:pPr>
            <w:bookmarkStart w:id="9" w:name="ytdw"/>
            <w:r>
              <w:rPr>
                <w:rFonts w:ascii="宋体" w:eastAsia="宋体" w:hAnsi="宋体" w:cs="宋体"/>
                <w:szCs w:val="28"/>
              </w:rPr>
              <w:t>华北科技学院</w:t>
            </w:r>
            <w:bookmarkEnd w:id="9"/>
          </w:p>
        </w:tc>
      </w:tr>
      <w:tr w14:paraId="6030A70E">
        <w:tblPrEx>
          <w:tblW w:w="9072" w:type="dxa"/>
          <w:jc w:val="center"/>
          <w:tblCellMar>
            <w:top w:w="0" w:type="dxa"/>
            <w:left w:w="108" w:type="dxa"/>
            <w:bottom w:w="0" w:type="dxa"/>
            <w:right w:w="108" w:type="dxa"/>
          </w:tblCellMar>
        </w:tblPrEx>
        <w:trPr>
          <w:trHeight w:val="680"/>
          <w:jc w:val="center"/>
        </w:trPr>
        <w:tc>
          <w:tcPr>
            <w:tcW w:w="1724" w:type="dxa"/>
            <w:vAlign w:val="center"/>
          </w:tcPr>
          <w:p w14:paraId="2D648941">
            <w:pPr>
              <w:wordWrap w:val="0"/>
            </w:pPr>
            <w:r>
              <w:rPr>
                <w:rFonts w:hint="eastAsia"/>
              </w:rPr>
              <w:t>起止年月：</w:t>
            </w:r>
          </w:p>
        </w:tc>
        <w:tc>
          <w:tcPr>
            <w:tcW w:w="7348" w:type="dxa"/>
            <w:vAlign w:val="center"/>
          </w:tcPr>
          <w:p w14:paraId="04F25843">
            <w:pPr>
              <w:wordWrap w:val="0"/>
              <w:jc w:val="left"/>
              <w:rPr>
                <w:rFonts w:ascii="宋体" w:eastAsia="宋体" w:hAnsi="宋体" w:cs="宋体"/>
                <w:szCs w:val="28"/>
              </w:rPr>
            </w:pPr>
            <w:bookmarkStart w:id="10" w:name="qzny"/>
            <w:r>
              <w:rPr>
                <w:rFonts w:ascii="宋体" w:eastAsia="宋体" w:hAnsi="宋体" w:cs="宋体"/>
                <w:szCs w:val="28"/>
              </w:rPr>
              <w:t>2025-01 至 2028-12</w:t>
            </w:r>
            <w:bookmarkEnd w:id="10"/>
          </w:p>
        </w:tc>
      </w:tr>
      <w:tr w14:paraId="62B558BC">
        <w:tblPrEx>
          <w:tblW w:w="9072" w:type="dxa"/>
          <w:jc w:val="center"/>
          <w:tblCellMar>
            <w:top w:w="0" w:type="dxa"/>
            <w:left w:w="108" w:type="dxa"/>
            <w:bottom w:w="0" w:type="dxa"/>
            <w:right w:w="108" w:type="dxa"/>
          </w:tblCellMar>
        </w:tblPrEx>
        <w:trPr>
          <w:trHeight w:val="680"/>
          <w:jc w:val="center"/>
        </w:trPr>
        <w:tc>
          <w:tcPr>
            <w:tcW w:w="1724" w:type="dxa"/>
            <w:vAlign w:val="center"/>
          </w:tcPr>
          <w:p w14:paraId="45859E13">
            <w:pPr>
              <w:wordWrap w:val="0"/>
            </w:pPr>
            <w:r>
              <w:rPr>
                <w:rFonts w:hint="eastAsia"/>
              </w:rPr>
              <w:t>填报日期：</w:t>
            </w:r>
          </w:p>
        </w:tc>
        <w:tc>
          <w:tcPr>
            <w:tcW w:w="7348" w:type="dxa"/>
            <w:vAlign w:val="center"/>
          </w:tcPr>
          <w:p w14:paraId="320E1E83">
            <w:pPr>
              <w:wordWrap w:val="0"/>
              <w:jc w:val="left"/>
              <w:rPr>
                <w:rFonts w:ascii="宋体" w:eastAsia="宋体" w:hAnsi="宋体" w:cs="宋体"/>
                <w:szCs w:val="28"/>
              </w:rPr>
            </w:pPr>
            <w:bookmarkStart w:id="11" w:name="tbtime"/>
            <w:r>
              <w:rPr>
                <w:rFonts w:ascii="宋体" w:eastAsia="宋体" w:hAnsi="宋体" w:cs="宋体"/>
                <w:szCs w:val="28"/>
              </w:rPr>
              <w:t>2025-03-22</w:t>
            </w:r>
            <w:bookmarkEnd w:id="11"/>
          </w:p>
        </w:tc>
      </w:tr>
    </w:tbl>
    <w:p w14:paraId="621A19A2">
      <w:pPr>
        <w:wordWrap w:val="0"/>
        <w:rPr>
          <w:sz w:val="21"/>
        </w:rPr>
      </w:pPr>
    </w:p>
    <w:p w14:paraId="1E5646ED">
      <w:pPr>
        <w:wordWrap w:val="0"/>
        <w:rPr>
          <w:sz w:val="21"/>
        </w:rPr>
      </w:pPr>
    </w:p>
    <w:p w14:paraId="6EEBBB3A">
      <w:pPr>
        <w:wordWrap w:val="0"/>
        <w:rPr>
          <w:sz w:val="21"/>
        </w:rPr>
      </w:pPr>
    </w:p>
    <w:p w14:paraId="647A84B2">
      <w:pPr>
        <w:wordWrap w:val="0"/>
        <w:rPr>
          <w:sz w:val="21"/>
        </w:rPr>
      </w:pPr>
    </w:p>
    <w:p w14:paraId="4B419EC5">
      <w:pPr>
        <w:wordWrap w:val="0"/>
        <w:jc w:val="center"/>
        <w:rPr>
          <w:sz w:val="21"/>
        </w:rPr>
      </w:pPr>
      <w:r>
        <w:rPr>
          <w:rFonts w:hint="eastAsia"/>
          <w:b/>
          <w:sz w:val="36"/>
        </w:rPr>
        <w:t>河北省自然科学基金委制</w:t>
      </w:r>
    </w:p>
    <w:p w14:paraId="2F74B9F1">
      <w:pPr>
        <w:wordWrap w:val="0"/>
        <w:spacing w:line="20" w:lineRule="exact"/>
        <w:rPr>
          <w:b/>
          <w:sz w:val="32"/>
        </w:rPr>
      </w:pPr>
      <w:r>
        <w:rPr>
          <w:b/>
          <w:sz w:val="32"/>
        </w:rPr>
        <w:br w:type="page"/>
      </w:r>
    </w:p>
    <w:tbl>
      <w:tblPr>
        <w:tblStyle w:val="TableNormal"/>
        <w:tblW w:w="9978" w:type="dxa"/>
        <w:jc w:val="center"/>
        <w:tblCellMar>
          <w:top w:w="0" w:type="dxa"/>
          <w:left w:w="108" w:type="dxa"/>
          <w:bottom w:w="0" w:type="dxa"/>
          <w:right w:w="108" w:type="dxa"/>
        </w:tblCellMar>
      </w:tblPr>
      <w:tblGrid>
        <w:gridCol w:w="9978"/>
      </w:tblGrid>
      <w:tr w14:paraId="331EDD4B">
        <w:tblPrEx>
          <w:tblW w:w="9978" w:type="dxa"/>
          <w:jc w:val="center"/>
          <w:tblCellMar>
            <w:top w:w="0" w:type="dxa"/>
            <w:left w:w="108" w:type="dxa"/>
            <w:bottom w:w="0" w:type="dxa"/>
            <w:right w:w="108" w:type="dxa"/>
          </w:tblCellMar>
        </w:tblPrEx>
        <w:trPr>
          <w:trHeight w:val="12544"/>
          <w:jc w:val="center"/>
        </w:trPr>
        <w:tc>
          <w:tcPr>
            <w:tcW w:w="9978" w:type="dxa"/>
          </w:tcPr>
          <w:p w14:paraId="2C0E2C3E">
            <w:pPr>
              <w:wordWrap w:val="0"/>
              <w:jc w:val="center"/>
              <w:rPr>
                <w:b/>
              </w:rPr>
            </w:pPr>
            <w:r>
              <w:rPr>
                <w:rFonts w:hint="eastAsia"/>
                <w:b/>
              </w:rPr>
              <w:t>填 报 说 明</w:t>
            </w:r>
          </w:p>
          <w:p w14:paraId="31514F3E">
            <w:pPr>
              <w:wordWrap w:val="0"/>
              <w:spacing w:line="440" w:lineRule="exact"/>
              <w:ind w:firstLine="480" w:firstLineChars="200"/>
              <w:jc w:val="left"/>
              <w:rPr>
                <w:rFonts w:cs="仿宋_GB2312"/>
                <w:sz w:val="24"/>
              </w:rPr>
            </w:pPr>
            <w:r>
              <w:rPr>
                <w:rFonts w:cs="仿宋_GB2312"/>
                <w:sz w:val="24"/>
              </w:rPr>
              <w:t>1.</w:t>
            </w:r>
            <w:r>
              <w:rPr>
                <w:rFonts w:cs="仿宋_GB2312" w:hint="eastAsia"/>
                <w:sz w:val="24"/>
              </w:rPr>
              <w:t>申报书的内容将作为项目评审以及签订计划书的重要依据，申报书的各项填报内容请实事求是、准确完整、层次清晰。</w:t>
            </w:r>
          </w:p>
          <w:p w14:paraId="1759C921">
            <w:pPr>
              <w:wordWrap w:val="0"/>
              <w:spacing w:line="440" w:lineRule="exact"/>
              <w:ind w:firstLine="480" w:firstLineChars="200"/>
              <w:jc w:val="left"/>
              <w:rPr>
                <w:rFonts w:cs="仿宋_GB2312"/>
                <w:sz w:val="24"/>
              </w:rPr>
            </w:pPr>
            <w:r>
              <w:rPr>
                <w:rFonts w:cs="仿宋_GB2312"/>
                <w:sz w:val="24"/>
              </w:rPr>
              <w:t>2.</w:t>
            </w:r>
            <w:r>
              <w:rPr>
                <w:rFonts w:cs="仿宋_GB2312" w:hint="eastAsia"/>
                <w:sz w:val="24"/>
              </w:rPr>
              <w:t>请申报单位认真阅读指南，所申报的项目研究内容须对应指南代码、符合指南的要求。</w:t>
            </w:r>
          </w:p>
          <w:p w14:paraId="6A85B507">
            <w:pPr>
              <w:wordWrap w:val="0"/>
              <w:spacing w:line="440" w:lineRule="exact"/>
              <w:ind w:firstLine="480" w:firstLineChars="200"/>
              <w:jc w:val="left"/>
              <w:rPr>
                <w:rFonts w:cs="仿宋_GB2312"/>
                <w:sz w:val="24"/>
              </w:rPr>
            </w:pPr>
            <w:r>
              <w:rPr>
                <w:rFonts w:cs="仿宋_GB2312"/>
                <w:sz w:val="24"/>
              </w:rPr>
              <w:t>3.</w:t>
            </w:r>
            <w:r>
              <w:rPr>
                <w:rFonts w:cs="仿宋_GB2312" w:hint="eastAsia"/>
                <w:sz w:val="24"/>
              </w:rPr>
              <w:t>申报单位可根据申报指南、申报项目的研究内容自行确定所申报项目的项目名称。项目名称应清晰、准确反映研究内容，项目名称不宜宽泛。</w:t>
            </w:r>
          </w:p>
          <w:p w14:paraId="267EB6AB">
            <w:pPr>
              <w:wordWrap w:val="0"/>
              <w:spacing w:line="440" w:lineRule="exact"/>
              <w:ind w:firstLine="480" w:firstLineChars="200"/>
              <w:jc w:val="left"/>
              <w:rPr>
                <w:rFonts w:cs="仿宋_GB2312"/>
                <w:sz w:val="24"/>
              </w:rPr>
            </w:pPr>
            <w:r>
              <w:rPr>
                <w:rFonts w:cs="仿宋_GB2312"/>
                <w:sz w:val="24"/>
              </w:rPr>
              <w:t>4.</w:t>
            </w:r>
            <w:r>
              <w:rPr>
                <w:rFonts w:cs="仿宋_GB2312" w:hint="eastAsia"/>
                <w:sz w:val="24"/>
              </w:rPr>
              <w:t>通过河北省科技计划项目综合服务平台按照系统提示在线填写申报书。凡不填写的内容，请用“无”表示。</w:t>
            </w:r>
          </w:p>
          <w:p w14:paraId="663291E4">
            <w:pPr>
              <w:wordWrap w:val="0"/>
              <w:spacing w:line="440" w:lineRule="exact"/>
              <w:ind w:firstLine="480" w:firstLineChars="200"/>
              <w:jc w:val="left"/>
              <w:rPr>
                <w:rFonts w:cs="仿宋_GB2312"/>
                <w:sz w:val="24"/>
              </w:rPr>
            </w:pPr>
            <w:r>
              <w:rPr>
                <w:rFonts w:cs="仿宋_GB2312"/>
                <w:sz w:val="24"/>
              </w:rPr>
              <w:t>5.</w:t>
            </w:r>
            <w:r>
              <w:rPr>
                <w:rFonts w:cs="仿宋_GB2312" w:hint="eastAsia"/>
                <w:sz w:val="24"/>
              </w:rPr>
              <w:t>申报书中的单位名称，请填写全称，并与单位公章一致。</w:t>
            </w:r>
          </w:p>
          <w:p w14:paraId="3D13B484">
            <w:pPr>
              <w:wordWrap w:val="0"/>
              <w:spacing w:line="440" w:lineRule="exact"/>
              <w:ind w:firstLine="480" w:firstLineChars="200"/>
              <w:jc w:val="left"/>
              <w:rPr>
                <w:rFonts w:cs="仿宋_GB2312"/>
                <w:sz w:val="24"/>
              </w:rPr>
            </w:pPr>
            <w:r>
              <w:rPr>
                <w:rFonts w:cs="仿宋_GB2312"/>
                <w:sz w:val="24"/>
              </w:rPr>
              <w:t>6.</w:t>
            </w:r>
            <w:r>
              <w:rPr>
                <w:rFonts w:cs="仿宋_GB2312" w:hint="eastAsia"/>
                <w:sz w:val="24"/>
              </w:rPr>
              <w:t>“项目基本信息”表格中，“技术领域”应填写项目负责人的主要研究领域；“企业拥有专利数量”应填写申报单位拥有专利数量。</w:t>
            </w:r>
          </w:p>
          <w:p w14:paraId="3800F9E1">
            <w:pPr>
              <w:wordWrap w:val="0"/>
              <w:spacing w:line="440" w:lineRule="exact"/>
              <w:ind w:firstLine="480" w:firstLineChars="200"/>
              <w:jc w:val="left"/>
              <w:rPr>
                <w:rFonts w:cs="仿宋_GB2312"/>
                <w:sz w:val="24"/>
              </w:rPr>
            </w:pPr>
            <w:r>
              <w:rPr>
                <w:rFonts w:cs="仿宋_GB2312"/>
                <w:sz w:val="24"/>
              </w:rPr>
              <w:t>7.</w:t>
            </w:r>
            <w:r>
              <w:rPr>
                <w:rFonts w:cs="仿宋_GB2312" w:hint="eastAsia"/>
                <w:sz w:val="24"/>
              </w:rPr>
              <w:t>“项目组主要成员”表格中，人员数量不能超过</w:t>
            </w:r>
            <w:r>
              <w:rPr>
                <w:rFonts w:cs="仿宋_GB2312"/>
                <w:sz w:val="24"/>
              </w:rPr>
              <w:t>10</w:t>
            </w:r>
            <w:r>
              <w:rPr>
                <w:rFonts w:cs="仿宋_GB2312" w:hint="eastAsia"/>
                <w:sz w:val="24"/>
              </w:rPr>
              <w:t>人（含项目负责人）。其中，申报青年科学基金项目（</w:t>
            </w:r>
            <w:r>
              <w:rPr>
                <w:rFonts w:cs="仿宋_GB2312"/>
                <w:sz w:val="24"/>
              </w:rPr>
              <w:t>A</w:t>
            </w:r>
            <w:r>
              <w:rPr>
                <w:rFonts w:cs="仿宋_GB2312" w:hint="eastAsia"/>
                <w:sz w:val="24"/>
              </w:rPr>
              <w:t>类）、青年科学基金项目（</w:t>
            </w:r>
            <w:r>
              <w:rPr>
                <w:rFonts w:cs="仿宋_GB2312"/>
                <w:sz w:val="24"/>
              </w:rPr>
              <w:t>B</w:t>
            </w:r>
            <w:r>
              <w:rPr>
                <w:rFonts w:cs="仿宋_GB2312" w:hint="eastAsia"/>
                <w:sz w:val="24"/>
              </w:rPr>
              <w:t>类）、青年科学基金项目（</w:t>
            </w:r>
            <w:r>
              <w:rPr>
                <w:rFonts w:cs="仿宋_GB2312"/>
                <w:sz w:val="24"/>
              </w:rPr>
              <w:t>C</w:t>
            </w:r>
            <w:r>
              <w:rPr>
                <w:rFonts w:cs="仿宋_GB2312" w:hint="eastAsia"/>
                <w:sz w:val="24"/>
              </w:rPr>
              <w:t>类）、青年科学基金项目（</w:t>
            </w:r>
            <w:r>
              <w:rPr>
                <w:rFonts w:cs="仿宋_GB2312"/>
                <w:sz w:val="24"/>
              </w:rPr>
              <w:t>D</w:t>
            </w:r>
            <w:r>
              <w:rPr>
                <w:rFonts w:cs="仿宋_GB2312" w:hint="eastAsia"/>
                <w:sz w:val="24"/>
              </w:rPr>
              <w:t>类）和春晖人才项目仅填写项目负责人信息。</w:t>
            </w:r>
          </w:p>
          <w:p w14:paraId="187F02FC">
            <w:pPr>
              <w:wordWrap w:val="0"/>
              <w:spacing w:line="440" w:lineRule="exact"/>
              <w:ind w:firstLine="480" w:firstLineChars="200"/>
              <w:jc w:val="left"/>
              <w:rPr>
                <w:rFonts w:cs="仿宋_GB2312"/>
                <w:sz w:val="24"/>
              </w:rPr>
            </w:pPr>
            <w:r>
              <w:rPr>
                <w:rFonts w:cs="仿宋_GB2312"/>
                <w:sz w:val="24"/>
              </w:rPr>
              <w:t>8.</w:t>
            </w:r>
            <w:r>
              <w:rPr>
                <w:rFonts w:cs="仿宋_GB2312" w:hint="eastAsia"/>
                <w:sz w:val="24"/>
              </w:rPr>
              <w:t>申报书正文部分总字数建议不超过</w:t>
            </w:r>
            <w:r>
              <w:rPr>
                <w:rFonts w:cs="仿宋_GB2312"/>
                <w:sz w:val="24"/>
              </w:rPr>
              <w:t>10000</w:t>
            </w:r>
            <w:r>
              <w:rPr>
                <w:rFonts w:cs="仿宋_GB2312" w:hint="eastAsia"/>
                <w:sz w:val="24"/>
              </w:rPr>
              <w:t>字。</w:t>
            </w:r>
          </w:p>
          <w:p w14:paraId="5BA233A5">
            <w:pPr>
              <w:wordWrap w:val="0"/>
              <w:spacing w:line="440" w:lineRule="exact"/>
              <w:ind w:firstLine="480" w:firstLineChars="200"/>
              <w:jc w:val="left"/>
              <w:rPr>
                <w:rFonts w:cs="仿宋_GB2312"/>
                <w:sz w:val="24"/>
              </w:rPr>
            </w:pPr>
            <w:r>
              <w:rPr>
                <w:rFonts w:cs="仿宋_GB2312"/>
                <w:sz w:val="24"/>
              </w:rPr>
              <w:t>9.</w:t>
            </w:r>
            <w:r>
              <w:rPr>
                <w:rFonts w:cs="仿宋_GB2312" w:hint="eastAsia"/>
                <w:sz w:val="24"/>
              </w:rPr>
              <w:t>申报创新研究群体项目，项目名称栏填写“研究方向”，而不是具体的研究课题名称；申报书摘要部分填写申报人和参与者的“主要学术成绩”。 </w:t>
            </w:r>
          </w:p>
          <w:p w14:paraId="78A42052">
            <w:pPr>
              <w:wordWrap w:val="0"/>
              <w:spacing w:line="440" w:lineRule="exact"/>
              <w:ind w:firstLine="480" w:firstLineChars="200"/>
              <w:rPr>
                <w:rFonts w:cs="仿宋_GB2312"/>
                <w:sz w:val="24"/>
              </w:rPr>
            </w:pPr>
            <w:r>
              <w:rPr>
                <w:rFonts w:cs="仿宋_GB2312" w:hint="eastAsia"/>
                <w:sz w:val="24"/>
              </w:rPr>
              <w:t>填写完成后，请申报单位对所申报信息的真实、完整、有效进行审核，并对申报材料的真实性、完整性负责。</w:t>
            </w:r>
          </w:p>
          <w:p w14:paraId="722290EE">
            <w:pPr>
              <w:wordWrap w:val="0"/>
              <w:spacing w:line="360" w:lineRule="auto"/>
              <w:ind w:firstLine="640" w:firstLineChars="200"/>
              <w:rPr>
                <w:b/>
                <w:sz w:val="32"/>
              </w:rPr>
            </w:pPr>
          </w:p>
        </w:tc>
      </w:tr>
    </w:tbl>
    <w:p w14:paraId="421C5033">
      <w:pPr>
        <w:wordWrap w:val="0"/>
        <w:spacing w:line="20" w:lineRule="exact"/>
        <w:rPr>
          <w:b/>
          <w:sz w:val="32"/>
        </w:rPr>
      </w:pPr>
      <w:r>
        <w:rPr>
          <w:b/>
          <w:sz w:val="32"/>
        </w:rPr>
        <w:br w:type="page"/>
      </w:r>
    </w:p>
    <w:tbl>
      <w:tblPr>
        <w:tblStyle w:val="TableNormal"/>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02"/>
        <w:gridCol w:w="1277"/>
        <w:gridCol w:w="597"/>
        <w:gridCol w:w="537"/>
        <w:gridCol w:w="828"/>
        <w:gridCol w:w="1440"/>
        <w:gridCol w:w="13"/>
        <w:gridCol w:w="860"/>
        <w:gridCol w:w="574"/>
        <w:gridCol w:w="843"/>
        <w:gridCol w:w="1025"/>
        <w:gridCol w:w="489"/>
        <w:gridCol w:w="1650"/>
      </w:tblGrid>
      <w:tr w14:paraId="7D268B53">
        <w:tblPrEx>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635" w:type="dxa"/>
            <w:gridSpan w:val="13"/>
            <w:vAlign w:val="center"/>
          </w:tcPr>
          <w:p w14:paraId="533D9915">
            <w:pPr>
              <w:wordWrap w:val="0"/>
              <w:jc w:val="center"/>
              <w:rPr>
                <w:sz w:val="24"/>
              </w:rPr>
            </w:pPr>
            <w:r>
              <w:rPr>
                <w:rFonts w:hint="eastAsia"/>
                <w:b/>
                <w:szCs w:val="28"/>
              </w:rPr>
              <w:t>项目基本信息</w:t>
            </w:r>
          </w:p>
        </w:tc>
      </w:tr>
      <w:tr w14:paraId="6FEFA583">
        <w:tblPrEx>
          <w:tblW w:w="10635" w:type="dxa"/>
          <w:jc w:val="center"/>
          <w:tblLayout w:type="fixed"/>
          <w:tblCellMar>
            <w:top w:w="0" w:type="dxa"/>
            <w:left w:w="108" w:type="dxa"/>
            <w:bottom w:w="0" w:type="dxa"/>
            <w:right w:w="108" w:type="dxa"/>
          </w:tblCellMar>
        </w:tblPrEx>
        <w:trPr>
          <w:cantSplit/>
          <w:trHeight w:val="509"/>
          <w:jc w:val="center"/>
        </w:trPr>
        <w:tc>
          <w:tcPr>
            <w:tcW w:w="1779" w:type="dxa"/>
            <w:gridSpan w:val="2"/>
            <w:vAlign w:val="center"/>
          </w:tcPr>
          <w:p w14:paraId="4ABBE10B">
            <w:pPr>
              <w:wordWrap w:val="0"/>
              <w:jc w:val="center"/>
              <w:rPr>
                <w:sz w:val="24"/>
              </w:rPr>
            </w:pPr>
            <w:r>
              <w:rPr>
                <w:rFonts w:hint="eastAsia"/>
                <w:sz w:val="24"/>
              </w:rPr>
              <w:t>项目名称</w:t>
            </w:r>
          </w:p>
        </w:tc>
        <w:tc>
          <w:tcPr>
            <w:tcW w:w="4275" w:type="dxa"/>
            <w:gridSpan w:val="6"/>
            <w:vAlign w:val="center"/>
          </w:tcPr>
          <w:p w14:paraId="24B5406F">
            <w:pPr>
              <w:wordWrap w:val="0"/>
              <w:rPr>
                <w:rFonts w:ascii="宋体" w:eastAsia="宋体" w:hAnsi="宋体" w:cs="宋体"/>
                <w:sz w:val="24"/>
              </w:rPr>
            </w:pPr>
            <w:bookmarkStart w:id="12" w:name="xmmc1"/>
            <w:r>
              <w:rPr>
                <w:rFonts w:ascii="宋体" w:eastAsia="宋体" w:hAnsi="宋体" w:cs="宋体"/>
                <w:sz w:val="24"/>
              </w:rPr>
              <w:t>工业机器人高阶关节相关误差标定补偿与全局刚柔耦合动力学建模的研究</w:t>
            </w:r>
            <w:bookmarkEnd w:id="12"/>
          </w:p>
        </w:tc>
        <w:tc>
          <w:tcPr>
            <w:tcW w:w="1417" w:type="dxa"/>
            <w:gridSpan w:val="2"/>
            <w:vAlign w:val="center"/>
          </w:tcPr>
          <w:p w14:paraId="5875A935">
            <w:pPr>
              <w:wordWrap w:val="0"/>
              <w:jc w:val="center"/>
              <w:rPr>
                <w:sz w:val="24"/>
              </w:rPr>
            </w:pPr>
            <w:r>
              <w:rPr>
                <w:rFonts w:hint="eastAsia"/>
                <w:sz w:val="24"/>
              </w:rPr>
              <w:t>所属专项</w:t>
            </w:r>
          </w:p>
        </w:tc>
        <w:tc>
          <w:tcPr>
            <w:tcW w:w="3164" w:type="dxa"/>
            <w:gridSpan w:val="3"/>
            <w:vAlign w:val="center"/>
          </w:tcPr>
          <w:p w14:paraId="34E929A6">
            <w:pPr>
              <w:wordWrap w:val="0"/>
              <w:jc w:val="left"/>
              <w:rPr>
                <w:rFonts w:ascii="宋体" w:eastAsia="宋体" w:hAnsi="宋体" w:cs="宋体"/>
                <w:sz w:val="24"/>
              </w:rPr>
            </w:pPr>
            <w:bookmarkStart w:id="13" w:name="zxmc1"/>
            <w:r>
              <w:rPr>
                <w:rFonts w:ascii="宋体" w:eastAsia="宋体" w:hAnsi="宋体" w:cs="宋体"/>
                <w:sz w:val="24"/>
              </w:rPr>
              <w:t>基础研究专项（自然科学基金）</w:t>
            </w:r>
            <w:bookmarkEnd w:id="13"/>
          </w:p>
        </w:tc>
      </w:tr>
      <w:tr w14:paraId="5A45475B">
        <w:tblPrEx>
          <w:tblW w:w="10635" w:type="dxa"/>
          <w:jc w:val="center"/>
          <w:tblLayout w:type="fixed"/>
          <w:tblCellMar>
            <w:top w:w="0" w:type="dxa"/>
            <w:left w:w="108" w:type="dxa"/>
            <w:bottom w:w="0" w:type="dxa"/>
            <w:right w:w="108" w:type="dxa"/>
          </w:tblCellMar>
        </w:tblPrEx>
        <w:trPr>
          <w:cantSplit/>
          <w:trHeight w:val="403"/>
          <w:jc w:val="center"/>
        </w:trPr>
        <w:tc>
          <w:tcPr>
            <w:tcW w:w="1779" w:type="dxa"/>
            <w:gridSpan w:val="2"/>
            <w:vAlign w:val="center"/>
          </w:tcPr>
          <w:p w14:paraId="57AD751F">
            <w:pPr>
              <w:wordWrap w:val="0"/>
              <w:jc w:val="center"/>
              <w:rPr>
                <w:sz w:val="24"/>
              </w:rPr>
            </w:pPr>
            <w:r>
              <w:rPr>
                <w:rFonts w:hint="eastAsia"/>
                <w:sz w:val="24"/>
              </w:rPr>
              <w:t>指南代码</w:t>
            </w:r>
          </w:p>
        </w:tc>
        <w:tc>
          <w:tcPr>
            <w:tcW w:w="4275" w:type="dxa"/>
            <w:gridSpan w:val="6"/>
            <w:vAlign w:val="center"/>
          </w:tcPr>
          <w:p w14:paraId="3472FAB5">
            <w:pPr>
              <w:wordWrap w:val="0"/>
              <w:rPr>
                <w:rFonts w:ascii="宋体" w:eastAsia="宋体" w:hAnsi="宋体" w:cs="宋体"/>
                <w:sz w:val="24"/>
              </w:rPr>
            </w:pPr>
            <w:bookmarkStart w:id="14" w:name="zndm1"/>
            <w:r>
              <w:rPr>
                <w:rFonts w:ascii="宋体" w:eastAsia="宋体" w:hAnsi="宋体" w:cs="宋体"/>
                <w:sz w:val="24"/>
              </w:rPr>
              <w:t>1010101-面上项目</w:t>
            </w:r>
            <w:bookmarkEnd w:id="14"/>
          </w:p>
        </w:tc>
        <w:tc>
          <w:tcPr>
            <w:tcW w:w="1417" w:type="dxa"/>
            <w:gridSpan w:val="2"/>
            <w:vAlign w:val="center"/>
          </w:tcPr>
          <w:p w14:paraId="3A08C06E">
            <w:pPr>
              <w:wordWrap w:val="0"/>
              <w:jc w:val="center"/>
              <w:rPr>
                <w:sz w:val="24"/>
              </w:rPr>
            </w:pPr>
            <w:r>
              <w:rPr>
                <w:rFonts w:hint="eastAsia"/>
                <w:sz w:val="24"/>
              </w:rPr>
              <w:t>科技活动</w:t>
            </w:r>
          </w:p>
          <w:p w14:paraId="7CCB0B28">
            <w:pPr>
              <w:wordWrap w:val="0"/>
              <w:jc w:val="center"/>
              <w:rPr>
                <w:sz w:val="24"/>
              </w:rPr>
            </w:pPr>
            <w:r>
              <w:rPr>
                <w:rFonts w:hint="eastAsia"/>
                <w:sz w:val="24"/>
              </w:rPr>
              <w:t>类型</w:t>
            </w:r>
          </w:p>
        </w:tc>
        <w:tc>
          <w:tcPr>
            <w:tcW w:w="3164" w:type="dxa"/>
            <w:gridSpan w:val="3"/>
            <w:vAlign w:val="center"/>
          </w:tcPr>
          <w:p w14:paraId="1477FD83">
            <w:pPr>
              <w:wordWrap w:val="0"/>
              <w:jc w:val="left"/>
              <w:rPr>
                <w:rFonts w:ascii="宋体" w:eastAsia="宋体" w:hAnsi="宋体" w:cs="宋体"/>
                <w:sz w:val="24"/>
              </w:rPr>
            </w:pPr>
            <w:bookmarkStart w:id="15" w:name="kjhdlx"/>
            <w:r>
              <w:rPr>
                <w:rFonts w:ascii="宋体" w:eastAsia="宋体" w:hAnsi="宋体" w:cs="宋体"/>
                <w:sz w:val="24"/>
              </w:rPr>
              <w:t>应用研究</w:t>
            </w:r>
            <w:bookmarkEnd w:id="15"/>
          </w:p>
        </w:tc>
      </w:tr>
      <w:tr w14:paraId="5B214F24">
        <w:tblPrEx>
          <w:tblW w:w="10635" w:type="dxa"/>
          <w:jc w:val="center"/>
          <w:tblLayout w:type="fixed"/>
          <w:tblCellMar>
            <w:top w:w="0" w:type="dxa"/>
            <w:left w:w="108" w:type="dxa"/>
            <w:bottom w:w="0" w:type="dxa"/>
            <w:right w:w="108" w:type="dxa"/>
          </w:tblCellMar>
        </w:tblPrEx>
        <w:trPr>
          <w:cantSplit/>
          <w:trHeight w:val="548"/>
          <w:jc w:val="center"/>
        </w:trPr>
        <w:tc>
          <w:tcPr>
            <w:tcW w:w="1779" w:type="dxa"/>
            <w:gridSpan w:val="2"/>
            <w:vAlign w:val="center"/>
          </w:tcPr>
          <w:p w14:paraId="2ECF53D0">
            <w:pPr>
              <w:wordWrap w:val="0"/>
              <w:jc w:val="center"/>
              <w:rPr>
                <w:sz w:val="24"/>
              </w:rPr>
            </w:pPr>
            <w:r>
              <w:rPr>
                <w:rFonts w:hint="eastAsia"/>
                <w:sz w:val="24"/>
              </w:rPr>
              <w:t>应用行业</w:t>
            </w:r>
          </w:p>
        </w:tc>
        <w:tc>
          <w:tcPr>
            <w:tcW w:w="4275" w:type="dxa"/>
            <w:gridSpan w:val="6"/>
            <w:vAlign w:val="center"/>
          </w:tcPr>
          <w:p w14:paraId="62CF1FA9">
            <w:pPr>
              <w:wordWrap w:val="0"/>
              <w:rPr>
                <w:rFonts w:ascii="宋体" w:eastAsia="宋体" w:hAnsi="宋体" w:cs="宋体"/>
                <w:sz w:val="24"/>
              </w:rPr>
            </w:pPr>
            <w:bookmarkStart w:id="16" w:name="yyhy"/>
            <w:r>
              <w:rPr>
                <w:rFonts w:ascii="宋体" w:eastAsia="宋体" w:hAnsi="宋体" w:cs="宋体"/>
                <w:sz w:val="24"/>
              </w:rPr>
              <w:t>其他电气机械及器材制造</w:t>
            </w:r>
            <w:bookmarkEnd w:id="16"/>
          </w:p>
        </w:tc>
        <w:tc>
          <w:tcPr>
            <w:tcW w:w="1417" w:type="dxa"/>
            <w:gridSpan w:val="2"/>
            <w:vAlign w:val="center"/>
          </w:tcPr>
          <w:p w14:paraId="3EFE9313">
            <w:pPr>
              <w:wordWrap w:val="0"/>
              <w:jc w:val="center"/>
              <w:rPr>
                <w:sz w:val="24"/>
              </w:rPr>
            </w:pPr>
            <w:r>
              <w:rPr>
                <w:rFonts w:hint="eastAsia"/>
                <w:sz w:val="24"/>
              </w:rPr>
              <w:t>技术领域</w:t>
            </w:r>
          </w:p>
        </w:tc>
        <w:tc>
          <w:tcPr>
            <w:tcW w:w="3164" w:type="dxa"/>
            <w:gridSpan w:val="3"/>
            <w:vAlign w:val="center"/>
          </w:tcPr>
          <w:p w14:paraId="475D2355">
            <w:pPr>
              <w:wordWrap w:val="0"/>
              <w:jc w:val="left"/>
              <w:rPr>
                <w:rFonts w:ascii="宋体" w:eastAsia="宋体" w:hAnsi="宋体" w:cs="宋体"/>
                <w:sz w:val="24"/>
              </w:rPr>
            </w:pPr>
            <w:bookmarkStart w:id="17" w:name="jsly"/>
            <w:r>
              <w:rPr>
                <w:rFonts w:ascii="宋体" w:eastAsia="宋体" w:hAnsi="宋体" w:cs="宋体"/>
                <w:sz w:val="24"/>
              </w:rPr>
              <w:t>机器人开发及应用</w:t>
            </w:r>
            <w:bookmarkEnd w:id="17"/>
          </w:p>
        </w:tc>
      </w:tr>
      <w:tr w14:paraId="1AEAFF93">
        <w:tblPrEx>
          <w:tblW w:w="10635" w:type="dxa"/>
          <w:jc w:val="center"/>
          <w:tblLayout w:type="fixed"/>
          <w:tblCellMar>
            <w:top w:w="0" w:type="dxa"/>
            <w:left w:w="108" w:type="dxa"/>
            <w:bottom w:w="0" w:type="dxa"/>
            <w:right w:w="108" w:type="dxa"/>
          </w:tblCellMar>
        </w:tblPrEx>
        <w:trPr>
          <w:cantSplit/>
          <w:trHeight w:val="541"/>
          <w:jc w:val="center"/>
        </w:trPr>
        <w:tc>
          <w:tcPr>
            <w:tcW w:w="1779" w:type="dxa"/>
            <w:gridSpan w:val="2"/>
            <w:vAlign w:val="center"/>
          </w:tcPr>
          <w:p w14:paraId="27E5FB0F">
            <w:pPr>
              <w:wordWrap w:val="0"/>
              <w:jc w:val="center"/>
              <w:rPr>
                <w:sz w:val="24"/>
              </w:rPr>
            </w:pPr>
            <w:r>
              <w:rPr>
                <w:rFonts w:hint="eastAsia"/>
                <w:sz w:val="24"/>
              </w:rPr>
              <w:t>所属学科1</w:t>
            </w:r>
          </w:p>
        </w:tc>
        <w:tc>
          <w:tcPr>
            <w:tcW w:w="4275" w:type="dxa"/>
            <w:gridSpan w:val="6"/>
            <w:vAlign w:val="center"/>
          </w:tcPr>
          <w:p w14:paraId="3CDD4644">
            <w:pPr>
              <w:wordWrap w:val="0"/>
              <w:rPr>
                <w:rFonts w:ascii="宋体" w:eastAsia="宋体" w:hAnsi="宋体" w:cs="宋体"/>
                <w:sz w:val="24"/>
              </w:rPr>
            </w:pPr>
            <w:bookmarkStart w:id="18" w:name="ssxk1"/>
            <w:r>
              <w:rPr>
                <w:rFonts w:ascii="宋体" w:eastAsia="宋体" w:hAnsi="宋体" w:cs="宋体"/>
                <w:sz w:val="24"/>
              </w:rPr>
              <w:t>E050102-机构运动学与动力学</w:t>
            </w:r>
            <w:bookmarkEnd w:id="18"/>
          </w:p>
        </w:tc>
        <w:tc>
          <w:tcPr>
            <w:tcW w:w="1417" w:type="dxa"/>
            <w:gridSpan w:val="2"/>
            <w:vAlign w:val="center"/>
          </w:tcPr>
          <w:p w14:paraId="0FDD740D">
            <w:pPr>
              <w:wordWrap w:val="0"/>
              <w:jc w:val="center"/>
              <w:rPr>
                <w:sz w:val="24"/>
              </w:rPr>
            </w:pPr>
            <w:r>
              <w:rPr>
                <w:rFonts w:hint="eastAsia"/>
                <w:sz w:val="24"/>
              </w:rPr>
              <w:t>所属学科2</w:t>
            </w:r>
          </w:p>
        </w:tc>
        <w:tc>
          <w:tcPr>
            <w:tcW w:w="3164" w:type="dxa"/>
            <w:gridSpan w:val="3"/>
            <w:vAlign w:val="center"/>
          </w:tcPr>
          <w:p w14:paraId="3DB9C5EE">
            <w:pPr>
              <w:wordWrap w:val="0"/>
              <w:jc w:val="left"/>
              <w:rPr>
                <w:rFonts w:ascii="宋体" w:eastAsia="宋体" w:hAnsi="宋体" w:cs="宋体"/>
                <w:sz w:val="24"/>
              </w:rPr>
            </w:pPr>
            <w:bookmarkStart w:id="19" w:name="ssxk2"/>
            <w:r>
              <w:rPr>
                <w:rFonts w:ascii="宋体" w:eastAsia="宋体" w:hAnsi="宋体" w:cs="宋体"/>
                <w:sz w:val="24"/>
              </w:rPr>
              <w:t>无</w:t>
            </w:r>
            <w:bookmarkEnd w:id="19"/>
          </w:p>
        </w:tc>
      </w:tr>
      <w:tr w14:paraId="736CF34D">
        <w:tblPrEx>
          <w:tblW w:w="10635" w:type="dxa"/>
          <w:jc w:val="center"/>
          <w:tblLayout w:type="fixed"/>
          <w:tblCellMar>
            <w:top w:w="0" w:type="dxa"/>
            <w:left w:w="108" w:type="dxa"/>
            <w:bottom w:w="0" w:type="dxa"/>
            <w:right w:w="108" w:type="dxa"/>
          </w:tblCellMar>
        </w:tblPrEx>
        <w:trPr>
          <w:cantSplit/>
          <w:trHeight w:val="419"/>
          <w:jc w:val="center"/>
        </w:trPr>
        <w:tc>
          <w:tcPr>
            <w:tcW w:w="1779" w:type="dxa"/>
            <w:gridSpan w:val="2"/>
            <w:vAlign w:val="center"/>
          </w:tcPr>
          <w:p w14:paraId="445B6226">
            <w:pPr>
              <w:wordWrap w:val="0"/>
              <w:jc w:val="center"/>
              <w:rPr>
                <w:sz w:val="24"/>
              </w:rPr>
            </w:pPr>
            <w:r>
              <w:rPr>
                <w:rFonts w:hint="eastAsia"/>
                <w:sz w:val="24"/>
              </w:rPr>
              <w:t>关键词</w:t>
            </w:r>
          </w:p>
        </w:tc>
        <w:tc>
          <w:tcPr>
            <w:tcW w:w="8856" w:type="dxa"/>
            <w:gridSpan w:val="11"/>
            <w:vAlign w:val="center"/>
          </w:tcPr>
          <w:p w14:paraId="00D12B0B">
            <w:pPr>
              <w:wordWrap w:val="0"/>
              <w:jc w:val="left"/>
              <w:rPr>
                <w:rFonts w:ascii="宋体" w:eastAsia="宋体" w:hAnsi="宋体" w:cs="宋体"/>
                <w:sz w:val="24"/>
              </w:rPr>
            </w:pPr>
            <w:bookmarkStart w:id="20" w:name="gjc"/>
            <w:r>
              <w:rPr>
                <w:rFonts w:ascii="宋体" w:eastAsia="宋体" w:hAnsi="宋体" w:cs="宋体"/>
                <w:sz w:val="24"/>
              </w:rPr>
              <w:t>工业机器人,误差建模,预测补偿,刚柔耦合动力学</w:t>
            </w:r>
            <w:bookmarkEnd w:id="20"/>
          </w:p>
        </w:tc>
      </w:tr>
      <w:tr w14:paraId="5099B504">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restart"/>
            <w:vAlign w:val="center"/>
          </w:tcPr>
          <w:p w14:paraId="35BEB48E">
            <w:pPr>
              <w:wordWrap w:val="0"/>
              <w:jc w:val="center"/>
              <w:rPr>
                <w:sz w:val="24"/>
              </w:rPr>
            </w:pPr>
            <w:r>
              <w:rPr>
                <w:rFonts w:hint="eastAsia"/>
                <w:color w:val="0D0D0D"/>
                <w:sz w:val="24"/>
              </w:rPr>
              <w:t>申报</w:t>
            </w:r>
            <w:r>
              <w:rPr>
                <w:rFonts w:hint="eastAsia"/>
                <w:sz w:val="24"/>
              </w:rPr>
              <w:t>人信息</w:t>
            </w:r>
          </w:p>
        </w:tc>
        <w:tc>
          <w:tcPr>
            <w:tcW w:w="1277" w:type="dxa"/>
            <w:vAlign w:val="center"/>
          </w:tcPr>
          <w:p w14:paraId="70217A09">
            <w:pPr>
              <w:wordWrap w:val="0"/>
              <w:jc w:val="center"/>
              <w:rPr>
                <w:sz w:val="24"/>
              </w:rPr>
            </w:pPr>
            <w:r>
              <w:rPr>
                <w:rFonts w:hint="eastAsia"/>
                <w:sz w:val="24"/>
              </w:rPr>
              <w:t>姓名</w:t>
            </w:r>
          </w:p>
        </w:tc>
        <w:tc>
          <w:tcPr>
            <w:tcW w:w="1134" w:type="dxa"/>
            <w:gridSpan w:val="2"/>
            <w:vAlign w:val="center"/>
          </w:tcPr>
          <w:p w14:paraId="4F538BED">
            <w:pPr>
              <w:wordWrap w:val="0"/>
              <w:jc w:val="center"/>
              <w:rPr>
                <w:rFonts w:ascii="宋体" w:eastAsia="宋体" w:hAnsi="宋体" w:cs="宋体"/>
                <w:sz w:val="24"/>
              </w:rPr>
            </w:pPr>
            <w:bookmarkStart w:id="21" w:name="cddwfzr"/>
            <w:r>
              <w:rPr>
                <w:rFonts w:ascii="宋体" w:eastAsia="宋体" w:hAnsi="宋体" w:cs="宋体"/>
                <w:sz w:val="24"/>
              </w:rPr>
              <w:t>张玉洁</w:t>
            </w:r>
            <w:bookmarkEnd w:id="21"/>
          </w:p>
        </w:tc>
        <w:tc>
          <w:tcPr>
            <w:tcW w:w="828" w:type="dxa"/>
            <w:vAlign w:val="center"/>
          </w:tcPr>
          <w:p w14:paraId="532BE939">
            <w:pPr>
              <w:wordWrap w:val="0"/>
              <w:jc w:val="center"/>
              <w:rPr>
                <w:sz w:val="24"/>
              </w:rPr>
            </w:pPr>
            <w:r>
              <w:rPr>
                <w:rFonts w:hint="eastAsia"/>
                <w:sz w:val="24"/>
              </w:rPr>
              <w:t>性别</w:t>
            </w:r>
          </w:p>
        </w:tc>
        <w:tc>
          <w:tcPr>
            <w:tcW w:w="1440" w:type="dxa"/>
            <w:vAlign w:val="center"/>
          </w:tcPr>
          <w:p w14:paraId="569F1FA6">
            <w:pPr>
              <w:wordWrap w:val="0"/>
              <w:jc w:val="center"/>
              <w:rPr>
                <w:rFonts w:ascii="宋体" w:eastAsia="宋体" w:hAnsi="宋体" w:cs="宋体"/>
                <w:sz w:val="24"/>
              </w:rPr>
            </w:pPr>
            <w:bookmarkStart w:id="22" w:name="xb"/>
            <w:r>
              <w:rPr>
                <w:rFonts w:ascii="宋体" w:eastAsia="宋体" w:hAnsi="宋体" w:cs="宋体"/>
                <w:sz w:val="24"/>
              </w:rPr>
              <w:t>女</w:t>
            </w:r>
            <w:bookmarkEnd w:id="22"/>
          </w:p>
        </w:tc>
        <w:tc>
          <w:tcPr>
            <w:tcW w:w="873" w:type="dxa"/>
            <w:gridSpan w:val="2"/>
            <w:vAlign w:val="center"/>
          </w:tcPr>
          <w:p w14:paraId="318E0B62">
            <w:pPr>
              <w:wordWrap w:val="0"/>
              <w:jc w:val="center"/>
              <w:rPr>
                <w:sz w:val="24"/>
              </w:rPr>
            </w:pPr>
            <w:r>
              <w:rPr>
                <w:rFonts w:hint="eastAsia"/>
                <w:sz w:val="24"/>
              </w:rPr>
              <w:t>出生年月</w:t>
            </w:r>
          </w:p>
        </w:tc>
        <w:tc>
          <w:tcPr>
            <w:tcW w:w="1417" w:type="dxa"/>
            <w:gridSpan w:val="2"/>
            <w:vAlign w:val="center"/>
          </w:tcPr>
          <w:p w14:paraId="31576D8B">
            <w:pPr>
              <w:wordWrap w:val="0"/>
              <w:jc w:val="center"/>
              <w:rPr>
                <w:rFonts w:ascii="宋体" w:eastAsia="宋体" w:hAnsi="宋体" w:cs="宋体"/>
                <w:sz w:val="24"/>
              </w:rPr>
            </w:pPr>
            <w:bookmarkStart w:id="23" w:name="csny"/>
            <w:r>
              <w:rPr>
                <w:rFonts w:ascii="宋体" w:eastAsia="宋体" w:hAnsi="宋体" w:cs="宋体"/>
                <w:sz w:val="24"/>
              </w:rPr>
              <w:t>1987-09</w:t>
            </w:r>
            <w:bookmarkEnd w:id="23"/>
          </w:p>
        </w:tc>
        <w:tc>
          <w:tcPr>
            <w:tcW w:w="1025" w:type="dxa"/>
            <w:vAlign w:val="center"/>
          </w:tcPr>
          <w:p w14:paraId="3E1D232E">
            <w:pPr>
              <w:wordWrap w:val="0"/>
              <w:jc w:val="center"/>
              <w:rPr>
                <w:sz w:val="24"/>
              </w:rPr>
            </w:pPr>
            <w:r>
              <w:rPr>
                <w:rFonts w:hint="eastAsia"/>
                <w:sz w:val="24"/>
              </w:rPr>
              <w:t>固定</w:t>
            </w:r>
          </w:p>
          <w:p w14:paraId="02123728">
            <w:pPr>
              <w:wordWrap w:val="0"/>
              <w:jc w:val="center"/>
              <w:rPr>
                <w:sz w:val="24"/>
              </w:rPr>
            </w:pPr>
            <w:r>
              <w:rPr>
                <w:rFonts w:hint="eastAsia"/>
                <w:sz w:val="24"/>
              </w:rPr>
              <w:t>电话</w:t>
            </w:r>
          </w:p>
        </w:tc>
        <w:tc>
          <w:tcPr>
            <w:tcW w:w="2139" w:type="dxa"/>
            <w:gridSpan w:val="2"/>
            <w:vAlign w:val="center"/>
          </w:tcPr>
          <w:p w14:paraId="0FDA9BDA">
            <w:pPr>
              <w:wordWrap w:val="0"/>
              <w:jc w:val="center"/>
              <w:rPr>
                <w:rFonts w:ascii="宋体" w:eastAsia="宋体" w:hAnsi="宋体" w:cs="宋体"/>
                <w:sz w:val="24"/>
              </w:rPr>
            </w:pPr>
            <w:bookmarkStart w:id="24" w:name="cddwfzrdh"/>
            <w:r>
              <w:rPr>
                <w:rFonts w:ascii="宋体" w:eastAsia="宋体" w:hAnsi="宋体" w:cs="宋体"/>
                <w:sz w:val="24"/>
              </w:rPr>
              <w:t>010-61591483</w:t>
            </w:r>
            <w:bookmarkEnd w:id="24"/>
          </w:p>
        </w:tc>
      </w:tr>
      <w:tr w14:paraId="6684EA4E">
        <w:tblPrEx>
          <w:tblW w:w="10635" w:type="dxa"/>
          <w:jc w:val="center"/>
          <w:tblLayout w:type="fixed"/>
          <w:tblCellMar>
            <w:top w:w="0" w:type="dxa"/>
            <w:left w:w="108" w:type="dxa"/>
            <w:bottom w:w="0" w:type="dxa"/>
            <w:right w:w="108" w:type="dxa"/>
          </w:tblCellMar>
        </w:tblPrEx>
        <w:trPr>
          <w:cantSplit/>
          <w:trHeight w:val="549"/>
          <w:jc w:val="center"/>
        </w:trPr>
        <w:tc>
          <w:tcPr>
            <w:tcW w:w="502" w:type="dxa"/>
            <w:vMerge/>
            <w:vAlign w:val="center"/>
          </w:tcPr>
          <w:p w14:paraId="33C23B7D">
            <w:pPr>
              <w:wordWrap w:val="0"/>
              <w:jc w:val="center"/>
              <w:rPr>
                <w:sz w:val="24"/>
              </w:rPr>
            </w:pPr>
          </w:p>
        </w:tc>
        <w:tc>
          <w:tcPr>
            <w:tcW w:w="1277" w:type="dxa"/>
            <w:vAlign w:val="center"/>
          </w:tcPr>
          <w:p w14:paraId="3D70E681">
            <w:pPr>
              <w:wordWrap w:val="0"/>
              <w:jc w:val="center"/>
              <w:rPr>
                <w:sz w:val="24"/>
              </w:rPr>
            </w:pPr>
            <w:r>
              <w:rPr>
                <w:rFonts w:hint="eastAsia"/>
                <w:sz w:val="24"/>
              </w:rPr>
              <w:t>学位</w:t>
            </w:r>
          </w:p>
        </w:tc>
        <w:tc>
          <w:tcPr>
            <w:tcW w:w="1134" w:type="dxa"/>
            <w:gridSpan w:val="2"/>
            <w:vAlign w:val="center"/>
          </w:tcPr>
          <w:p w14:paraId="2F47B044">
            <w:pPr>
              <w:wordWrap w:val="0"/>
              <w:jc w:val="center"/>
              <w:rPr>
                <w:rFonts w:ascii="宋体" w:eastAsia="宋体" w:hAnsi="宋体" w:cs="宋体"/>
                <w:sz w:val="24"/>
              </w:rPr>
            </w:pPr>
            <w:bookmarkStart w:id="25" w:name="xw"/>
            <w:r>
              <w:rPr>
                <w:rFonts w:ascii="宋体" w:eastAsia="宋体" w:hAnsi="宋体" w:cs="宋体"/>
                <w:sz w:val="24"/>
              </w:rPr>
              <w:t>硕士</w:t>
            </w:r>
            <w:bookmarkEnd w:id="25"/>
          </w:p>
        </w:tc>
        <w:tc>
          <w:tcPr>
            <w:tcW w:w="828" w:type="dxa"/>
            <w:vAlign w:val="center"/>
          </w:tcPr>
          <w:p w14:paraId="6C41EC87">
            <w:pPr>
              <w:wordWrap w:val="0"/>
              <w:jc w:val="center"/>
              <w:rPr>
                <w:sz w:val="24"/>
              </w:rPr>
            </w:pPr>
            <w:r>
              <w:rPr>
                <w:rFonts w:hint="eastAsia"/>
                <w:sz w:val="24"/>
              </w:rPr>
              <w:t>职称</w:t>
            </w:r>
          </w:p>
        </w:tc>
        <w:tc>
          <w:tcPr>
            <w:tcW w:w="1440" w:type="dxa"/>
            <w:vAlign w:val="center"/>
          </w:tcPr>
          <w:p w14:paraId="381BF05A">
            <w:pPr>
              <w:wordWrap w:val="0"/>
              <w:jc w:val="center"/>
              <w:rPr>
                <w:rFonts w:ascii="宋体" w:eastAsia="宋体" w:hAnsi="宋体" w:cs="宋体"/>
                <w:sz w:val="24"/>
              </w:rPr>
            </w:pPr>
            <w:bookmarkStart w:id="26" w:name="zc"/>
            <w:r>
              <w:rPr>
                <w:rFonts w:ascii="宋体" w:eastAsia="宋体" w:hAnsi="宋体" w:cs="宋体"/>
                <w:sz w:val="24"/>
              </w:rPr>
              <w:t>副教授</w:t>
            </w:r>
            <w:bookmarkEnd w:id="26"/>
          </w:p>
        </w:tc>
        <w:tc>
          <w:tcPr>
            <w:tcW w:w="873" w:type="dxa"/>
            <w:gridSpan w:val="2"/>
            <w:vAlign w:val="center"/>
          </w:tcPr>
          <w:p w14:paraId="22E08989">
            <w:pPr>
              <w:wordWrap w:val="0"/>
              <w:jc w:val="center"/>
              <w:rPr>
                <w:sz w:val="24"/>
              </w:rPr>
            </w:pPr>
            <w:r>
              <w:rPr>
                <w:rFonts w:hint="eastAsia"/>
                <w:sz w:val="24"/>
              </w:rPr>
              <w:t>民族</w:t>
            </w:r>
          </w:p>
        </w:tc>
        <w:tc>
          <w:tcPr>
            <w:tcW w:w="1417" w:type="dxa"/>
            <w:gridSpan w:val="2"/>
            <w:vAlign w:val="center"/>
          </w:tcPr>
          <w:p w14:paraId="1B090245">
            <w:pPr>
              <w:wordWrap w:val="0"/>
              <w:jc w:val="center"/>
              <w:rPr>
                <w:rFonts w:ascii="宋体" w:eastAsia="宋体" w:hAnsi="宋体" w:cs="宋体"/>
                <w:sz w:val="24"/>
              </w:rPr>
            </w:pPr>
            <w:bookmarkStart w:id="27" w:name="mz"/>
            <w:r>
              <w:rPr>
                <w:rFonts w:ascii="宋体" w:eastAsia="宋体" w:hAnsi="宋体" w:cs="宋体"/>
                <w:sz w:val="24"/>
              </w:rPr>
              <w:t>汉族</w:t>
            </w:r>
            <w:bookmarkEnd w:id="27"/>
          </w:p>
        </w:tc>
        <w:tc>
          <w:tcPr>
            <w:tcW w:w="1025" w:type="dxa"/>
            <w:vAlign w:val="center"/>
          </w:tcPr>
          <w:p w14:paraId="40B89C3F">
            <w:pPr>
              <w:wordWrap w:val="0"/>
              <w:jc w:val="center"/>
              <w:rPr>
                <w:sz w:val="24"/>
              </w:rPr>
            </w:pPr>
            <w:r>
              <w:rPr>
                <w:rFonts w:hint="eastAsia"/>
                <w:sz w:val="24"/>
              </w:rPr>
              <w:t>移动</w:t>
            </w:r>
          </w:p>
          <w:p w14:paraId="43A8DF11">
            <w:pPr>
              <w:wordWrap w:val="0"/>
              <w:jc w:val="center"/>
              <w:rPr>
                <w:sz w:val="24"/>
              </w:rPr>
            </w:pPr>
            <w:r>
              <w:rPr>
                <w:rFonts w:hint="eastAsia"/>
                <w:sz w:val="24"/>
              </w:rPr>
              <w:t>电话</w:t>
            </w:r>
          </w:p>
        </w:tc>
        <w:tc>
          <w:tcPr>
            <w:tcW w:w="2139" w:type="dxa"/>
            <w:gridSpan w:val="2"/>
            <w:vAlign w:val="center"/>
          </w:tcPr>
          <w:p w14:paraId="40826C63">
            <w:pPr>
              <w:wordWrap w:val="0"/>
              <w:jc w:val="center"/>
              <w:rPr>
                <w:rFonts w:ascii="宋体" w:eastAsia="宋体" w:hAnsi="宋体" w:cs="宋体"/>
                <w:sz w:val="24"/>
              </w:rPr>
            </w:pPr>
            <w:bookmarkStart w:id="28" w:name="cddwfzrsj"/>
            <w:r>
              <w:rPr>
                <w:rFonts w:ascii="宋体" w:eastAsia="宋体" w:hAnsi="宋体" w:cs="宋体"/>
                <w:sz w:val="24"/>
              </w:rPr>
              <w:t>15612611156</w:t>
            </w:r>
            <w:bookmarkEnd w:id="28"/>
          </w:p>
        </w:tc>
      </w:tr>
      <w:tr w14:paraId="0587A71F">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141D9219">
            <w:pPr>
              <w:wordWrap w:val="0"/>
              <w:jc w:val="center"/>
              <w:rPr>
                <w:sz w:val="24"/>
              </w:rPr>
            </w:pPr>
          </w:p>
        </w:tc>
        <w:tc>
          <w:tcPr>
            <w:tcW w:w="1277" w:type="dxa"/>
            <w:vAlign w:val="center"/>
          </w:tcPr>
          <w:p w14:paraId="4D7A81CD">
            <w:pPr>
              <w:wordWrap w:val="0"/>
              <w:jc w:val="center"/>
              <w:rPr>
                <w:sz w:val="24"/>
              </w:rPr>
            </w:pPr>
            <w:r>
              <w:rPr>
                <w:rFonts w:hint="eastAsia"/>
                <w:sz w:val="24"/>
              </w:rPr>
              <w:t>证件名称</w:t>
            </w:r>
          </w:p>
        </w:tc>
        <w:tc>
          <w:tcPr>
            <w:tcW w:w="1134" w:type="dxa"/>
            <w:gridSpan w:val="2"/>
            <w:vAlign w:val="center"/>
          </w:tcPr>
          <w:p w14:paraId="6FD28291">
            <w:pPr>
              <w:wordWrap w:val="0"/>
              <w:jc w:val="center"/>
              <w:rPr>
                <w:rFonts w:ascii="宋体" w:eastAsia="宋体" w:hAnsi="宋体" w:cs="宋体"/>
                <w:sz w:val="24"/>
              </w:rPr>
            </w:pPr>
            <w:bookmarkStart w:id="29" w:name="zjmc"/>
            <w:r>
              <w:rPr>
                <w:rFonts w:ascii="宋体" w:eastAsia="宋体" w:hAnsi="宋体" w:cs="宋体"/>
                <w:sz w:val="24"/>
              </w:rPr>
              <w:t>身份证</w:t>
            </w:r>
            <w:bookmarkEnd w:id="29"/>
          </w:p>
        </w:tc>
        <w:tc>
          <w:tcPr>
            <w:tcW w:w="828" w:type="dxa"/>
            <w:vAlign w:val="center"/>
          </w:tcPr>
          <w:p w14:paraId="79E7E07F">
            <w:pPr>
              <w:wordWrap w:val="0"/>
              <w:jc w:val="center"/>
              <w:rPr>
                <w:sz w:val="24"/>
              </w:rPr>
            </w:pPr>
            <w:r>
              <w:rPr>
                <w:rFonts w:hint="eastAsia"/>
                <w:sz w:val="24"/>
              </w:rPr>
              <w:t>证件号码</w:t>
            </w:r>
          </w:p>
        </w:tc>
        <w:tc>
          <w:tcPr>
            <w:tcW w:w="3730" w:type="dxa"/>
            <w:gridSpan w:val="5"/>
            <w:vAlign w:val="center"/>
          </w:tcPr>
          <w:p w14:paraId="4F9C50A9">
            <w:pPr>
              <w:wordWrap w:val="0"/>
              <w:jc w:val="left"/>
              <w:rPr>
                <w:rFonts w:ascii="宋体" w:eastAsia="宋体" w:hAnsi="宋体" w:cs="宋体"/>
                <w:sz w:val="24"/>
              </w:rPr>
            </w:pPr>
            <w:bookmarkStart w:id="30" w:name="zjhm"/>
            <w:r>
              <w:rPr>
                <w:rFonts w:ascii="宋体" w:eastAsia="宋体" w:hAnsi="宋体" w:cs="宋体"/>
                <w:sz w:val="24"/>
              </w:rPr>
              <w:t>422202198709210049</w:t>
            </w:r>
            <w:bookmarkEnd w:id="30"/>
          </w:p>
        </w:tc>
        <w:tc>
          <w:tcPr>
            <w:tcW w:w="1025" w:type="dxa"/>
            <w:vAlign w:val="center"/>
          </w:tcPr>
          <w:p w14:paraId="3E87AFD5">
            <w:pPr>
              <w:wordWrap w:val="0"/>
              <w:jc w:val="center"/>
              <w:rPr>
                <w:sz w:val="24"/>
              </w:rPr>
            </w:pPr>
            <w:r>
              <w:rPr>
                <w:rFonts w:hint="eastAsia"/>
                <w:sz w:val="24"/>
              </w:rPr>
              <w:t>电子</w:t>
            </w:r>
          </w:p>
          <w:p w14:paraId="3ACF4C38">
            <w:pPr>
              <w:wordWrap w:val="0"/>
              <w:jc w:val="center"/>
              <w:rPr>
                <w:sz w:val="24"/>
              </w:rPr>
            </w:pPr>
            <w:r>
              <w:rPr>
                <w:rFonts w:hint="eastAsia"/>
                <w:sz w:val="24"/>
              </w:rPr>
              <w:t>邮箱</w:t>
            </w:r>
          </w:p>
        </w:tc>
        <w:tc>
          <w:tcPr>
            <w:tcW w:w="2139" w:type="dxa"/>
            <w:gridSpan w:val="2"/>
            <w:vAlign w:val="center"/>
          </w:tcPr>
          <w:p w14:paraId="3DABDE9B">
            <w:pPr>
              <w:wordWrap w:val="0"/>
              <w:jc w:val="center"/>
              <w:rPr>
                <w:rFonts w:ascii="宋体" w:eastAsia="宋体" w:hAnsi="宋体" w:cs="宋体"/>
                <w:sz w:val="24"/>
              </w:rPr>
            </w:pPr>
            <w:bookmarkStart w:id="31" w:name="cddwfzryx"/>
            <w:r>
              <w:rPr>
                <w:rFonts w:ascii="宋体" w:eastAsia="宋体" w:hAnsi="宋体" w:cs="宋体"/>
                <w:sz w:val="24"/>
              </w:rPr>
              <w:t>zhangyujiebetter@163.com</w:t>
            </w:r>
            <w:bookmarkEnd w:id="31"/>
          </w:p>
        </w:tc>
      </w:tr>
      <w:tr w14:paraId="1432E200">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022F653">
            <w:pPr>
              <w:wordWrap w:val="0"/>
              <w:jc w:val="center"/>
              <w:rPr>
                <w:sz w:val="24"/>
              </w:rPr>
            </w:pPr>
          </w:p>
        </w:tc>
        <w:tc>
          <w:tcPr>
            <w:tcW w:w="1277" w:type="dxa"/>
            <w:vAlign w:val="center"/>
          </w:tcPr>
          <w:p w14:paraId="1850B27C">
            <w:pPr>
              <w:wordWrap w:val="0"/>
              <w:jc w:val="center"/>
              <w:rPr>
                <w:sz w:val="24"/>
              </w:rPr>
            </w:pPr>
            <w:r>
              <w:rPr>
                <w:rFonts w:hint="eastAsia"/>
                <w:sz w:val="24"/>
              </w:rPr>
              <w:t>工作单位</w:t>
            </w:r>
          </w:p>
        </w:tc>
        <w:tc>
          <w:tcPr>
            <w:tcW w:w="5692" w:type="dxa"/>
            <w:gridSpan w:val="8"/>
            <w:vAlign w:val="center"/>
          </w:tcPr>
          <w:p w14:paraId="7B2793C8">
            <w:pPr>
              <w:wordWrap w:val="0"/>
              <w:jc w:val="left"/>
              <w:rPr>
                <w:rFonts w:ascii="宋体" w:eastAsia="宋体" w:hAnsi="宋体" w:cs="宋体"/>
                <w:sz w:val="24"/>
              </w:rPr>
            </w:pPr>
            <w:bookmarkStart w:id="32" w:name="sbrdwmc"/>
            <w:r>
              <w:rPr>
                <w:rFonts w:ascii="宋体" w:eastAsia="宋体" w:hAnsi="宋体" w:cs="宋体"/>
                <w:sz w:val="24"/>
              </w:rPr>
              <w:t>华北科技学院</w:t>
            </w:r>
            <w:bookmarkEnd w:id="32"/>
          </w:p>
        </w:tc>
        <w:tc>
          <w:tcPr>
            <w:tcW w:w="1025" w:type="dxa"/>
            <w:vAlign w:val="center"/>
          </w:tcPr>
          <w:p w14:paraId="27B78693">
            <w:pPr>
              <w:wordWrap w:val="0"/>
              <w:jc w:val="center"/>
              <w:rPr>
                <w:sz w:val="24"/>
              </w:rPr>
            </w:pPr>
            <w:r>
              <w:rPr>
                <w:rFonts w:hint="eastAsia"/>
                <w:sz w:val="24"/>
              </w:rPr>
              <w:t>申报人</w:t>
            </w:r>
          </w:p>
          <w:p w14:paraId="385D5213">
            <w:pPr>
              <w:jc w:val="center"/>
              <w:rPr>
                <w:sz w:val="24"/>
              </w:rPr>
            </w:pPr>
            <w:r>
              <w:rPr>
                <w:rFonts w:hint="eastAsia"/>
                <w:sz w:val="24"/>
              </w:rPr>
              <w:t>类别</w:t>
            </w:r>
          </w:p>
        </w:tc>
        <w:tc>
          <w:tcPr>
            <w:tcW w:w="2139" w:type="dxa"/>
            <w:gridSpan w:val="2"/>
            <w:vAlign w:val="center"/>
          </w:tcPr>
          <w:p w14:paraId="6ADBFAD6">
            <w:pPr>
              <w:jc w:val="center"/>
              <w:rPr>
                <w:rFonts w:ascii="宋体" w:eastAsia="宋体" w:hAnsi="宋体" w:cs="宋体"/>
                <w:sz w:val="24"/>
              </w:rPr>
            </w:pPr>
            <w:bookmarkStart w:id="33" w:name="sbrlb"/>
            <w:r>
              <w:rPr>
                <w:rFonts w:ascii="宋体" w:eastAsia="宋体" w:hAnsi="宋体" w:cs="宋体"/>
                <w:sz w:val="24"/>
              </w:rPr>
              <w:t>在冀全职人员</w:t>
            </w:r>
            <w:bookmarkEnd w:id="33"/>
          </w:p>
        </w:tc>
      </w:tr>
      <w:tr w14:paraId="0B04A9C6">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7F14D005">
            <w:pPr>
              <w:wordWrap w:val="0"/>
              <w:jc w:val="center"/>
              <w:rPr>
                <w:sz w:val="24"/>
              </w:rPr>
            </w:pPr>
          </w:p>
        </w:tc>
        <w:tc>
          <w:tcPr>
            <w:tcW w:w="1277" w:type="dxa"/>
            <w:vAlign w:val="center"/>
          </w:tcPr>
          <w:p w14:paraId="5C7D4E98">
            <w:pPr>
              <w:wordWrap w:val="0"/>
              <w:jc w:val="center"/>
              <w:rPr>
                <w:sz w:val="24"/>
              </w:rPr>
            </w:pPr>
            <w:r>
              <w:rPr>
                <w:rFonts w:hint="eastAsia"/>
                <w:sz w:val="24"/>
              </w:rPr>
              <w:t>个人通讯地址</w:t>
            </w:r>
          </w:p>
        </w:tc>
        <w:tc>
          <w:tcPr>
            <w:tcW w:w="5692" w:type="dxa"/>
            <w:gridSpan w:val="8"/>
            <w:vAlign w:val="center"/>
          </w:tcPr>
          <w:p w14:paraId="4E3D03F2">
            <w:pPr>
              <w:wordWrap w:val="0"/>
              <w:jc w:val="left"/>
              <w:rPr>
                <w:rFonts w:ascii="宋体" w:eastAsia="宋体" w:hAnsi="宋体" w:cs="宋体"/>
                <w:sz w:val="24"/>
              </w:rPr>
            </w:pPr>
            <w:bookmarkStart w:id="34" w:name="txdz"/>
            <w:bookmarkEnd w:id="34"/>
          </w:p>
        </w:tc>
        <w:tc>
          <w:tcPr>
            <w:tcW w:w="1025" w:type="dxa"/>
            <w:vAlign w:val="center"/>
          </w:tcPr>
          <w:p w14:paraId="75A86A22">
            <w:pPr>
              <w:wordWrap w:val="0"/>
              <w:jc w:val="center"/>
              <w:rPr>
                <w:sz w:val="24"/>
              </w:rPr>
            </w:pPr>
            <w:r>
              <w:rPr>
                <w:rFonts w:hint="eastAsia"/>
                <w:sz w:val="24"/>
              </w:rPr>
              <w:t>邮政</w:t>
            </w:r>
          </w:p>
          <w:p w14:paraId="15CD35E1">
            <w:pPr>
              <w:wordWrap w:val="0"/>
              <w:jc w:val="center"/>
              <w:rPr>
                <w:sz w:val="24"/>
              </w:rPr>
            </w:pPr>
            <w:r>
              <w:rPr>
                <w:rFonts w:hint="eastAsia"/>
                <w:sz w:val="24"/>
              </w:rPr>
              <w:t>编码</w:t>
            </w:r>
          </w:p>
        </w:tc>
        <w:tc>
          <w:tcPr>
            <w:tcW w:w="2139" w:type="dxa"/>
            <w:gridSpan w:val="2"/>
            <w:vAlign w:val="center"/>
          </w:tcPr>
          <w:p w14:paraId="7C98BFD8">
            <w:pPr>
              <w:wordWrap w:val="0"/>
              <w:jc w:val="center"/>
              <w:rPr>
                <w:rFonts w:ascii="宋体" w:eastAsia="宋体" w:hAnsi="宋体" w:cs="宋体"/>
                <w:sz w:val="24"/>
              </w:rPr>
            </w:pPr>
            <w:bookmarkStart w:id="35" w:name="yzbm"/>
            <w:r>
              <w:rPr>
                <w:rFonts w:ascii="宋体" w:eastAsia="宋体" w:hAnsi="宋体" w:cs="宋体"/>
                <w:sz w:val="24"/>
              </w:rPr>
              <w:t>065201</w:t>
            </w:r>
            <w:bookmarkEnd w:id="35"/>
          </w:p>
        </w:tc>
      </w:tr>
      <w:tr w14:paraId="7236417B">
        <w:tblPrEx>
          <w:tblW w:w="10635" w:type="dxa"/>
          <w:jc w:val="center"/>
          <w:tblLayout w:type="fixed"/>
          <w:tblCellMar>
            <w:top w:w="0" w:type="dxa"/>
            <w:left w:w="108" w:type="dxa"/>
            <w:bottom w:w="0" w:type="dxa"/>
            <w:right w:w="108" w:type="dxa"/>
          </w:tblCellMar>
        </w:tblPrEx>
        <w:trPr>
          <w:cantSplit/>
          <w:trHeight w:val="419"/>
          <w:jc w:val="center"/>
        </w:trPr>
        <w:tc>
          <w:tcPr>
            <w:tcW w:w="502" w:type="dxa"/>
            <w:vMerge/>
            <w:vAlign w:val="center"/>
          </w:tcPr>
          <w:p w14:paraId="4CF1BE69">
            <w:pPr>
              <w:wordWrap w:val="0"/>
              <w:jc w:val="center"/>
              <w:rPr>
                <w:sz w:val="24"/>
              </w:rPr>
            </w:pPr>
          </w:p>
        </w:tc>
        <w:tc>
          <w:tcPr>
            <w:tcW w:w="1277" w:type="dxa"/>
            <w:vAlign w:val="center"/>
          </w:tcPr>
          <w:p w14:paraId="7122A5CC">
            <w:pPr>
              <w:wordWrap w:val="0"/>
              <w:jc w:val="center"/>
              <w:rPr>
                <w:sz w:val="24"/>
              </w:rPr>
            </w:pPr>
            <w:r>
              <w:rPr>
                <w:rFonts w:hint="eastAsia"/>
                <w:sz w:val="24"/>
              </w:rPr>
              <w:t>主要研究领域</w:t>
            </w:r>
          </w:p>
        </w:tc>
        <w:tc>
          <w:tcPr>
            <w:tcW w:w="8856" w:type="dxa"/>
            <w:gridSpan w:val="11"/>
            <w:vAlign w:val="center"/>
          </w:tcPr>
          <w:p w14:paraId="593F7347">
            <w:pPr>
              <w:wordWrap w:val="0"/>
              <w:jc w:val="left"/>
              <w:rPr>
                <w:rFonts w:ascii="宋体" w:eastAsia="宋体" w:hAnsi="宋体" w:cs="宋体"/>
                <w:sz w:val="24"/>
              </w:rPr>
            </w:pPr>
            <w:bookmarkStart w:id="36" w:name="zyyjly"/>
            <w:bookmarkEnd w:id="36"/>
          </w:p>
        </w:tc>
      </w:tr>
      <w:tr w14:paraId="4BB08146">
        <w:tblPrEx>
          <w:tblW w:w="10635" w:type="dxa"/>
          <w:jc w:val="center"/>
          <w:tblLayout w:type="fixed"/>
          <w:tblCellMar>
            <w:top w:w="0" w:type="dxa"/>
            <w:left w:w="108" w:type="dxa"/>
            <w:bottom w:w="0" w:type="dxa"/>
            <w:right w:w="108" w:type="dxa"/>
          </w:tblCellMar>
        </w:tblPrEx>
        <w:trPr>
          <w:cantSplit/>
          <w:trHeight w:val="539"/>
          <w:jc w:val="center"/>
        </w:trPr>
        <w:tc>
          <w:tcPr>
            <w:tcW w:w="502" w:type="dxa"/>
            <w:vMerge w:val="restart"/>
          </w:tcPr>
          <w:p w14:paraId="267B11F5">
            <w:pPr>
              <w:wordWrap w:val="0"/>
              <w:rPr>
                <w:sz w:val="24"/>
              </w:rPr>
            </w:pPr>
          </w:p>
          <w:p w14:paraId="5A6CAAA9">
            <w:pPr>
              <w:wordWrap w:val="0"/>
              <w:rPr>
                <w:sz w:val="24"/>
              </w:rPr>
            </w:pPr>
          </w:p>
          <w:p w14:paraId="15DBFA40">
            <w:pPr>
              <w:wordWrap w:val="0"/>
              <w:rPr>
                <w:sz w:val="24"/>
              </w:rPr>
            </w:pPr>
          </w:p>
          <w:p w14:paraId="331C2F75">
            <w:pPr>
              <w:wordWrap w:val="0"/>
              <w:rPr>
                <w:sz w:val="24"/>
              </w:rPr>
            </w:pPr>
          </w:p>
          <w:p w14:paraId="5B557CE9">
            <w:pPr>
              <w:wordWrap w:val="0"/>
              <w:rPr>
                <w:sz w:val="24"/>
              </w:rPr>
            </w:pPr>
          </w:p>
          <w:p w14:paraId="79A5D593">
            <w:pPr>
              <w:wordWrap w:val="0"/>
              <w:rPr>
                <w:sz w:val="24"/>
              </w:rPr>
            </w:pPr>
          </w:p>
          <w:p w14:paraId="69FF6DEC">
            <w:pPr>
              <w:wordWrap w:val="0"/>
              <w:rPr>
                <w:sz w:val="24"/>
              </w:rPr>
            </w:pPr>
            <w:r>
              <w:rPr>
                <w:rFonts w:hint="eastAsia"/>
                <w:sz w:val="24"/>
              </w:rPr>
              <w:t>申报</w:t>
            </w:r>
          </w:p>
          <w:p w14:paraId="0728EAF4">
            <w:pPr>
              <w:wordWrap w:val="0"/>
              <w:rPr>
                <w:sz w:val="24"/>
              </w:rPr>
            </w:pPr>
            <w:r>
              <w:rPr>
                <w:rFonts w:hint="eastAsia"/>
                <w:sz w:val="24"/>
              </w:rPr>
              <w:t>单</w:t>
            </w:r>
          </w:p>
          <w:p w14:paraId="47CA3B8D">
            <w:pPr>
              <w:wordWrap w:val="0"/>
              <w:rPr>
                <w:sz w:val="24"/>
              </w:rPr>
            </w:pPr>
            <w:r>
              <w:rPr>
                <w:rFonts w:hint="eastAsia"/>
                <w:sz w:val="24"/>
              </w:rPr>
              <w:t>位</w:t>
            </w:r>
          </w:p>
          <w:p w14:paraId="345B70CE">
            <w:pPr>
              <w:wordWrap w:val="0"/>
              <w:rPr>
                <w:sz w:val="24"/>
              </w:rPr>
            </w:pPr>
            <w:r>
              <w:rPr>
                <w:rFonts w:hint="eastAsia"/>
                <w:sz w:val="24"/>
              </w:rPr>
              <w:t>概</w:t>
            </w:r>
          </w:p>
          <w:p w14:paraId="33036DD9">
            <w:pPr>
              <w:wordWrap w:val="0"/>
              <w:rPr>
                <w:sz w:val="24"/>
              </w:rPr>
            </w:pPr>
            <w:r>
              <w:rPr>
                <w:rFonts w:hint="eastAsia"/>
                <w:sz w:val="24"/>
              </w:rPr>
              <w:t>况</w:t>
            </w:r>
          </w:p>
          <w:p w14:paraId="2599DD99">
            <w:pPr>
              <w:wordWrap w:val="0"/>
              <w:rPr>
                <w:sz w:val="24"/>
              </w:rPr>
            </w:pPr>
          </w:p>
          <w:p w14:paraId="1AD7002A">
            <w:pPr>
              <w:wordWrap w:val="0"/>
              <w:rPr>
                <w:sz w:val="24"/>
              </w:rPr>
            </w:pPr>
          </w:p>
          <w:p w14:paraId="452E0CF8">
            <w:pPr>
              <w:wordWrap w:val="0"/>
              <w:rPr>
                <w:sz w:val="24"/>
              </w:rPr>
            </w:pPr>
          </w:p>
        </w:tc>
        <w:tc>
          <w:tcPr>
            <w:tcW w:w="1277" w:type="dxa"/>
            <w:vAlign w:val="center"/>
          </w:tcPr>
          <w:p w14:paraId="12B46B66">
            <w:pPr>
              <w:wordWrap w:val="0"/>
              <w:jc w:val="center"/>
              <w:rPr>
                <w:sz w:val="24"/>
              </w:rPr>
            </w:pPr>
            <w:r>
              <w:rPr>
                <w:rFonts w:hint="eastAsia"/>
                <w:sz w:val="24"/>
              </w:rPr>
              <w:t>单位名称</w:t>
            </w:r>
          </w:p>
        </w:tc>
        <w:tc>
          <w:tcPr>
            <w:tcW w:w="4275" w:type="dxa"/>
            <w:gridSpan w:val="6"/>
            <w:vAlign w:val="center"/>
          </w:tcPr>
          <w:p w14:paraId="2E88F1B6">
            <w:pPr>
              <w:wordWrap w:val="0"/>
              <w:jc w:val="left"/>
              <w:rPr>
                <w:rFonts w:ascii="宋体" w:eastAsia="宋体" w:hAnsi="宋体" w:cs="宋体"/>
                <w:sz w:val="24"/>
              </w:rPr>
            </w:pPr>
            <w:bookmarkStart w:id="37" w:name="cddwmc"/>
            <w:r>
              <w:rPr>
                <w:rFonts w:ascii="宋体" w:eastAsia="宋体" w:hAnsi="宋体" w:cs="宋体"/>
                <w:sz w:val="24"/>
              </w:rPr>
              <w:t>华北科技学院</w:t>
            </w:r>
            <w:bookmarkEnd w:id="37"/>
          </w:p>
        </w:tc>
        <w:tc>
          <w:tcPr>
            <w:tcW w:w="1417" w:type="dxa"/>
            <w:gridSpan w:val="2"/>
            <w:vAlign w:val="center"/>
          </w:tcPr>
          <w:p w14:paraId="56AD9BCC">
            <w:pPr>
              <w:wordWrap w:val="0"/>
              <w:jc w:val="center"/>
              <w:rPr>
                <w:sz w:val="24"/>
              </w:rPr>
            </w:pPr>
            <w:r>
              <w:rPr>
                <w:rFonts w:hint="eastAsia"/>
                <w:sz w:val="24"/>
              </w:rPr>
              <w:t>法定代表人</w:t>
            </w:r>
          </w:p>
        </w:tc>
        <w:tc>
          <w:tcPr>
            <w:tcW w:w="3164" w:type="dxa"/>
            <w:gridSpan w:val="3"/>
            <w:vAlign w:val="center"/>
          </w:tcPr>
          <w:p w14:paraId="5D3EC24A">
            <w:pPr>
              <w:wordWrap w:val="0"/>
              <w:jc w:val="center"/>
              <w:rPr>
                <w:rFonts w:ascii="宋体" w:eastAsia="宋体" w:hAnsi="宋体" w:cs="宋体"/>
                <w:sz w:val="24"/>
              </w:rPr>
            </w:pPr>
            <w:bookmarkStart w:id="38" w:name="cddwfr1"/>
            <w:r>
              <w:rPr>
                <w:rFonts w:ascii="宋体" w:eastAsia="宋体" w:hAnsi="宋体" w:cs="宋体"/>
                <w:sz w:val="24"/>
              </w:rPr>
              <w:t>任云生</w:t>
            </w:r>
            <w:bookmarkEnd w:id="38"/>
          </w:p>
        </w:tc>
      </w:tr>
      <w:tr w14:paraId="7C46B2CD">
        <w:tblPrEx>
          <w:tblW w:w="10635" w:type="dxa"/>
          <w:jc w:val="center"/>
          <w:tblLayout w:type="fixed"/>
          <w:tblCellMar>
            <w:top w:w="0" w:type="dxa"/>
            <w:left w:w="108" w:type="dxa"/>
            <w:bottom w:w="0" w:type="dxa"/>
            <w:right w:w="108" w:type="dxa"/>
          </w:tblCellMar>
        </w:tblPrEx>
        <w:trPr>
          <w:cantSplit/>
          <w:trHeight w:val="561"/>
          <w:jc w:val="center"/>
        </w:trPr>
        <w:tc>
          <w:tcPr>
            <w:tcW w:w="502" w:type="dxa"/>
            <w:vMerge/>
          </w:tcPr>
          <w:p w14:paraId="4D5C45F4">
            <w:pPr>
              <w:wordWrap w:val="0"/>
              <w:rPr>
                <w:sz w:val="24"/>
              </w:rPr>
            </w:pPr>
          </w:p>
        </w:tc>
        <w:tc>
          <w:tcPr>
            <w:tcW w:w="1277" w:type="dxa"/>
            <w:vAlign w:val="center"/>
          </w:tcPr>
          <w:p w14:paraId="67F46E37">
            <w:pPr>
              <w:wordWrap w:val="0"/>
              <w:jc w:val="center"/>
              <w:rPr>
                <w:sz w:val="24"/>
              </w:rPr>
            </w:pPr>
            <w:r>
              <w:rPr>
                <w:rFonts w:hint="eastAsia"/>
                <w:sz w:val="24"/>
              </w:rPr>
              <w:t>单位地址</w:t>
            </w:r>
          </w:p>
        </w:tc>
        <w:tc>
          <w:tcPr>
            <w:tcW w:w="4275" w:type="dxa"/>
            <w:gridSpan w:val="6"/>
            <w:vAlign w:val="center"/>
          </w:tcPr>
          <w:p w14:paraId="2735263F">
            <w:pPr>
              <w:wordWrap w:val="0"/>
              <w:jc w:val="left"/>
              <w:rPr>
                <w:rFonts w:ascii="宋体" w:eastAsia="宋体" w:hAnsi="宋体" w:cs="宋体"/>
                <w:sz w:val="24"/>
              </w:rPr>
            </w:pPr>
            <w:bookmarkStart w:id="39" w:name="cddwdz1"/>
            <w:r>
              <w:rPr>
                <w:rFonts w:ascii="宋体" w:eastAsia="宋体" w:hAnsi="宋体" w:cs="宋体"/>
                <w:sz w:val="24"/>
              </w:rPr>
              <w:t>河北省三河市燕郊开发区学院街467号华北科技学院科技管理处</w:t>
            </w:r>
            <w:bookmarkEnd w:id="39"/>
          </w:p>
        </w:tc>
        <w:tc>
          <w:tcPr>
            <w:tcW w:w="1417" w:type="dxa"/>
            <w:gridSpan w:val="2"/>
            <w:vAlign w:val="center"/>
          </w:tcPr>
          <w:p w14:paraId="3D0918CD">
            <w:pPr>
              <w:wordWrap w:val="0"/>
              <w:jc w:val="center"/>
              <w:rPr>
                <w:sz w:val="24"/>
              </w:rPr>
            </w:pPr>
            <w:r>
              <w:rPr>
                <w:rFonts w:hint="eastAsia"/>
                <w:sz w:val="24"/>
              </w:rPr>
              <w:t>注册（纳税）地区</w:t>
            </w:r>
          </w:p>
        </w:tc>
        <w:tc>
          <w:tcPr>
            <w:tcW w:w="3164" w:type="dxa"/>
            <w:gridSpan w:val="3"/>
            <w:vAlign w:val="center"/>
          </w:tcPr>
          <w:p w14:paraId="2109491D">
            <w:pPr>
              <w:wordWrap w:val="0"/>
              <w:jc w:val="center"/>
              <w:rPr>
                <w:rFonts w:ascii="宋体" w:eastAsia="宋体" w:hAnsi="宋体" w:cs="宋体"/>
                <w:sz w:val="24"/>
              </w:rPr>
            </w:pPr>
            <w:bookmarkStart w:id="40" w:name="cddwssdq"/>
            <w:r>
              <w:rPr>
                <w:rFonts w:ascii="宋体" w:eastAsia="宋体" w:hAnsi="宋体" w:cs="宋体"/>
                <w:sz w:val="24"/>
              </w:rPr>
              <w:t>河北省-廊坊市-三河市</w:t>
            </w:r>
            <w:bookmarkEnd w:id="40"/>
          </w:p>
        </w:tc>
      </w:tr>
      <w:tr w14:paraId="7FCABC74">
        <w:tblPrEx>
          <w:tblW w:w="10635" w:type="dxa"/>
          <w:jc w:val="center"/>
          <w:tblLayout w:type="fixed"/>
          <w:tblCellMar>
            <w:top w:w="0" w:type="dxa"/>
            <w:left w:w="108" w:type="dxa"/>
            <w:bottom w:w="0" w:type="dxa"/>
            <w:right w:w="108" w:type="dxa"/>
          </w:tblCellMar>
        </w:tblPrEx>
        <w:trPr>
          <w:cantSplit/>
          <w:trHeight w:val="492"/>
          <w:jc w:val="center"/>
        </w:trPr>
        <w:tc>
          <w:tcPr>
            <w:tcW w:w="502" w:type="dxa"/>
            <w:vMerge/>
          </w:tcPr>
          <w:p w14:paraId="3F465770">
            <w:pPr>
              <w:wordWrap w:val="0"/>
              <w:rPr>
                <w:sz w:val="24"/>
              </w:rPr>
            </w:pPr>
          </w:p>
        </w:tc>
        <w:tc>
          <w:tcPr>
            <w:tcW w:w="1277" w:type="dxa"/>
            <w:vAlign w:val="center"/>
          </w:tcPr>
          <w:p w14:paraId="08952BFF">
            <w:pPr>
              <w:wordWrap w:val="0"/>
              <w:rPr>
                <w:sz w:val="24"/>
              </w:rPr>
            </w:pPr>
            <w:r>
              <w:rPr>
                <w:sz w:val="24"/>
              </w:rPr>
              <w:t>统一社会信用代码</w:t>
            </w:r>
          </w:p>
        </w:tc>
        <w:tc>
          <w:tcPr>
            <w:tcW w:w="8856" w:type="dxa"/>
            <w:gridSpan w:val="11"/>
            <w:vAlign w:val="center"/>
          </w:tcPr>
          <w:p w14:paraId="5DC593FA">
            <w:pPr>
              <w:wordWrap w:val="0"/>
              <w:rPr>
                <w:rFonts w:ascii="宋体" w:eastAsia="宋体" w:hAnsi="宋体" w:cs="宋体"/>
                <w:sz w:val="24"/>
              </w:rPr>
            </w:pPr>
            <w:bookmarkStart w:id="41" w:name="cddwxydm"/>
            <w:r>
              <w:rPr>
                <w:rFonts w:ascii="宋体" w:eastAsia="宋体" w:hAnsi="宋体" w:cs="宋体"/>
                <w:sz w:val="24"/>
              </w:rPr>
              <w:t>12100000H52627482X</w:t>
            </w:r>
            <w:bookmarkEnd w:id="41"/>
          </w:p>
        </w:tc>
      </w:tr>
      <w:tr w14:paraId="1E76262A">
        <w:tblPrEx>
          <w:tblW w:w="10635" w:type="dxa"/>
          <w:jc w:val="center"/>
          <w:tblLayout w:type="fixed"/>
          <w:tblCellMar>
            <w:top w:w="0" w:type="dxa"/>
            <w:left w:w="108" w:type="dxa"/>
            <w:bottom w:w="0" w:type="dxa"/>
            <w:right w:w="108" w:type="dxa"/>
          </w:tblCellMar>
        </w:tblPrEx>
        <w:trPr>
          <w:cantSplit/>
          <w:trHeight w:val="402"/>
          <w:jc w:val="center"/>
        </w:trPr>
        <w:tc>
          <w:tcPr>
            <w:tcW w:w="502" w:type="dxa"/>
            <w:vMerge/>
          </w:tcPr>
          <w:p w14:paraId="1FAC97CB">
            <w:pPr>
              <w:wordWrap w:val="0"/>
              <w:rPr>
                <w:sz w:val="24"/>
              </w:rPr>
            </w:pPr>
          </w:p>
        </w:tc>
        <w:tc>
          <w:tcPr>
            <w:tcW w:w="1277" w:type="dxa"/>
            <w:vAlign w:val="center"/>
          </w:tcPr>
          <w:p w14:paraId="3B47FEB8">
            <w:pPr>
              <w:wordWrap w:val="0"/>
              <w:jc w:val="center"/>
              <w:rPr>
                <w:sz w:val="24"/>
              </w:rPr>
            </w:pPr>
            <w:r>
              <w:rPr>
                <w:rFonts w:hint="eastAsia"/>
                <w:sz w:val="24"/>
              </w:rPr>
              <w:t>开户名称</w:t>
            </w:r>
          </w:p>
        </w:tc>
        <w:tc>
          <w:tcPr>
            <w:tcW w:w="4275" w:type="dxa"/>
            <w:gridSpan w:val="6"/>
            <w:vAlign w:val="center"/>
          </w:tcPr>
          <w:p w14:paraId="5403A69E">
            <w:pPr>
              <w:wordWrap w:val="0"/>
              <w:rPr>
                <w:rFonts w:ascii="宋体" w:eastAsia="宋体" w:hAnsi="宋体" w:cs="宋体"/>
                <w:sz w:val="24"/>
              </w:rPr>
            </w:pPr>
            <w:bookmarkStart w:id="42" w:name="cddwkhmc"/>
            <w:r>
              <w:rPr>
                <w:rFonts w:ascii="宋体" w:eastAsia="宋体" w:hAnsi="宋体" w:cs="宋体"/>
                <w:sz w:val="24"/>
              </w:rPr>
              <w:t>华北科技学院</w:t>
            </w:r>
            <w:bookmarkEnd w:id="42"/>
          </w:p>
        </w:tc>
        <w:tc>
          <w:tcPr>
            <w:tcW w:w="1417" w:type="dxa"/>
            <w:gridSpan w:val="2"/>
            <w:vAlign w:val="center"/>
          </w:tcPr>
          <w:p w14:paraId="2B1BEA12">
            <w:pPr>
              <w:wordWrap w:val="0"/>
              <w:jc w:val="center"/>
              <w:rPr>
                <w:sz w:val="24"/>
              </w:rPr>
            </w:pPr>
            <w:r>
              <w:rPr>
                <w:sz w:val="24"/>
              </w:rPr>
              <w:t>开户银行</w:t>
            </w:r>
          </w:p>
          <w:p w14:paraId="68EF72E1">
            <w:pPr>
              <w:wordWrap w:val="0"/>
              <w:jc w:val="center"/>
              <w:rPr>
                <w:sz w:val="24"/>
              </w:rPr>
            </w:pPr>
            <w:r>
              <w:rPr>
                <w:sz w:val="24"/>
              </w:rPr>
              <w:t>行号</w:t>
            </w:r>
          </w:p>
        </w:tc>
        <w:tc>
          <w:tcPr>
            <w:tcW w:w="3164" w:type="dxa"/>
            <w:gridSpan w:val="3"/>
            <w:vAlign w:val="center"/>
          </w:tcPr>
          <w:p w14:paraId="4517005F">
            <w:pPr>
              <w:wordWrap w:val="0"/>
              <w:rPr>
                <w:rFonts w:ascii="宋体" w:eastAsia="宋体" w:hAnsi="宋体" w:cs="宋体"/>
                <w:sz w:val="24"/>
              </w:rPr>
            </w:pPr>
            <w:bookmarkStart w:id="43" w:name="cddwhh"/>
            <w:r>
              <w:rPr>
                <w:rFonts w:ascii="宋体" w:eastAsia="宋体" w:hAnsi="宋体" w:cs="宋体"/>
                <w:sz w:val="24"/>
              </w:rPr>
              <w:t>104146100051</w:t>
            </w:r>
            <w:bookmarkEnd w:id="43"/>
          </w:p>
        </w:tc>
      </w:tr>
      <w:tr w14:paraId="5E60B7A0">
        <w:tblPrEx>
          <w:tblW w:w="10635" w:type="dxa"/>
          <w:jc w:val="center"/>
          <w:tblLayout w:type="fixed"/>
          <w:tblCellMar>
            <w:top w:w="0" w:type="dxa"/>
            <w:left w:w="108" w:type="dxa"/>
            <w:bottom w:w="0" w:type="dxa"/>
            <w:right w:w="108" w:type="dxa"/>
          </w:tblCellMar>
        </w:tblPrEx>
        <w:trPr>
          <w:cantSplit/>
          <w:trHeight w:val="543"/>
          <w:jc w:val="center"/>
        </w:trPr>
        <w:tc>
          <w:tcPr>
            <w:tcW w:w="502" w:type="dxa"/>
            <w:vMerge/>
          </w:tcPr>
          <w:p w14:paraId="35A2D115">
            <w:pPr>
              <w:wordWrap w:val="0"/>
              <w:rPr>
                <w:sz w:val="24"/>
              </w:rPr>
            </w:pPr>
          </w:p>
        </w:tc>
        <w:tc>
          <w:tcPr>
            <w:tcW w:w="1277" w:type="dxa"/>
            <w:vAlign w:val="center"/>
          </w:tcPr>
          <w:p w14:paraId="423BD278">
            <w:pPr>
              <w:wordWrap w:val="0"/>
              <w:jc w:val="center"/>
              <w:rPr>
                <w:sz w:val="24"/>
              </w:rPr>
            </w:pPr>
            <w:r>
              <w:rPr>
                <w:rFonts w:hint="eastAsia"/>
                <w:sz w:val="24"/>
              </w:rPr>
              <w:t>开户银行</w:t>
            </w:r>
          </w:p>
        </w:tc>
        <w:tc>
          <w:tcPr>
            <w:tcW w:w="4275" w:type="dxa"/>
            <w:gridSpan w:val="6"/>
            <w:vAlign w:val="center"/>
          </w:tcPr>
          <w:p w14:paraId="0C061625">
            <w:pPr>
              <w:wordWrap w:val="0"/>
              <w:jc w:val="center"/>
              <w:rPr>
                <w:rFonts w:ascii="宋体" w:eastAsia="宋体" w:hAnsi="宋体" w:cs="宋体"/>
                <w:sz w:val="24"/>
              </w:rPr>
            </w:pPr>
            <w:bookmarkStart w:id="44" w:name="cddwkhh"/>
            <w:r>
              <w:rPr>
                <w:rFonts w:ascii="宋体" w:eastAsia="宋体" w:hAnsi="宋体" w:cs="宋体"/>
                <w:sz w:val="24"/>
              </w:rPr>
              <w:t>中国银行河北省三河市燕郊分行</w:t>
            </w:r>
            <w:bookmarkEnd w:id="44"/>
          </w:p>
        </w:tc>
        <w:tc>
          <w:tcPr>
            <w:tcW w:w="1417" w:type="dxa"/>
            <w:gridSpan w:val="2"/>
            <w:vAlign w:val="center"/>
          </w:tcPr>
          <w:p w14:paraId="608C4708">
            <w:pPr>
              <w:wordWrap w:val="0"/>
              <w:jc w:val="center"/>
              <w:rPr>
                <w:sz w:val="24"/>
              </w:rPr>
            </w:pPr>
            <w:r>
              <w:rPr>
                <w:rFonts w:hint="eastAsia"/>
                <w:sz w:val="24"/>
              </w:rPr>
              <w:t>帐号</w:t>
            </w:r>
          </w:p>
        </w:tc>
        <w:tc>
          <w:tcPr>
            <w:tcW w:w="3164" w:type="dxa"/>
            <w:gridSpan w:val="3"/>
            <w:vAlign w:val="center"/>
          </w:tcPr>
          <w:p w14:paraId="008DE397">
            <w:pPr>
              <w:wordWrap w:val="0"/>
              <w:rPr>
                <w:rFonts w:ascii="宋体" w:eastAsia="宋体" w:hAnsi="宋体" w:cs="宋体"/>
                <w:sz w:val="24"/>
              </w:rPr>
            </w:pPr>
            <w:bookmarkStart w:id="45" w:name="cddwzh"/>
            <w:r>
              <w:rPr>
                <w:rFonts w:ascii="宋体" w:eastAsia="宋体" w:hAnsi="宋体" w:cs="宋体"/>
                <w:sz w:val="24"/>
              </w:rPr>
              <w:t>100148601584</w:t>
            </w:r>
            <w:bookmarkEnd w:id="45"/>
          </w:p>
        </w:tc>
      </w:tr>
      <w:tr w14:paraId="027FBA91">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3F714F91">
            <w:pPr>
              <w:wordWrap w:val="0"/>
              <w:rPr>
                <w:sz w:val="24"/>
              </w:rPr>
            </w:pPr>
          </w:p>
        </w:tc>
        <w:tc>
          <w:tcPr>
            <w:tcW w:w="1277" w:type="dxa"/>
            <w:tcBorders>
              <w:bottom w:val="single" w:sz="4" w:space="0" w:color="auto"/>
            </w:tcBorders>
            <w:vAlign w:val="center"/>
          </w:tcPr>
          <w:p w14:paraId="790635D4">
            <w:pPr>
              <w:wordWrap w:val="0"/>
              <w:jc w:val="center"/>
              <w:rPr>
                <w:sz w:val="24"/>
              </w:rPr>
            </w:pPr>
            <w:r>
              <w:rPr>
                <w:rFonts w:hint="eastAsia"/>
                <w:sz w:val="24"/>
              </w:rPr>
              <w:t>职工总数</w:t>
            </w:r>
          </w:p>
        </w:tc>
        <w:tc>
          <w:tcPr>
            <w:tcW w:w="1962" w:type="dxa"/>
            <w:gridSpan w:val="3"/>
            <w:tcBorders>
              <w:bottom w:val="single" w:sz="4" w:space="0" w:color="auto"/>
            </w:tcBorders>
            <w:vAlign w:val="center"/>
          </w:tcPr>
          <w:p w14:paraId="7E4C0324">
            <w:pPr>
              <w:wordWrap w:val="0"/>
              <w:jc w:val="center"/>
              <w:rPr>
                <w:sz w:val="24"/>
              </w:rPr>
            </w:pPr>
            <w:bookmarkStart w:id="46" w:name="cddwzrs"/>
            <w:r>
              <w:rPr>
                <w:rFonts w:ascii="宋体" w:eastAsia="宋体" w:hAnsi="宋体" w:cs="宋体" w:hint="eastAsia"/>
                <w:sz w:val="24"/>
              </w:rPr>
              <w:t>1108</w:t>
            </w:r>
            <w:bookmarkEnd w:id="46"/>
            <w:r>
              <w:rPr>
                <w:rFonts w:hint="eastAsia"/>
                <w:sz w:val="24"/>
              </w:rPr>
              <w:t>人</w:t>
            </w:r>
          </w:p>
        </w:tc>
        <w:tc>
          <w:tcPr>
            <w:tcW w:w="1440" w:type="dxa"/>
            <w:tcBorders>
              <w:bottom w:val="single" w:sz="4" w:space="0" w:color="auto"/>
            </w:tcBorders>
            <w:vAlign w:val="center"/>
          </w:tcPr>
          <w:p w14:paraId="45218978">
            <w:pPr>
              <w:wordWrap w:val="0"/>
              <w:jc w:val="center"/>
              <w:rPr>
                <w:sz w:val="24"/>
              </w:rPr>
            </w:pPr>
            <w:r>
              <w:rPr>
                <w:rFonts w:hint="eastAsia"/>
                <w:sz w:val="24"/>
              </w:rPr>
              <w:t>技术人员数</w:t>
            </w:r>
          </w:p>
        </w:tc>
        <w:tc>
          <w:tcPr>
            <w:tcW w:w="873" w:type="dxa"/>
            <w:gridSpan w:val="2"/>
            <w:tcBorders>
              <w:bottom w:val="single" w:sz="4" w:space="0" w:color="auto"/>
            </w:tcBorders>
            <w:vAlign w:val="center"/>
          </w:tcPr>
          <w:p w14:paraId="32A39125">
            <w:pPr>
              <w:wordWrap w:val="0"/>
              <w:jc w:val="center"/>
              <w:rPr>
                <w:sz w:val="24"/>
              </w:rPr>
            </w:pPr>
            <w:bookmarkStart w:id="47" w:name="cddwjjsry"/>
            <w:r>
              <w:rPr>
                <w:rFonts w:ascii="宋体" w:eastAsia="宋体" w:hAnsi="宋体" w:cs="宋体" w:hint="eastAsia"/>
                <w:sz w:val="24"/>
              </w:rPr>
              <w:t>776</w:t>
            </w:r>
            <w:bookmarkEnd w:id="47"/>
            <w:r>
              <w:rPr>
                <w:rFonts w:hint="eastAsia"/>
                <w:sz w:val="24"/>
              </w:rPr>
              <w:t>人</w:t>
            </w:r>
          </w:p>
        </w:tc>
        <w:tc>
          <w:tcPr>
            <w:tcW w:w="1417" w:type="dxa"/>
            <w:gridSpan w:val="2"/>
            <w:tcBorders>
              <w:bottom w:val="single" w:sz="4" w:space="0" w:color="auto"/>
            </w:tcBorders>
            <w:vAlign w:val="center"/>
          </w:tcPr>
          <w:p w14:paraId="4803F608">
            <w:pPr>
              <w:wordWrap w:val="0"/>
              <w:ind w:left="480" w:hanging="480" w:hangingChars="200"/>
              <w:jc w:val="center"/>
              <w:rPr>
                <w:sz w:val="24"/>
              </w:rPr>
            </w:pPr>
            <w:r>
              <w:rPr>
                <w:rFonts w:hint="eastAsia"/>
                <w:sz w:val="24"/>
              </w:rPr>
              <w:t>中高级</w:t>
            </w:r>
          </w:p>
          <w:p w14:paraId="5B027695">
            <w:pPr>
              <w:wordWrap w:val="0"/>
              <w:ind w:left="480" w:hanging="480" w:hangingChars="200"/>
              <w:jc w:val="center"/>
              <w:rPr>
                <w:sz w:val="24"/>
              </w:rPr>
            </w:pPr>
            <w:r>
              <w:rPr>
                <w:rFonts w:hint="eastAsia"/>
                <w:sz w:val="24"/>
              </w:rPr>
              <w:t>技术人员数</w:t>
            </w:r>
          </w:p>
        </w:tc>
        <w:tc>
          <w:tcPr>
            <w:tcW w:w="3164" w:type="dxa"/>
            <w:gridSpan w:val="3"/>
            <w:tcBorders>
              <w:bottom w:val="single" w:sz="4" w:space="0" w:color="auto"/>
            </w:tcBorders>
            <w:vAlign w:val="center"/>
          </w:tcPr>
          <w:p w14:paraId="088C1EA1">
            <w:pPr>
              <w:wordWrap w:val="0"/>
              <w:jc w:val="center"/>
              <w:rPr>
                <w:sz w:val="24"/>
              </w:rPr>
            </w:pPr>
            <w:bookmarkStart w:id="48" w:name="cddwzgjry"/>
            <w:r>
              <w:rPr>
                <w:rFonts w:ascii="宋体" w:eastAsia="宋体" w:hAnsi="宋体" w:cs="宋体" w:hint="eastAsia"/>
                <w:sz w:val="24"/>
              </w:rPr>
              <w:t>667</w:t>
            </w:r>
            <w:bookmarkEnd w:id="48"/>
            <w:r>
              <w:rPr>
                <w:rFonts w:hint="eastAsia"/>
                <w:sz w:val="24"/>
              </w:rPr>
              <w:t>人</w:t>
            </w:r>
          </w:p>
        </w:tc>
      </w:tr>
      <w:tr w14:paraId="6B877D5F">
        <w:tblPrEx>
          <w:tblW w:w="10635" w:type="dxa"/>
          <w:jc w:val="center"/>
          <w:tblLayout w:type="fixed"/>
          <w:tblCellMar>
            <w:top w:w="0" w:type="dxa"/>
            <w:left w:w="108" w:type="dxa"/>
            <w:bottom w:w="0" w:type="dxa"/>
            <w:right w:w="108" w:type="dxa"/>
          </w:tblCellMar>
        </w:tblPrEx>
        <w:trPr>
          <w:cantSplit/>
          <w:trHeight w:val="135"/>
          <w:jc w:val="center"/>
        </w:trPr>
        <w:tc>
          <w:tcPr>
            <w:tcW w:w="502" w:type="dxa"/>
            <w:vMerge/>
          </w:tcPr>
          <w:p w14:paraId="7925095D">
            <w:pPr>
              <w:wordWrap w:val="0"/>
              <w:rPr>
                <w:sz w:val="24"/>
              </w:rPr>
            </w:pPr>
          </w:p>
        </w:tc>
        <w:tc>
          <w:tcPr>
            <w:tcW w:w="1277" w:type="dxa"/>
            <w:tcBorders>
              <w:bottom w:val="single" w:sz="4" w:space="0" w:color="auto"/>
            </w:tcBorders>
            <w:vAlign w:val="center"/>
          </w:tcPr>
          <w:p w14:paraId="1CE539F0">
            <w:pPr>
              <w:wordWrap w:val="0"/>
              <w:jc w:val="center"/>
              <w:rPr>
                <w:sz w:val="24"/>
              </w:rPr>
            </w:pPr>
            <w:r>
              <w:rPr>
                <w:rFonts w:hint="eastAsia"/>
                <w:sz w:val="24"/>
              </w:rPr>
              <w:t>是否为省级以上高新技术</w:t>
            </w:r>
          </w:p>
          <w:p w14:paraId="20EC6E0D">
            <w:pPr>
              <w:wordWrap w:val="0"/>
              <w:jc w:val="center"/>
              <w:rPr>
                <w:sz w:val="24"/>
              </w:rPr>
            </w:pPr>
            <w:r>
              <w:rPr>
                <w:rFonts w:hint="eastAsia"/>
                <w:sz w:val="24"/>
              </w:rPr>
              <w:t>企业</w:t>
            </w:r>
          </w:p>
        </w:tc>
        <w:tc>
          <w:tcPr>
            <w:tcW w:w="1962" w:type="dxa"/>
            <w:gridSpan w:val="3"/>
            <w:tcBorders>
              <w:bottom w:val="single" w:sz="4" w:space="0" w:color="auto"/>
            </w:tcBorders>
            <w:vAlign w:val="center"/>
          </w:tcPr>
          <w:p w14:paraId="2946B59A">
            <w:pPr>
              <w:wordWrap w:val="0"/>
              <w:jc w:val="center"/>
              <w:rPr>
                <w:rFonts w:ascii="宋体" w:eastAsia="宋体" w:hAnsi="宋体" w:cs="宋体"/>
                <w:sz w:val="24"/>
              </w:rPr>
            </w:pPr>
            <w:bookmarkStart w:id="49" w:name="cddwgx"/>
            <w:r>
              <w:rPr>
                <w:rFonts w:ascii="宋体" w:eastAsia="宋体" w:hAnsi="宋体" w:cs="宋体"/>
                <w:sz w:val="24"/>
              </w:rPr>
              <w:t>否</w:t>
            </w:r>
            <w:bookmarkEnd w:id="49"/>
          </w:p>
        </w:tc>
        <w:tc>
          <w:tcPr>
            <w:tcW w:w="1440" w:type="dxa"/>
            <w:tcBorders>
              <w:bottom w:val="single" w:sz="4" w:space="0" w:color="auto"/>
            </w:tcBorders>
            <w:vAlign w:val="center"/>
          </w:tcPr>
          <w:p w14:paraId="18B1965C">
            <w:pPr>
              <w:wordWrap w:val="0"/>
              <w:jc w:val="center"/>
              <w:rPr>
                <w:sz w:val="24"/>
              </w:rPr>
            </w:pPr>
            <w:r>
              <w:rPr>
                <w:rFonts w:hint="eastAsia"/>
                <w:sz w:val="24"/>
              </w:rPr>
              <w:t>是否为省级以上科技型中小企业</w:t>
            </w:r>
          </w:p>
        </w:tc>
        <w:tc>
          <w:tcPr>
            <w:tcW w:w="873" w:type="dxa"/>
            <w:gridSpan w:val="2"/>
            <w:tcBorders>
              <w:bottom w:val="single" w:sz="4" w:space="0" w:color="auto"/>
            </w:tcBorders>
            <w:vAlign w:val="center"/>
          </w:tcPr>
          <w:p w14:paraId="6FE210D9">
            <w:pPr>
              <w:wordWrap w:val="0"/>
              <w:jc w:val="center"/>
              <w:rPr>
                <w:rFonts w:ascii="宋体" w:eastAsia="宋体" w:hAnsi="宋体" w:cs="宋体"/>
                <w:sz w:val="24"/>
              </w:rPr>
            </w:pPr>
            <w:bookmarkStart w:id="50" w:name="cddwkx"/>
            <w:r>
              <w:rPr>
                <w:rFonts w:ascii="宋体" w:eastAsia="宋体" w:hAnsi="宋体" w:cs="宋体"/>
                <w:sz w:val="24"/>
              </w:rPr>
              <w:t>否</w:t>
            </w:r>
            <w:bookmarkEnd w:id="50"/>
          </w:p>
        </w:tc>
        <w:tc>
          <w:tcPr>
            <w:tcW w:w="1417" w:type="dxa"/>
            <w:gridSpan w:val="2"/>
            <w:tcBorders>
              <w:bottom w:val="single" w:sz="4" w:space="0" w:color="auto"/>
            </w:tcBorders>
            <w:vAlign w:val="center"/>
          </w:tcPr>
          <w:p w14:paraId="4EAD5555">
            <w:pPr>
              <w:wordWrap w:val="0"/>
              <w:ind w:left="480" w:hanging="480" w:hangingChars="200"/>
              <w:jc w:val="center"/>
              <w:rPr>
                <w:sz w:val="24"/>
              </w:rPr>
            </w:pPr>
            <w:r>
              <w:rPr>
                <w:rFonts w:hint="eastAsia"/>
                <w:sz w:val="24"/>
              </w:rPr>
              <w:t>所属园区</w:t>
            </w:r>
          </w:p>
        </w:tc>
        <w:tc>
          <w:tcPr>
            <w:tcW w:w="3164" w:type="dxa"/>
            <w:gridSpan w:val="3"/>
            <w:tcBorders>
              <w:bottom w:val="single" w:sz="4" w:space="0" w:color="auto"/>
            </w:tcBorders>
            <w:vAlign w:val="center"/>
          </w:tcPr>
          <w:p w14:paraId="6AAF8B7F">
            <w:pPr>
              <w:wordWrap w:val="0"/>
              <w:jc w:val="center"/>
              <w:rPr>
                <w:rFonts w:ascii="宋体" w:eastAsia="宋体" w:hAnsi="宋体" w:cs="宋体"/>
                <w:sz w:val="24"/>
              </w:rPr>
            </w:pPr>
            <w:bookmarkStart w:id="51" w:name="cddwyq"/>
            <w:r>
              <w:rPr>
                <w:rFonts w:ascii="宋体" w:eastAsia="宋体" w:hAnsi="宋体" w:cs="宋体"/>
                <w:sz w:val="24"/>
              </w:rPr>
              <w:t>廊坊市-燕郊高新区</w:t>
            </w:r>
            <w:bookmarkEnd w:id="51"/>
          </w:p>
        </w:tc>
      </w:tr>
      <w:tr w14:paraId="6B85B231">
        <w:tblPrEx>
          <w:tblW w:w="10635" w:type="dxa"/>
          <w:jc w:val="center"/>
          <w:tblLayout w:type="fixed"/>
          <w:tblCellMar>
            <w:top w:w="0" w:type="dxa"/>
            <w:left w:w="108" w:type="dxa"/>
            <w:bottom w:w="0" w:type="dxa"/>
            <w:right w:w="108" w:type="dxa"/>
          </w:tblCellMar>
        </w:tblPrEx>
        <w:trPr>
          <w:cantSplit/>
          <w:trHeight w:val="574"/>
          <w:jc w:val="center"/>
        </w:trPr>
        <w:tc>
          <w:tcPr>
            <w:tcW w:w="502" w:type="dxa"/>
            <w:vMerge/>
          </w:tcPr>
          <w:p w14:paraId="47E1977A">
            <w:pPr>
              <w:wordWrap w:val="0"/>
              <w:rPr>
                <w:sz w:val="24"/>
              </w:rPr>
            </w:pPr>
          </w:p>
        </w:tc>
        <w:tc>
          <w:tcPr>
            <w:tcW w:w="3239" w:type="dxa"/>
            <w:gridSpan w:val="4"/>
            <w:vAlign w:val="center"/>
          </w:tcPr>
          <w:p w14:paraId="347D07CD">
            <w:pPr>
              <w:wordWrap w:val="0"/>
              <w:jc w:val="center"/>
              <w:rPr>
                <w:sz w:val="24"/>
              </w:rPr>
            </w:pPr>
            <w:r>
              <w:rPr>
                <w:rFonts w:hint="eastAsia"/>
                <w:sz w:val="24"/>
              </w:rPr>
              <w:t>上年度单位研发投入</w:t>
            </w:r>
          </w:p>
        </w:tc>
        <w:tc>
          <w:tcPr>
            <w:tcW w:w="2313" w:type="dxa"/>
            <w:gridSpan w:val="3"/>
            <w:vAlign w:val="center"/>
          </w:tcPr>
          <w:p w14:paraId="3BA10D34">
            <w:pPr>
              <w:wordWrap w:val="0"/>
              <w:jc w:val="center"/>
              <w:rPr>
                <w:sz w:val="24"/>
              </w:rPr>
            </w:pPr>
            <w:r>
              <w:rPr>
                <w:rFonts w:hint="eastAsia"/>
                <w:sz w:val="24"/>
              </w:rPr>
              <w:t>上年度单位销售收入</w:t>
            </w:r>
          </w:p>
        </w:tc>
        <w:tc>
          <w:tcPr>
            <w:tcW w:w="4581" w:type="dxa"/>
            <w:gridSpan w:val="5"/>
            <w:vAlign w:val="center"/>
          </w:tcPr>
          <w:p w14:paraId="2C84538A">
            <w:pPr>
              <w:wordWrap w:val="0"/>
              <w:jc w:val="center"/>
              <w:rPr>
                <w:sz w:val="24"/>
              </w:rPr>
            </w:pPr>
            <w:r>
              <w:rPr>
                <w:rFonts w:hint="eastAsia"/>
                <w:sz w:val="24"/>
              </w:rPr>
              <w:t>上年度单位研发投入 / 销售收入</w:t>
            </w:r>
          </w:p>
        </w:tc>
      </w:tr>
      <w:tr w14:paraId="6AC7D300">
        <w:tblPrEx>
          <w:tblW w:w="10635" w:type="dxa"/>
          <w:jc w:val="center"/>
          <w:tblLayout w:type="fixed"/>
          <w:tblCellMar>
            <w:top w:w="0" w:type="dxa"/>
            <w:left w:w="108" w:type="dxa"/>
            <w:bottom w:w="0" w:type="dxa"/>
            <w:right w:w="108" w:type="dxa"/>
          </w:tblCellMar>
        </w:tblPrEx>
        <w:trPr>
          <w:cantSplit/>
          <w:trHeight w:val="499"/>
          <w:jc w:val="center"/>
        </w:trPr>
        <w:tc>
          <w:tcPr>
            <w:tcW w:w="502" w:type="dxa"/>
            <w:vMerge/>
          </w:tcPr>
          <w:p w14:paraId="0311F292">
            <w:pPr>
              <w:wordWrap w:val="0"/>
              <w:rPr>
                <w:sz w:val="24"/>
              </w:rPr>
            </w:pPr>
          </w:p>
        </w:tc>
        <w:tc>
          <w:tcPr>
            <w:tcW w:w="3239" w:type="dxa"/>
            <w:gridSpan w:val="4"/>
            <w:vAlign w:val="center"/>
          </w:tcPr>
          <w:p w14:paraId="62938CC0">
            <w:pPr>
              <w:wordWrap w:val="0"/>
              <w:jc w:val="center"/>
              <w:rPr>
                <w:sz w:val="24"/>
              </w:rPr>
            </w:pPr>
            <w:bookmarkStart w:id="52" w:name="cddwyftr"/>
            <w:r>
              <w:rPr>
                <w:rFonts w:ascii="宋体" w:eastAsia="宋体" w:hAnsi="宋体" w:cs="宋体" w:hint="eastAsia"/>
                <w:sz w:val="24"/>
              </w:rPr>
              <w:t>2423.0</w:t>
            </w:r>
            <w:bookmarkEnd w:id="52"/>
            <w:r>
              <w:rPr>
                <w:rFonts w:hint="eastAsia"/>
                <w:sz w:val="24"/>
              </w:rPr>
              <w:t>万元</w:t>
            </w:r>
          </w:p>
        </w:tc>
        <w:tc>
          <w:tcPr>
            <w:tcW w:w="2313" w:type="dxa"/>
            <w:gridSpan w:val="3"/>
            <w:vAlign w:val="center"/>
          </w:tcPr>
          <w:p w14:paraId="518B870E">
            <w:pPr>
              <w:wordWrap w:val="0"/>
              <w:jc w:val="center"/>
              <w:rPr>
                <w:sz w:val="24"/>
              </w:rPr>
            </w:pPr>
            <w:bookmarkStart w:id="53" w:name="cddwxssr"/>
            <w:r>
              <w:rPr>
                <w:rFonts w:ascii="宋体" w:eastAsia="宋体" w:hAnsi="宋体" w:cs="宋体" w:hint="eastAsia"/>
                <w:sz w:val="24"/>
              </w:rPr>
              <w:t>6090.0</w:t>
            </w:r>
            <w:bookmarkEnd w:id="53"/>
            <w:r>
              <w:rPr>
                <w:rFonts w:hint="eastAsia"/>
                <w:sz w:val="24"/>
              </w:rPr>
              <w:t>万元</w:t>
            </w:r>
          </w:p>
        </w:tc>
        <w:tc>
          <w:tcPr>
            <w:tcW w:w="4581" w:type="dxa"/>
            <w:gridSpan w:val="5"/>
            <w:vAlign w:val="center"/>
          </w:tcPr>
          <w:p w14:paraId="70C904BE">
            <w:pPr>
              <w:wordWrap w:val="0"/>
              <w:jc w:val="center"/>
              <w:rPr>
                <w:sz w:val="24"/>
              </w:rPr>
            </w:pPr>
            <w:bookmarkStart w:id="54" w:name="cddwbl"/>
            <w:r>
              <w:rPr>
                <w:rFonts w:ascii="宋体" w:eastAsia="宋体" w:hAnsi="宋体" w:cs="宋体" w:hint="eastAsia"/>
                <w:sz w:val="24"/>
              </w:rPr>
              <w:t>40</w:t>
            </w:r>
            <w:bookmarkEnd w:id="54"/>
            <w:r>
              <w:rPr>
                <w:rFonts w:hint="eastAsia"/>
                <w:sz w:val="24"/>
              </w:rPr>
              <w:t>%</w:t>
            </w:r>
          </w:p>
        </w:tc>
      </w:tr>
      <w:tr w14:paraId="3C3C25BD">
        <w:tblPrEx>
          <w:tblW w:w="10635" w:type="dxa"/>
          <w:jc w:val="center"/>
          <w:tblLayout w:type="fixed"/>
          <w:tblCellMar>
            <w:top w:w="0" w:type="dxa"/>
            <w:left w:w="108" w:type="dxa"/>
            <w:bottom w:w="0" w:type="dxa"/>
            <w:right w:w="108" w:type="dxa"/>
          </w:tblCellMar>
        </w:tblPrEx>
        <w:trPr>
          <w:cantSplit/>
          <w:trHeight w:val="450"/>
          <w:jc w:val="center"/>
        </w:trPr>
        <w:tc>
          <w:tcPr>
            <w:tcW w:w="502" w:type="dxa"/>
            <w:vMerge/>
          </w:tcPr>
          <w:p w14:paraId="0EF68916">
            <w:pPr>
              <w:wordWrap w:val="0"/>
              <w:rPr>
                <w:sz w:val="24"/>
              </w:rPr>
            </w:pPr>
          </w:p>
        </w:tc>
        <w:tc>
          <w:tcPr>
            <w:tcW w:w="3239" w:type="dxa"/>
            <w:gridSpan w:val="4"/>
            <w:vAlign w:val="center"/>
          </w:tcPr>
          <w:p w14:paraId="22F5BBA1">
            <w:pPr>
              <w:wordWrap w:val="0"/>
              <w:jc w:val="center"/>
              <w:rPr>
                <w:sz w:val="24"/>
              </w:rPr>
            </w:pPr>
            <w:r>
              <w:rPr>
                <w:rFonts w:hint="eastAsia"/>
                <w:sz w:val="24"/>
              </w:rPr>
              <w:t>注册资本</w:t>
            </w:r>
          </w:p>
        </w:tc>
        <w:tc>
          <w:tcPr>
            <w:tcW w:w="1453" w:type="dxa"/>
            <w:gridSpan w:val="2"/>
            <w:vAlign w:val="center"/>
          </w:tcPr>
          <w:p w14:paraId="482BD087">
            <w:pPr>
              <w:wordWrap w:val="0"/>
              <w:jc w:val="center"/>
              <w:rPr>
                <w:sz w:val="24"/>
              </w:rPr>
            </w:pPr>
            <w:bookmarkStart w:id="55" w:name="cddwzczb"/>
            <w:r>
              <w:rPr>
                <w:rFonts w:ascii="宋体" w:eastAsia="宋体" w:hAnsi="宋体" w:cs="宋体" w:hint="eastAsia"/>
                <w:sz w:val="24"/>
              </w:rPr>
              <w:t>34551.0</w:t>
            </w:r>
            <w:bookmarkEnd w:id="55"/>
            <w:r>
              <w:rPr>
                <w:rFonts w:hint="eastAsia"/>
                <w:sz w:val="24"/>
              </w:rPr>
              <w:t>万元</w:t>
            </w:r>
          </w:p>
        </w:tc>
        <w:tc>
          <w:tcPr>
            <w:tcW w:w="860" w:type="dxa"/>
            <w:vAlign w:val="center"/>
          </w:tcPr>
          <w:p w14:paraId="53EB97FE">
            <w:pPr>
              <w:wordWrap w:val="0"/>
              <w:jc w:val="center"/>
              <w:rPr>
                <w:sz w:val="24"/>
              </w:rPr>
            </w:pPr>
            <w:r>
              <w:rPr>
                <w:rFonts w:hint="eastAsia"/>
                <w:sz w:val="24"/>
              </w:rPr>
              <w:t>注册时间</w:t>
            </w:r>
          </w:p>
        </w:tc>
        <w:tc>
          <w:tcPr>
            <w:tcW w:w="1417" w:type="dxa"/>
            <w:gridSpan w:val="2"/>
            <w:vAlign w:val="center"/>
          </w:tcPr>
          <w:p w14:paraId="1032DA05">
            <w:pPr>
              <w:wordWrap w:val="0"/>
              <w:jc w:val="center"/>
              <w:rPr>
                <w:rFonts w:ascii="宋体" w:eastAsia="宋体" w:hAnsi="宋体" w:cs="宋体"/>
                <w:sz w:val="24"/>
              </w:rPr>
            </w:pPr>
            <w:bookmarkStart w:id="56" w:name="cddwzcsj"/>
            <w:r>
              <w:rPr>
                <w:rFonts w:ascii="宋体" w:eastAsia="宋体" w:hAnsi="宋体" w:cs="宋体"/>
                <w:sz w:val="24"/>
              </w:rPr>
              <w:t>1984-01-01</w:t>
            </w:r>
            <w:bookmarkEnd w:id="56"/>
          </w:p>
        </w:tc>
        <w:tc>
          <w:tcPr>
            <w:tcW w:w="1514" w:type="dxa"/>
            <w:gridSpan w:val="2"/>
            <w:vAlign w:val="center"/>
          </w:tcPr>
          <w:p w14:paraId="1201D9CF">
            <w:pPr>
              <w:wordWrap w:val="0"/>
              <w:jc w:val="center"/>
              <w:rPr>
                <w:sz w:val="24"/>
              </w:rPr>
            </w:pPr>
            <w:r>
              <w:rPr>
                <w:rFonts w:hint="eastAsia"/>
                <w:sz w:val="24"/>
              </w:rPr>
              <w:t>拥有</w:t>
            </w:r>
          </w:p>
          <w:p w14:paraId="09E2B721">
            <w:pPr>
              <w:wordWrap w:val="0"/>
              <w:jc w:val="center"/>
              <w:rPr>
                <w:sz w:val="24"/>
              </w:rPr>
            </w:pPr>
            <w:r>
              <w:rPr>
                <w:rFonts w:hint="eastAsia"/>
                <w:sz w:val="24"/>
              </w:rPr>
              <w:t>专利数量</w:t>
            </w:r>
          </w:p>
        </w:tc>
        <w:tc>
          <w:tcPr>
            <w:tcW w:w="1650" w:type="dxa"/>
            <w:vAlign w:val="center"/>
          </w:tcPr>
          <w:p w14:paraId="59982123">
            <w:pPr>
              <w:wordWrap w:val="0"/>
              <w:jc w:val="center"/>
              <w:rPr>
                <w:rFonts w:ascii="宋体" w:eastAsia="宋体" w:hAnsi="宋体" w:cs="宋体"/>
                <w:sz w:val="24"/>
              </w:rPr>
            </w:pPr>
            <w:bookmarkStart w:id="57" w:name="cddwzls"/>
            <w:r>
              <w:rPr>
                <w:rFonts w:ascii="宋体" w:eastAsia="宋体" w:hAnsi="宋体" w:cs="宋体"/>
                <w:sz w:val="24"/>
              </w:rPr>
              <w:t>230</w:t>
            </w:r>
            <w:bookmarkEnd w:id="57"/>
          </w:p>
        </w:tc>
      </w:tr>
      <w:tr w14:paraId="137CA47B">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6A809E52">
            <w:pPr>
              <w:wordWrap w:val="0"/>
              <w:rPr>
                <w:sz w:val="24"/>
              </w:rPr>
            </w:pPr>
          </w:p>
        </w:tc>
        <w:tc>
          <w:tcPr>
            <w:tcW w:w="3239" w:type="dxa"/>
            <w:gridSpan w:val="4"/>
            <w:vAlign w:val="center"/>
          </w:tcPr>
          <w:p w14:paraId="6346A7BF">
            <w:pPr>
              <w:wordWrap w:val="0"/>
              <w:jc w:val="center"/>
              <w:rPr>
                <w:sz w:val="24"/>
              </w:rPr>
            </w:pPr>
            <w:r>
              <w:rPr>
                <w:rFonts w:hint="eastAsia"/>
                <w:sz w:val="24"/>
              </w:rPr>
              <w:t>单位性质</w:t>
            </w:r>
          </w:p>
        </w:tc>
        <w:tc>
          <w:tcPr>
            <w:tcW w:w="1453" w:type="dxa"/>
            <w:gridSpan w:val="2"/>
            <w:vAlign w:val="center"/>
          </w:tcPr>
          <w:p w14:paraId="289E432C">
            <w:pPr>
              <w:wordWrap w:val="0"/>
              <w:jc w:val="center"/>
              <w:rPr>
                <w:rFonts w:ascii="宋体" w:eastAsia="宋体" w:hAnsi="宋体" w:cs="宋体"/>
                <w:sz w:val="24"/>
              </w:rPr>
            </w:pPr>
            <w:bookmarkStart w:id="58" w:name="cddwdwxz"/>
            <w:r>
              <w:rPr>
                <w:rFonts w:ascii="宋体" w:eastAsia="宋体" w:hAnsi="宋体" w:cs="宋体"/>
                <w:sz w:val="24"/>
              </w:rPr>
              <w:t>高等学校</w:t>
            </w:r>
            <w:bookmarkEnd w:id="58"/>
          </w:p>
        </w:tc>
        <w:tc>
          <w:tcPr>
            <w:tcW w:w="860" w:type="dxa"/>
            <w:vAlign w:val="center"/>
          </w:tcPr>
          <w:p w14:paraId="5A83C154">
            <w:pPr>
              <w:wordWrap w:val="0"/>
              <w:jc w:val="center"/>
              <w:rPr>
                <w:sz w:val="24"/>
              </w:rPr>
            </w:pPr>
            <w:r>
              <w:rPr>
                <w:rFonts w:hint="eastAsia"/>
                <w:sz w:val="24"/>
              </w:rPr>
              <w:t>单位规模</w:t>
            </w:r>
          </w:p>
        </w:tc>
        <w:tc>
          <w:tcPr>
            <w:tcW w:w="4581" w:type="dxa"/>
            <w:gridSpan w:val="5"/>
            <w:vAlign w:val="center"/>
          </w:tcPr>
          <w:p w14:paraId="0B9CA543">
            <w:pPr>
              <w:wordWrap w:val="0"/>
              <w:jc w:val="center"/>
              <w:rPr>
                <w:rFonts w:ascii="宋体" w:eastAsia="宋体" w:hAnsi="宋体" w:cs="宋体"/>
                <w:sz w:val="24"/>
              </w:rPr>
            </w:pPr>
            <w:bookmarkStart w:id="59" w:name="cddwdwgm"/>
            <w:r>
              <w:rPr>
                <w:rFonts w:ascii="宋体" w:eastAsia="宋体" w:hAnsi="宋体" w:cs="宋体"/>
                <w:sz w:val="24"/>
              </w:rPr>
              <w:t>其他</w:t>
            </w:r>
            <w:bookmarkEnd w:id="59"/>
          </w:p>
        </w:tc>
      </w:tr>
      <w:tr w14:paraId="7B610567">
        <w:tblPrEx>
          <w:tblW w:w="10635" w:type="dxa"/>
          <w:jc w:val="center"/>
          <w:tblLayout w:type="fixed"/>
          <w:tblCellMar>
            <w:top w:w="0" w:type="dxa"/>
            <w:left w:w="108" w:type="dxa"/>
            <w:bottom w:w="0" w:type="dxa"/>
            <w:right w:w="108" w:type="dxa"/>
          </w:tblCellMar>
        </w:tblPrEx>
        <w:trPr>
          <w:cantSplit/>
          <w:trHeight w:val="552"/>
          <w:jc w:val="center"/>
        </w:trPr>
        <w:tc>
          <w:tcPr>
            <w:tcW w:w="502" w:type="dxa"/>
            <w:vMerge/>
          </w:tcPr>
          <w:p w14:paraId="2FBEAB72">
            <w:pPr>
              <w:wordWrap w:val="0"/>
              <w:rPr>
                <w:sz w:val="24"/>
              </w:rPr>
            </w:pPr>
          </w:p>
        </w:tc>
        <w:tc>
          <w:tcPr>
            <w:tcW w:w="3239" w:type="dxa"/>
            <w:gridSpan w:val="4"/>
            <w:vAlign w:val="center"/>
          </w:tcPr>
          <w:p w14:paraId="40C4070F">
            <w:pPr>
              <w:wordWrap w:val="0"/>
              <w:jc w:val="center"/>
              <w:rPr>
                <w:sz w:val="24"/>
              </w:rPr>
            </w:pPr>
            <w:r>
              <w:rPr>
                <w:rFonts w:hint="eastAsia"/>
                <w:sz w:val="24"/>
              </w:rPr>
              <w:t>其它特征</w:t>
            </w:r>
          </w:p>
        </w:tc>
        <w:tc>
          <w:tcPr>
            <w:tcW w:w="6894" w:type="dxa"/>
            <w:gridSpan w:val="8"/>
            <w:vAlign w:val="center"/>
          </w:tcPr>
          <w:p w14:paraId="3B4FB1B3">
            <w:pPr>
              <w:wordWrap w:val="0"/>
              <w:jc w:val="left"/>
              <w:rPr>
                <w:rFonts w:ascii="宋体" w:eastAsia="宋体" w:hAnsi="宋体" w:cs="宋体"/>
                <w:sz w:val="24"/>
              </w:rPr>
            </w:pPr>
            <w:bookmarkStart w:id="60" w:name="cddwqt"/>
            <w:r>
              <w:rPr>
                <w:rFonts w:ascii="宋体" w:eastAsia="宋体" w:hAnsi="宋体" w:cs="宋体"/>
                <w:sz w:val="24"/>
              </w:rPr>
              <w:t>省重点实验室（工程技术研究中心）</w:t>
            </w:r>
            <w:bookmarkEnd w:id="60"/>
          </w:p>
        </w:tc>
      </w:tr>
      <w:tr w14:paraId="666F555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vAlign w:val="center"/>
          </w:tcPr>
          <w:p w14:paraId="54193767">
            <w:pPr>
              <w:wordWrap w:val="0"/>
              <w:jc w:val="center"/>
              <w:rPr>
                <w:sz w:val="24"/>
              </w:rPr>
            </w:pPr>
            <w:r>
              <w:rPr>
                <w:sz w:val="24"/>
              </w:rPr>
              <w:t>合作单位</w:t>
            </w:r>
            <w:r>
              <w:rPr>
                <w:rFonts w:hint="eastAsia"/>
                <w:sz w:val="24"/>
              </w:rPr>
              <w:t>概况</w:t>
            </w:r>
          </w:p>
        </w:tc>
      </w:tr>
      <w:tr w14:paraId="274B0BD7">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5829CC29">
            <w:pPr>
              <w:wordWrap w:val="0"/>
              <w:jc w:val="center"/>
              <w:rPr>
                <w:sz w:val="24"/>
              </w:rPr>
            </w:pPr>
            <w:r>
              <w:rPr>
                <w:rFonts w:hint="eastAsia"/>
                <w:sz w:val="24"/>
              </w:rPr>
              <w:t>单位名称</w:t>
            </w:r>
          </w:p>
        </w:tc>
        <w:tc>
          <w:tcPr>
            <w:tcW w:w="1365" w:type="dxa"/>
            <w:gridSpan w:val="2"/>
            <w:vAlign w:val="center"/>
          </w:tcPr>
          <w:p w14:paraId="568A2DC4">
            <w:pPr>
              <w:wordWrap w:val="0"/>
              <w:jc w:val="center"/>
              <w:rPr>
                <w:sz w:val="24"/>
              </w:rPr>
            </w:pPr>
            <w:r>
              <w:rPr>
                <w:rFonts w:hint="eastAsia"/>
                <w:sz w:val="24"/>
              </w:rPr>
              <w:t>国别</w:t>
            </w:r>
          </w:p>
        </w:tc>
        <w:tc>
          <w:tcPr>
            <w:tcW w:w="1453" w:type="dxa"/>
            <w:gridSpan w:val="2"/>
            <w:vAlign w:val="center"/>
          </w:tcPr>
          <w:p w14:paraId="0E0A8F20">
            <w:pPr>
              <w:wordWrap w:val="0"/>
              <w:jc w:val="center"/>
              <w:rPr>
                <w:sz w:val="24"/>
              </w:rPr>
            </w:pPr>
            <w:r>
              <w:rPr>
                <w:rFonts w:hint="eastAsia"/>
                <w:sz w:val="24"/>
              </w:rPr>
              <w:t>所属地区</w:t>
            </w:r>
          </w:p>
        </w:tc>
        <w:tc>
          <w:tcPr>
            <w:tcW w:w="1434" w:type="dxa"/>
            <w:gridSpan w:val="2"/>
            <w:vAlign w:val="center"/>
          </w:tcPr>
          <w:p w14:paraId="462166B6">
            <w:pPr>
              <w:wordWrap w:val="0"/>
              <w:jc w:val="center"/>
              <w:rPr>
                <w:sz w:val="24"/>
              </w:rPr>
            </w:pPr>
            <w:r>
              <w:rPr>
                <w:rFonts w:hint="eastAsia"/>
                <w:sz w:val="24"/>
              </w:rPr>
              <w:t>单位地址</w:t>
            </w:r>
          </w:p>
        </w:tc>
        <w:tc>
          <w:tcPr>
            <w:tcW w:w="843" w:type="dxa"/>
            <w:vAlign w:val="center"/>
          </w:tcPr>
          <w:p w14:paraId="0A6E34C7">
            <w:pPr>
              <w:wordWrap w:val="0"/>
              <w:jc w:val="center"/>
              <w:rPr>
                <w:sz w:val="24"/>
              </w:rPr>
            </w:pPr>
            <w:r>
              <w:rPr>
                <w:rFonts w:hint="eastAsia"/>
                <w:sz w:val="24"/>
              </w:rPr>
              <w:t>单位性质</w:t>
            </w:r>
          </w:p>
        </w:tc>
        <w:tc>
          <w:tcPr>
            <w:tcW w:w="1514" w:type="dxa"/>
            <w:gridSpan w:val="2"/>
            <w:vAlign w:val="center"/>
          </w:tcPr>
          <w:p w14:paraId="40EB75E8">
            <w:pPr>
              <w:wordWrap w:val="0"/>
              <w:jc w:val="center"/>
              <w:rPr>
                <w:sz w:val="24"/>
              </w:rPr>
            </w:pPr>
            <w:r>
              <w:rPr>
                <w:rFonts w:hint="eastAsia"/>
                <w:sz w:val="24"/>
              </w:rPr>
              <w:t>联系人</w:t>
            </w:r>
          </w:p>
        </w:tc>
        <w:tc>
          <w:tcPr>
            <w:tcW w:w="1650" w:type="dxa"/>
            <w:vAlign w:val="center"/>
          </w:tcPr>
          <w:p w14:paraId="2417274A">
            <w:pPr>
              <w:wordWrap w:val="0"/>
              <w:jc w:val="center"/>
              <w:rPr>
                <w:sz w:val="24"/>
              </w:rPr>
            </w:pPr>
            <w:r>
              <w:rPr>
                <w:rFonts w:hint="eastAsia"/>
                <w:sz w:val="24"/>
              </w:rPr>
              <w:t>手机</w:t>
            </w:r>
          </w:p>
        </w:tc>
      </w:tr>
      <w:tr w14:paraId="610DFEA1">
        <w:tblPrEx>
          <w:tblW w:w="10635" w:type="dxa"/>
          <w:jc w:val="center"/>
          <w:tblLayout w:type="fixed"/>
          <w:tblCellMar>
            <w:top w:w="0" w:type="dxa"/>
            <w:left w:w="108" w:type="dxa"/>
            <w:bottom w:w="0" w:type="dxa"/>
            <w:right w:w="108" w:type="dxa"/>
          </w:tblCellMar>
        </w:tblPrEx>
        <w:trPr>
          <w:cantSplit/>
          <w:trHeight w:val="450"/>
          <w:jc w:val="center"/>
        </w:trPr>
        <w:tc>
          <w:tcPr>
            <w:tcW w:w="2376" w:type="dxa"/>
            <w:gridSpan w:val="3"/>
            <w:vAlign w:val="center"/>
          </w:tcPr>
          <w:p w14:paraId="0511F54D">
            <w:pPr>
              <w:wordWrap w:val="0"/>
              <w:rPr>
                <w:sz w:val="24"/>
              </w:rPr>
            </w:pPr>
          </w:p>
        </w:tc>
        <w:tc>
          <w:tcPr>
            <w:tcW w:w="1365" w:type="dxa"/>
            <w:gridSpan w:val="2"/>
            <w:vAlign w:val="center"/>
          </w:tcPr>
          <w:p w14:paraId="1CFC354F">
            <w:pPr>
              <w:wordWrap w:val="0"/>
              <w:jc w:val="center"/>
              <w:rPr>
                <w:sz w:val="24"/>
              </w:rPr>
            </w:pPr>
          </w:p>
        </w:tc>
        <w:tc>
          <w:tcPr>
            <w:tcW w:w="1453" w:type="dxa"/>
            <w:gridSpan w:val="2"/>
            <w:vAlign w:val="center"/>
          </w:tcPr>
          <w:p w14:paraId="1295E33B">
            <w:pPr>
              <w:wordWrap w:val="0"/>
              <w:rPr>
                <w:sz w:val="24"/>
              </w:rPr>
            </w:pPr>
          </w:p>
        </w:tc>
        <w:tc>
          <w:tcPr>
            <w:tcW w:w="1434" w:type="dxa"/>
            <w:gridSpan w:val="2"/>
            <w:vAlign w:val="center"/>
          </w:tcPr>
          <w:p w14:paraId="1B3B0582">
            <w:pPr>
              <w:wordWrap w:val="0"/>
              <w:rPr>
                <w:sz w:val="24"/>
              </w:rPr>
            </w:pPr>
          </w:p>
        </w:tc>
        <w:tc>
          <w:tcPr>
            <w:tcW w:w="843" w:type="dxa"/>
            <w:vAlign w:val="center"/>
          </w:tcPr>
          <w:p w14:paraId="424F131C">
            <w:pPr>
              <w:wordWrap w:val="0"/>
              <w:jc w:val="center"/>
              <w:rPr>
                <w:sz w:val="24"/>
              </w:rPr>
            </w:pPr>
          </w:p>
        </w:tc>
        <w:tc>
          <w:tcPr>
            <w:tcW w:w="1514" w:type="dxa"/>
            <w:gridSpan w:val="2"/>
            <w:vAlign w:val="center"/>
          </w:tcPr>
          <w:p w14:paraId="6E9CEC91">
            <w:pPr>
              <w:wordWrap w:val="0"/>
              <w:jc w:val="center"/>
              <w:rPr>
                <w:sz w:val="24"/>
              </w:rPr>
            </w:pPr>
          </w:p>
        </w:tc>
        <w:tc>
          <w:tcPr>
            <w:tcW w:w="1650" w:type="dxa"/>
            <w:vAlign w:val="center"/>
          </w:tcPr>
          <w:p w14:paraId="152C56E3">
            <w:pPr>
              <w:wordWrap w:val="0"/>
              <w:rPr>
                <w:sz w:val="24"/>
              </w:rPr>
            </w:pPr>
          </w:p>
        </w:tc>
      </w:tr>
      <w:tr w14:paraId="04148F6B">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70EE6138">
            <w:pPr>
              <w:wordWrap w:val="0"/>
              <w:jc w:val="center"/>
              <w:rPr>
                <w:b/>
                <w:sz w:val="36"/>
                <w:szCs w:val="36"/>
              </w:rPr>
            </w:pPr>
            <w:r>
              <w:rPr>
                <w:rFonts w:hint="eastAsia"/>
                <w:b/>
                <w:szCs w:val="28"/>
              </w:rPr>
              <w:t>项目立项背景及意义</w:t>
            </w:r>
          </w:p>
        </w:tc>
      </w:tr>
      <w:tr w14:paraId="4A328620">
        <w:tblPrEx>
          <w:tblW w:w="10635" w:type="dxa"/>
          <w:jc w:val="center"/>
          <w:tblLayout w:type="fixed"/>
          <w:tblCellMar>
            <w:top w:w="0" w:type="dxa"/>
            <w:left w:w="108" w:type="dxa"/>
            <w:bottom w:w="0" w:type="dxa"/>
            <w:right w:w="108" w:type="dxa"/>
          </w:tblCellMar>
        </w:tblPrEx>
        <w:trPr>
          <w:jc w:val="center"/>
        </w:trPr>
        <w:tc>
          <w:tcPr>
            <w:tcW w:w="10635" w:type="dxa"/>
            <w:gridSpan w:val="13"/>
          </w:tcPr>
          <w:p w14:paraId="23CEA8E8">
            <w:pPr>
              <w:widowControl/>
              <w:spacing w:before="0" w:after="0"/>
              <w:jc w:val="left"/>
              <w:rPr>
                <w:rFonts w:ascii="宋体" w:hAnsi="宋体" w:cs="宋体"/>
                <w:kern w:val="0"/>
                <w:sz w:val="24"/>
              </w:rPr>
            </w:pPr>
            <w:bookmarkStart w:id="61" w:name="lxbj"/>
            <w:r>
              <w:rPr>
                <w:rFonts w:ascii="宋体" w:hAnsi="宋体" w:cs="宋体"/>
                <w:kern w:val="0"/>
                <w:sz w:val="24"/>
              </w:rPr>
              <w:t>  </w:t>
            </w:r>
            <w:r>
              <w:rPr>
                <w:rFonts w:ascii="宋体" w:hAnsi="宋体" w:cs="宋体"/>
                <w:kern w:val="0"/>
                <w:sz w:val="24"/>
              </w:rPr>
              <w:t>在我国大力倡导智能制造引领工业制造的时代背景下，传统的以劳动密集手工模式制造过程，已成为严重制约产品制造效率和质量的瓶颈，发展和应用以</w:t>
            </w:r>
            <w:r>
              <w:rPr>
                <w:rFonts w:ascii="宋体" w:hAnsi="宋体" w:cs="宋体"/>
                <w:b/>
                <w:bCs/>
                <w:kern w:val="0"/>
                <w:sz w:val="24"/>
              </w:rPr>
              <w:t>工业机器人</w:t>
            </w:r>
            <w:r>
              <w:rPr>
                <w:rFonts w:ascii="宋体" w:hAnsi="宋体" w:cs="宋体"/>
                <w:kern w:val="0"/>
                <w:sz w:val="24"/>
              </w:rPr>
              <w:t>为代表的自动化设备平台，对于生产模式转型升级和装备先进制造能力提升</w:t>
            </w:r>
            <w:r>
              <w:rPr>
                <w:rFonts w:ascii="宋体" w:hAnsi="宋体" w:cs="宋体"/>
                <w:b/>
                <w:bCs/>
                <w:kern w:val="0"/>
                <w:sz w:val="24"/>
              </w:rPr>
              <w:t>具有十分重要的战略意义和巨大价值</w:t>
            </w:r>
            <w:r>
              <w:rPr>
                <w:rFonts w:ascii="宋体" w:hAnsi="宋体" w:cs="宋体"/>
                <w:kern w:val="0"/>
                <w:sz w:val="24"/>
              </w:rPr>
              <w:t>。随着现代工业制造的智能化、网络化发展，制造产品的尺寸大、载荷重、结构复杂，这对</w:t>
            </w:r>
            <w:r>
              <w:rPr>
                <w:rFonts w:ascii="宋体" w:hAnsi="宋体" w:cs="宋体"/>
                <w:b/>
                <w:bCs/>
                <w:kern w:val="0"/>
                <w:sz w:val="24"/>
              </w:rPr>
              <w:t>现代工业机器人</w:t>
            </w:r>
            <w:r>
              <w:rPr>
                <w:rFonts w:ascii="宋体" w:hAnsi="宋体" w:cs="宋体"/>
                <w:kern w:val="0"/>
                <w:sz w:val="24"/>
              </w:rPr>
              <w:t>的性能提出了更高的要求：为适应工业机器人多臂协同、人机协作等高度自主、柔性化、自动化 生产的发展，必须着力提升工业机器人本体的高工作节拍</w:t>
            </w:r>
            <w:r>
              <w:rPr>
                <w:rFonts w:ascii="宋体" w:hAnsi="宋体" w:cs="宋体"/>
                <w:kern w:val="0"/>
                <w:sz w:val="24"/>
              </w:rPr>
              <w:t>(</w:t>
            </w:r>
            <w:r>
              <w:rPr>
                <w:rFonts w:ascii="宋体" w:hAnsi="宋体" w:cs="宋体"/>
                <w:b/>
                <w:bCs/>
                <w:kern w:val="0"/>
                <w:sz w:val="24"/>
              </w:rPr>
              <w:t>高速</w:t>
            </w:r>
            <w:r>
              <w:rPr>
                <w:rFonts w:ascii="宋体" w:hAnsi="宋体" w:cs="宋体"/>
                <w:kern w:val="0"/>
                <w:sz w:val="24"/>
              </w:rPr>
              <w:t>、</w:t>
            </w:r>
            <w:r>
              <w:rPr>
                <w:rFonts w:ascii="宋体" w:hAnsi="宋体" w:cs="宋体"/>
                <w:b/>
                <w:bCs/>
                <w:kern w:val="0"/>
                <w:sz w:val="24"/>
              </w:rPr>
              <w:t>高带宽</w:t>
            </w:r>
            <w:r>
              <w:rPr>
                <w:rFonts w:ascii="宋体" w:hAnsi="宋体" w:cs="宋体"/>
                <w:kern w:val="0"/>
                <w:sz w:val="24"/>
              </w:rPr>
              <w:t>)</w:t>
            </w:r>
            <w:r>
              <w:rPr>
                <w:rFonts w:ascii="宋体" w:hAnsi="宋体" w:cs="宋体"/>
                <w:kern w:val="0"/>
                <w:sz w:val="24"/>
              </w:rPr>
              <w:t>、</w:t>
            </w:r>
            <w:r>
              <w:rPr>
                <w:rFonts w:ascii="宋体" w:hAnsi="宋体" w:cs="宋体"/>
                <w:b/>
                <w:bCs/>
                <w:kern w:val="0"/>
                <w:sz w:val="24"/>
              </w:rPr>
              <w:t>重载</w:t>
            </w:r>
            <w:r>
              <w:rPr>
                <w:rFonts w:ascii="宋体" w:hAnsi="宋体" w:cs="宋体"/>
                <w:kern w:val="0"/>
                <w:sz w:val="24"/>
              </w:rPr>
              <w:t>(</w:t>
            </w:r>
            <w:r>
              <w:rPr>
                <w:rFonts w:ascii="宋体" w:hAnsi="宋体" w:cs="宋体"/>
                <w:kern w:val="0"/>
                <w:sz w:val="24"/>
              </w:rPr>
              <w:t>载荷</w:t>
            </w:r>
            <w:r>
              <w:rPr>
                <w:rFonts w:ascii="宋体" w:hAnsi="宋体" w:cs="宋体"/>
                <w:kern w:val="0"/>
                <w:sz w:val="24"/>
              </w:rPr>
              <w:t>/</w:t>
            </w:r>
            <w:r>
              <w:rPr>
                <w:rFonts w:ascii="宋体" w:hAnsi="宋体" w:cs="宋体"/>
                <w:kern w:val="0"/>
                <w:sz w:val="24"/>
              </w:rPr>
              <w:t>自重比大</w:t>
            </w:r>
            <w:r>
              <w:rPr>
                <w:rFonts w:ascii="宋体" w:hAnsi="宋体" w:cs="宋体"/>
                <w:kern w:val="0"/>
                <w:sz w:val="24"/>
              </w:rPr>
              <w:t>) </w:t>
            </w:r>
            <w:r>
              <w:rPr>
                <w:rFonts w:ascii="宋体" w:hAnsi="宋体" w:cs="宋体"/>
                <w:kern w:val="0"/>
                <w:sz w:val="24"/>
              </w:rPr>
              <w:t>极限工况条件下的</w:t>
            </w:r>
            <w:r>
              <w:rPr>
                <w:rFonts w:ascii="宋体" w:hAnsi="宋体" w:cs="宋体"/>
                <w:b/>
                <w:bCs/>
                <w:kern w:val="0"/>
                <w:sz w:val="24"/>
              </w:rPr>
              <w:t>高精度</w:t>
            </w:r>
            <w:r>
              <w:rPr>
                <w:rFonts w:ascii="宋体" w:hAnsi="宋体" w:cs="宋体"/>
                <w:kern w:val="0"/>
                <w:sz w:val="24"/>
              </w:rPr>
              <w:t>控制性能。如</w:t>
            </w:r>
            <w:r>
              <w:rPr>
                <w:rFonts w:ascii="宋体" w:hAnsi="宋体" w:cs="宋体"/>
                <w:kern w:val="0"/>
                <w:sz w:val="24"/>
              </w:rPr>
              <w:t>ABB </w:t>
            </w:r>
            <w:r>
              <w:rPr>
                <w:rFonts w:ascii="宋体" w:hAnsi="宋体" w:cs="宋体"/>
                <w:kern w:val="0"/>
                <w:sz w:val="24"/>
              </w:rPr>
              <w:t>公司的</w:t>
            </w:r>
            <w:r>
              <w:rPr>
                <w:rFonts w:ascii="宋体" w:hAnsi="宋体" w:cs="宋体"/>
                <w:kern w:val="0"/>
                <w:sz w:val="24"/>
              </w:rPr>
              <w:t>IRB7600 </w:t>
            </w:r>
            <w:r>
              <w:rPr>
                <w:rFonts w:ascii="宋体" w:hAnsi="宋体" w:cs="宋体"/>
                <w:kern w:val="0"/>
                <w:sz w:val="24"/>
              </w:rPr>
              <w:t>机器人是典型代表之一，其有效载荷范围</w:t>
            </w:r>
            <w:r>
              <w:rPr>
                <w:rFonts w:ascii="宋体" w:hAnsi="宋体" w:cs="宋体"/>
                <w:kern w:val="0"/>
                <w:sz w:val="24"/>
              </w:rPr>
              <w:t>150-500kg</w:t>
            </w:r>
            <w:r>
              <w:rPr>
                <w:rFonts w:ascii="宋体" w:hAnsi="宋体" w:cs="宋体"/>
                <w:kern w:val="0"/>
                <w:sz w:val="24"/>
              </w:rPr>
              <w:t>，最大承重能力</w:t>
            </w:r>
            <w:r>
              <w:rPr>
                <w:rFonts w:ascii="宋体" w:hAnsi="宋体" w:cs="宋体"/>
                <w:kern w:val="0"/>
                <w:sz w:val="24"/>
              </w:rPr>
              <w:t>650kg</w:t>
            </w:r>
            <w:r>
              <w:rPr>
                <w:rFonts w:ascii="宋体" w:hAnsi="宋体" w:cs="宋体"/>
                <w:kern w:val="0"/>
                <w:sz w:val="24"/>
              </w:rPr>
              <w:t>，关节运动角速度最高可达</w:t>
            </w:r>
            <w:r>
              <w:rPr>
                <w:rFonts w:ascii="宋体" w:hAnsi="宋体" w:cs="宋体"/>
                <w:kern w:val="0"/>
                <w:sz w:val="24"/>
              </w:rPr>
              <w:t>190°/s</w:t>
            </w:r>
            <w:r>
              <w:rPr>
                <w:rFonts w:ascii="宋体" w:hAnsi="宋体" w:cs="宋体"/>
                <w:kern w:val="0"/>
                <w:sz w:val="24"/>
              </w:rPr>
              <w:t>，定位精度</w:t>
            </w:r>
            <w:r>
              <w:rPr>
                <w:rFonts w:ascii="宋体" w:hAnsi="宋体" w:cs="宋体"/>
                <w:kern w:val="0"/>
                <w:sz w:val="24"/>
              </w:rPr>
              <w:t>0.55-1.2mm</w:t>
            </w:r>
            <w:r>
              <w:rPr>
                <w:rFonts w:ascii="宋体" w:hAnsi="宋体" w:cs="宋体"/>
                <w:kern w:val="0"/>
                <w:sz w:val="24"/>
              </w:rPr>
              <w:t>。我国自</w:t>
            </w:r>
            <w:r>
              <w:rPr>
                <w:rFonts w:ascii="宋体" w:hAnsi="宋体" w:cs="宋体"/>
                <w:kern w:val="0"/>
                <w:sz w:val="24"/>
              </w:rPr>
              <w:t>21</w:t>
            </w:r>
            <w:r>
              <w:rPr>
                <w:rFonts w:ascii="宋体" w:hAnsi="宋体" w:cs="宋体"/>
                <w:kern w:val="0"/>
                <w:sz w:val="24"/>
              </w:rPr>
              <w:t>世纪以来已开始自主研制工业机器人，并在汽车、电子等行业制造初步步入产业化阶段。但总体上，与国外先进技术有很大差距，相关研究瓶颈还亟待突破，</w:t>
            </w:r>
            <w:r>
              <w:rPr>
                <w:rFonts w:ascii="宋体" w:hAnsi="宋体" w:cs="宋体"/>
                <w:b/>
                <w:bCs/>
                <w:kern w:val="0"/>
                <w:sz w:val="24"/>
              </w:rPr>
              <w:t>打破国外技术垄断</w:t>
            </w:r>
            <w:r>
              <w:rPr>
                <w:rFonts w:ascii="宋体" w:hAnsi="宋体" w:cs="宋体"/>
                <w:kern w:val="0"/>
                <w:sz w:val="24"/>
              </w:rPr>
              <w:t>，突破制约高速重载、高加速等极限工况下工业机器人运动控制精度的技术瓶颈，并</w:t>
            </w:r>
            <w:r>
              <w:rPr>
                <w:rFonts w:ascii="宋体" w:hAnsi="宋体" w:cs="宋体"/>
                <w:b/>
                <w:bCs/>
                <w:kern w:val="0"/>
                <w:sz w:val="24"/>
              </w:rPr>
              <w:t>推动其在行业中的广泛应用</w:t>
            </w:r>
            <w:r>
              <w:rPr>
                <w:rFonts w:ascii="宋体" w:hAnsi="宋体" w:cs="宋体"/>
                <w:kern w:val="0"/>
                <w:sz w:val="24"/>
              </w:rPr>
              <w:t>。</w:t>
            </w:r>
          </w:p>
          <w:p>
            <w:pPr>
              <w:wordWrap w:val="0"/>
              <w:spacing w:line="440" w:lineRule="exact"/>
              <w:ind w:firstLine="480" w:firstLineChars="200"/>
              <w:jc w:val="left"/>
              <w:rPr>
                <w:sz w:val="24"/>
              </w:rPr>
            </w:pPr>
            <w:bookmarkEnd w:id="61"/>
          </w:p>
        </w:tc>
      </w:tr>
      <w:tr w14:paraId="18EC3EE7">
        <w:tblPrEx>
          <w:tblW w:w="10635" w:type="dxa"/>
          <w:jc w:val="center"/>
          <w:tblLayout w:type="fixed"/>
          <w:tblCellMar>
            <w:top w:w="0" w:type="dxa"/>
            <w:left w:w="108" w:type="dxa"/>
            <w:bottom w:w="0" w:type="dxa"/>
            <w:right w:w="108" w:type="dxa"/>
          </w:tblCellMar>
        </w:tblPrEx>
        <w:trPr>
          <w:cantSplit/>
          <w:trHeight w:val="450"/>
          <w:jc w:val="center"/>
        </w:trPr>
        <w:tc>
          <w:tcPr>
            <w:tcW w:w="10635" w:type="dxa"/>
            <w:gridSpan w:val="13"/>
          </w:tcPr>
          <w:p w14:paraId="0F505C29">
            <w:pPr>
              <w:wordWrap w:val="0"/>
              <w:jc w:val="center"/>
              <w:rPr>
                <w:b/>
                <w:szCs w:val="28"/>
              </w:rPr>
            </w:pPr>
            <w:r>
              <w:rPr>
                <w:rFonts w:hint="eastAsia"/>
                <w:b/>
                <w:szCs w:val="28"/>
              </w:rPr>
              <w:t>项目简介</w:t>
            </w:r>
          </w:p>
        </w:tc>
      </w:tr>
      <w:tr w14:paraId="419D2C72">
        <w:tblPrEx>
          <w:tblW w:w="10635" w:type="dxa"/>
          <w:jc w:val="center"/>
          <w:tblLayout w:type="fixed"/>
          <w:tblCellMar>
            <w:top w:w="0" w:type="dxa"/>
            <w:left w:w="108" w:type="dxa"/>
            <w:bottom w:w="0" w:type="dxa"/>
            <w:right w:w="108" w:type="dxa"/>
          </w:tblCellMar>
        </w:tblPrEx>
        <w:trPr>
          <w:jc w:val="center"/>
        </w:trPr>
        <w:tc>
          <w:tcPr>
            <w:tcW w:w="10635" w:type="dxa"/>
            <w:gridSpan w:val="13"/>
          </w:tcPr>
          <w:p w14:paraId="3A35EBA0">
            <w:pPr>
              <w:widowControl/>
              <w:spacing w:before="0" w:after="0"/>
              <w:jc w:val="left"/>
              <w:rPr>
                <w:rFonts w:ascii="宋体" w:hAnsi="宋体" w:cs="宋体"/>
                <w:kern w:val="0"/>
                <w:sz w:val="24"/>
              </w:rPr>
            </w:pPr>
            <w:bookmarkStart w:id="62" w:name="xmjj"/>
            <w:r>
              <w:rPr>
                <w:rFonts w:ascii="宋体" w:hAnsi="宋体" w:cs="宋体"/>
                <w:kern w:val="0"/>
                <w:sz w:val="24"/>
              </w:rPr>
              <w:t>(1) 提出一种基于扩展虚拟柔性关节结构化模型结合频域灰箱参数辨识的全局刚柔耦合动力学建模方法，结构化模型仍采用集中质量参数表达，形式简洁、规范；且在感兴趣的控制带宽 范围（</w:t>
            </w:r>
            <w:r>
              <w:rPr>
                <w:rFonts w:ascii="宋体" w:hAnsi="宋体" w:cs="宋体"/>
                <w:kern w:val="0"/>
                <w:sz w:val="24"/>
              </w:rPr>
              <w:t>0-100Hz</w:t>
            </w:r>
            <w:r>
              <w:rPr>
                <w:rFonts w:ascii="宋体" w:hAnsi="宋体" w:cs="宋体"/>
                <w:kern w:val="0"/>
                <w:sz w:val="24"/>
              </w:rPr>
              <w:t>）内全面考虑了系统的复杂刚柔耦合影响，为高性能工业机器人控制系统设计奠定了精准、合理的模型基础。 </w:t>
            </w:r>
          </w:p>
          <w:p>
            <w:pPr>
              <w:widowControl/>
              <w:spacing w:before="0" w:after="0"/>
              <w:jc w:val="left"/>
              <w:rPr>
                <w:rFonts w:ascii="宋体" w:hAnsi="宋体" w:cs="宋体"/>
                <w:kern w:val="0"/>
                <w:sz w:val="24"/>
              </w:rPr>
            </w:pPr>
            <w:r>
              <w:rPr>
                <w:rFonts w:ascii="宋体" w:hAnsi="宋体" w:cs="宋体"/>
                <w:kern w:val="0"/>
                <w:sz w:val="24"/>
              </w:rPr>
              <w:t>(2) 提出一种基于切比雪夫基函数的机器人广义运动学误差建模方法，对各类几何和关节依赖误差进行全面表征，其不受机器人误差生成机理及作用规律的限制，且能最大限度地避免陷入局部最优或过拟合，基于最佳一致逼近估计的误差补偿算法有望对末端执行器位姿进行准确伺服修正。 </w:t>
            </w:r>
          </w:p>
          <w:p>
            <w:pPr>
              <w:widowControl/>
              <w:spacing w:before="0" w:after="0"/>
              <w:jc w:val="left"/>
              <w:rPr>
                <w:rFonts w:ascii="宋体" w:hAnsi="宋体" w:cs="宋体"/>
                <w:kern w:val="0"/>
                <w:sz w:val="24"/>
              </w:rPr>
            </w:pPr>
            <w:r>
              <w:rPr>
                <w:rFonts w:ascii="宋体" w:hAnsi="宋体" w:cs="宋体"/>
                <w:kern w:val="0"/>
                <w:sz w:val="24"/>
              </w:rPr>
              <w:t>(3) 针对高性能工业机器人这类刚柔耦合、复杂非线性系统，提出一种基于期望运动伺服约束的模型动态逆前馈控制结合自适应积分型滑模反馈控制的设计方法，以保证机器人系统的鲁棒稳定和高动态响应，有望实现对全局刚柔耦合动力学模型的精准跟随和机器人系统的高精度控制。</w:t>
            </w:r>
          </w:p>
          <w:p>
            <w:pPr>
              <w:wordWrap w:val="0"/>
              <w:spacing w:line="440" w:lineRule="exact"/>
              <w:ind w:firstLine="480" w:firstLineChars="200"/>
              <w:jc w:val="left"/>
              <w:rPr>
                <w:sz w:val="24"/>
              </w:rPr>
            </w:pPr>
            <w:bookmarkEnd w:id="62"/>
          </w:p>
        </w:tc>
      </w:tr>
    </w:tbl>
    <w:p w14:paraId="45BEEAA7">
      <w:pPr>
        <w:wordWrap w:val="0"/>
        <w:spacing w:line="20" w:lineRule="exact"/>
      </w:pPr>
      <w:r>
        <w:br w:type="page"/>
      </w:r>
    </w:p>
    <w:tbl>
      <w:tblPr>
        <w:tblStyle w:val="TableNormal"/>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62"/>
      </w:tblGrid>
      <w:tr w14:paraId="64B5F0C8">
        <w:tblPrEx>
          <w:tblW w:w="102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62" w:type="dxa"/>
          </w:tcPr>
          <w:p w14:paraId="483CEF52">
            <w:pPr>
              <w:wordWrap w:val="0"/>
              <w:jc w:val="center"/>
              <w:rPr>
                <w:b/>
                <w:szCs w:val="28"/>
              </w:rPr>
            </w:pPr>
            <w:r>
              <w:rPr>
                <w:rFonts w:hint="eastAsia"/>
                <w:b/>
                <w:szCs w:val="28"/>
              </w:rPr>
              <w:t>研究属性</w:t>
            </w:r>
          </w:p>
        </w:tc>
      </w:tr>
      <w:tr w14:paraId="1D3DB373">
        <w:tblPrEx>
          <w:tblW w:w="10262" w:type="dxa"/>
          <w:jc w:val="center"/>
          <w:tblLayout w:type="fixed"/>
          <w:tblCellMar>
            <w:top w:w="0" w:type="dxa"/>
            <w:left w:w="108" w:type="dxa"/>
            <w:bottom w:w="0" w:type="dxa"/>
            <w:right w:w="108" w:type="dxa"/>
          </w:tblCellMar>
        </w:tblPrEx>
        <w:trPr>
          <w:jc w:val="center"/>
        </w:trPr>
        <w:tc>
          <w:tcPr>
            <w:tcW w:w="10262" w:type="dxa"/>
          </w:tcPr>
          <w:p w14:paraId="26C1DA1C">
            <w:pPr>
              <w:wordWrap w:val="0"/>
              <w:snapToGrid w:val="0"/>
              <w:spacing w:after="120" w:afterLines="50" w:line="440" w:lineRule="exact"/>
              <w:jc w:val="left"/>
              <w:rPr>
                <w:sz w:val="24"/>
              </w:rPr>
            </w:pPr>
            <w:r>
              <w:rPr>
                <w:rFonts w:hint="eastAsia"/>
                <w:sz w:val="24"/>
              </w:rPr>
              <w:t>特别提醒</w:t>
            </w:r>
            <w:r>
              <w:rPr>
                <w:rFonts w:hint="eastAsia"/>
                <w:color w:val="0D0D0D"/>
                <w:sz w:val="24"/>
              </w:rPr>
              <w:t>申报</w:t>
            </w:r>
            <w:r>
              <w:rPr>
                <w:rFonts w:hint="eastAsia"/>
                <w:sz w:val="24"/>
              </w:rPr>
              <w:t>人注意：请阅读后，选择研究属性，并阐明选择理由。申报项目具有多重研究属性的，申报人应当选择最相符、最侧重、最能体现申报项目特点的一类研究属性</w:t>
            </w:r>
            <w:r>
              <w:rPr>
                <w:sz w:val="24"/>
              </w:rPr>
              <w:t>。</w:t>
            </w:r>
          </w:p>
          <w:p w14:paraId="75D93504">
            <w:pPr>
              <w:pStyle w:val="Default"/>
              <w:wordWrap w:val="0"/>
              <w:spacing w:line="360" w:lineRule="auto"/>
              <w:ind w:firstLine="240" w:firstLineChars="100"/>
              <w:rPr>
                <w:rFonts w:ascii="Times New Roman" w:eastAsia="宋体" w:hAnsi="Times New Roman" w:hint="default"/>
                <w:kern w:val="2"/>
                <w:szCs w:val="24"/>
              </w:rPr>
            </w:pPr>
            <w:r>
              <w:rPr>
                <w:rFonts w:ascii="Times New Roman" w:eastAsia="宋体" w:hAnsi="Times New Roman"/>
                <w:kern w:val="2"/>
                <w:szCs w:val="24"/>
              </w:rPr>
              <w:t>“</w:t>
            </w:r>
            <w:r>
              <w:rPr>
                <w:rFonts w:ascii="Times New Roman" w:eastAsia="宋体" w:hAnsi="Times New Roman"/>
                <w:b/>
                <w:kern w:val="2"/>
                <w:szCs w:val="24"/>
              </w:rPr>
              <w:t>自由探索类基础研究</w:t>
            </w:r>
            <w:r>
              <w:rPr>
                <w:rFonts w:ascii="Times New Roman" w:eastAsia="宋体" w:hAnsi="Times New Roman"/>
                <w:kern w:val="2"/>
                <w:szCs w:val="24"/>
              </w:rPr>
              <w:t>”：选题源于科研人员好奇心或创新性学术灵感，且不以满足现阶段应用需求为目的的原创性、前沿性基础研究。</w:t>
            </w:r>
          </w:p>
          <w:p w14:paraId="28D3DA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 xml:space="preserve">  </w:t>
            </w:r>
            <w:r>
              <w:rPr>
                <w:rFonts w:ascii="Times New Roman" w:eastAsia="宋体" w:hAnsi="Times New Roman"/>
                <w:kern w:val="2"/>
                <w:szCs w:val="24"/>
              </w:rPr>
              <w:t>“</w:t>
            </w:r>
            <w:r>
              <w:rPr>
                <w:rFonts w:ascii="Times New Roman" w:eastAsia="宋体" w:hAnsi="Times New Roman"/>
                <w:b/>
                <w:kern w:val="2"/>
                <w:szCs w:val="24"/>
              </w:rPr>
              <w:t>目标导向类基础研究</w:t>
            </w:r>
            <w:r>
              <w:rPr>
                <w:rFonts w:ascii="Times New Roman" w:eastAsia="宋体" w:hAnsi="Times New Roman"/>
                <w:kern w:val="2"/>
                <w:szCs w:val="24"/>
              </w:rPr>
              <w:t>”：以经济社会发展需要或国家需求为牵引的基础研究。</w:t>
            </w:r>
          </w:p>
          <w:p w14:paraId="474D61EC">
            <w:pPr>
              <w:wordWrap w:val="0"/>
              <w:spacing w:line="100" w:lineRule="atLeast"/>
              <w:jc w:val="left"/>
              <w:rPr>
                <w:sz w:val="21"/>
                <w:szCs w:val="20"/>
              </w:rPr>
            </w:pPr>
          </w:p>
          <w:p w14:paraId="7EB2679B">
            <w:pPr>
              <w:wordWrap w:val="0"/>
              <w:spacing w:line="440" w:lineRule="exact"/>
              <w:jc w:val="left"/>
              <w:rPr>
                <w:sz w:val="21"/>
                <w:szCs w:val="20"/>
              </w:rPr>
            </w:pPr>
            <w:r>
              <w:rPr>
                <w:rFonts w:hint="eastAsia"/>
                <w:sz w:val="24"/>
                <w:szCs w:val="22"/>
              </w:rPr>
              <w:t>研究的属性：</w:t>
            </w:r>
            <w:bookmarkStart w:id="63" w:name="kxwtsx"/>
            <w:r>
              <w:rPr>
                <w:rFonts w:ascii="宋体" w:eastAsia="宋体" w:hAnsi="宋体" w:cs="宋体" w:hint="eastAsia"/>
                <w:sz w:val="24"/>
                <w:szCs w:val="22"/>
              </w:rPr>
              <w:t>自由探索类基础研究</w:t>
            </w:r>
            <w:bookmarkEnd w:id="63"/>
          </w:p>
        </w:tc>
      </w:tr>
      <w:tr w14:paraId="74617EC3">
        <w:tblPrEx>
          <w:tblW w:w="10262" w:type="dxa"/>
          <w:jc w:val="center"/>
          <w:tblLayout w:type="fixed"/>
          <w:tblCellMar>
            <w:top w:w="0" w:type="dxa"/>
            <w:left w:w="108" w:type="dxa"/>
            <w:bottom w:w="0" w:type="dxa"/>
            <w:right w:w="108" w:type="dxa"/>
          </w:tblCellMar>
        </w:tblPrEx>
        <w:trPr>
          <w:jc w:val="center"/>
        </w:trPr>
        <w:tc>
          <w:tcPr>
            <w:tcW w:w="10262" w:type="dxa"/>
          </w:tcPr>
          <w:p w14:paraId="631A0C48">
            <w:pPr>
              <w:pStyle w:val="Default"/>
              <w:wordWrap w:val="0"/>
              <w:spacing w:line="360" w:lineRule="auto"/>
              <w:rPr>
                <w:rFonts w:ascii="Times New Roman" w:eastAsia="宋体" w:hAnsi="Times New Roman" w:hint="default"/>
                <w:kern w:val="2"/>
                <w:szCs w:val="24"/>
              </w:rPr>
            </w:pPr>
            <w:r>
              <w:rPr>
                <w:rFonts w:ascii="Times New Roman" w:eastAsia="宋体" w:hAnsi="Times New Roman" w:hint="default"/>
                <w:kern w:val="2"/>
                <w:szCs w:val="24"/>
              </w:rPr>
              <w:t>选择该</w:t>
            </w:r>
            <w:r>
              <w:rPr>
                <w:rFonts w:ascii="Times New Roman" w:eastAsia="宋体" w:hAnsi="Times New Roman"/>
                <w:kern w:val="2"/>
                <w:szCs w:val="24"/>
              </w:rPr>
              <w:t>研究</w:t>
            </w:r>
            <w:r>
              <w:rPr>
                <w:rFonts w:ascii="Times New Roman" w:eastAsia="宋体" w:hAnsi="Times New Roman" w:hint="default"/>
                <w:kern w:val="2"/>
                <w:szCs w:val="24"/>
              </w:rPr>
              <w:t>属性的理由（800字以内）：</w:t>
            </w:r>
          </w:p>
          <w:p w14:paraId="79560743">
            <w:pPr>
              <w:widowControl/>
              <w:spacing w:before="0" w:after="0"/>
              <w:jc w:val="left"/>
              <w:rPr>
                <w:rFonts w:ascii="宋体" w:hAnsi="宋体" w:cs="宋体"/>
                <w:kern w:val="0"/>
                <w:sz w:val="24"/>
              </w:rPr>
            </w:pPr>
            <w:bookmarkStart w:id="64" w:name="kxwtsxsm"/>
            <w:r>
              <w:rPr>
                <w:rFonts w:ascii="宋体" w:hAnsi="宋体" w:cs="宋体"/>
                <w:kern w:val="0"/>
                <w:sz w:val="24"/>
              </w:rPr>
              <w:t>本研究紧密围绕工业机器人核心理论与控制方法展开，具备典型的自由探索类基础研究特征。</w:t>
            </w:r>
          </w:p>
          <w:p>
            <w:pPr>
              <w:widowControl/>
              <w:spacing w:before="0" w:after="0"/>
              <w:jc w:val="left"/>
              <w:rPr>
                <w:rFonts w:ascii="宋体" w:hAnsi="宋体" w:cs="宋体"/>
                <w:kern w:val="0"/>
                <w:sz w:val="24"/>
              </w:rPr>
            </w:pPr>
            <w:r>
              <w:rPr>
                <w:rFonts w:ascii="宋体" w:hAnsi="宋体" w:cs="宋体"/>
                <w:kern w:val="0"/>
                <w:sz w:val="24"/>
              </w:rPr>
              <w:t>一方面，研究选题源于科研人员对工业机器人性能提升的深层理论好奇心，以及在长期研究实践中闪现的创新灵感。当前工业机器人领域，虽然广泛应用传统建模与控制手段，但面对更高性能需求，现有理论暴露出局限性。科研人员凭借敏锐洞察力，捕捉到突破传统建模补偿及动力学建模框架可能释放的巨大潜力，期望在基础理论层面实现革新，这种探索欲望不带现阶段直接应用目的，而是着眼于未来知识边界的拓展。</w:t>
            </w:r>
          </w:p>
          <w:p>
            <w:pPr>
              <w:widowControl/>
              <w:spacing w:before="0" w:after="0"/>
              <w:jc w:val="left"/>
              <w:rPr>
                <w:rFonts w:ascii="宋体" w:hAnsi="宋体" w:cs="宋体"/>
                <w:kern w:val="0"/>
                <w:sz w:val="24"/>
              </w:rPr>
            </w:pPr>
            <w:r>
              <w:rPr>
                <w:rFonts w:ascii="宋体" w:hAnsi="宋体" w:cs="宋体"/>
                <w:kern w:val="0"/>
                <w:sz w:val="24"/>
              </w:rPr>
              <w:t>另一方面，研究内容具备高度原创性与前沿性。在全局刚柔耦合动力学建模方面，创新性地提出扩展虚拟柔性关节结构化模型搭配频域灰箱参数辨识，既保留模型简洁性，又全面涵盖复杂刚柔耦合影响，为后续控制系统设计筑牢根基；机器人广义运动学误差建模中，基于切比雪夫基函数的方法能全面表征各类误差，突破误差生成机理限制，结合最佳一致逼近估计的补偿算法有望实现精准伺服修正；而针对复杂非线性系统提出的复合控制策略，融合动态逆前馈与自适应滑模反馈，旨在攻克全局模型精准跟随与高精度控制难题，这些理论探索走在学科前沿，试图开辟新路径，完全契合自由探索类基础研究特质，旨在为工业机器人长远发展贡献基础理论力量。</w:t>
            </w:r>
          </w:p>
          <w:p>
            <w:pPr>
              <w:wordWrap w:val="0"/>
              <w:spacing w:line="440" w:lineRule="exact"/>
              <w:ind w:firstLine="480" w:firstLineChars="200"/>
              <w:jc w:val="left"/>
              <w:rPr>
                <w:sz w:val="24"/>
              </w:rPr>
            </w:pPr>
            <w:bookmarkEnd w:id="64"/>
          </w:p>
        </w:tc>
      </w:tr>
    </w:tbl>
    <w:p w14:paraId="5B48EE8E">
      <w:pPr>
        <w:tabs>
          <w:tab w:val="left" w:pos="4690"/>
        </w:tabs>
        <w:wordWrap w:val="0"/>
        <w:spacing w:line="20" w:lineRule="exact"/>
        <w:rPr>
          <w:sz w:val="32"/>
          <w:szCs w:val="32"/>
        </w:rPr>
      </w:pPr>
    </w:p>
    <w:p w14:paraId="17F4B733">
      <w:pPr>
        <w:widowControl/>
        <w:wordWrap w:val="0"/>
        <w:jc w:val="left"/>
        <w:rPr>
          <w:sz w:val="2"/>
          <w:szCs w:val="2"/>
        </w:rPr>
      </w:pPr>
      <w:r>
        <w:rPr>
          <w:sz w:val="2"/>
          <w:szCs w:val="2"/>
        </w:rPr>
        <w:br w:type="page"/>
      </w:r>
    </w:p>
    <w:p w14:paraId="2224CB70">
      <w:pPr>
        <w:wordWrap w:val="0"/>
        <w:jc w:val="center"/>
        <w:rPr>
          <w:sz w:val="2"/>
          <w:szCs w:val="2"/>
        </w:rPr>
      </w:pPr>
      <w:bookmarkStart w:id="65" w:name="zw"/>
      <w:bookmarkEnd w:id="65"/>
    </w:p>
    <w:p w14:paraId="7E461BF3">
      <w:pPr>
        <w:wordWrap w:val="0"/>
        <w:spacing w:line="440" w:lineRule="exact"/>
        <w:jc w:val="center"/>
        <w:outlineLvl w:val="0"/>
        <w:rPr>
          <w:rFonts w:ascii="宋体" w:hAnsi="宋体"/>
          <w:b/>
          <w:sz w:val="32"/>
          <w:szCs w:val="32"/>
        </w:rPr>
      </w:pPr>
      <w:r>
        <w:rPr>
          <w:rFonts w:ascii="宋体" w:hAnsi="宋体" w:hint="eastAsia"/>
          <w:b/>
          <w:sz w:val="32"/>
          <w:szCs w:val="32"/>
        </w:rPr>
        <w:t>申请书正文部分</w:t>
      </w:r>
    </w:p>
    <w:p w14:paraId="4C2DAEFD">
      <w:pPr>
        <w:wordWrap w:val="0"/>
        <w:spacing w:line="440" w:lineRule="exact"/>
        <w:jc w:val="center"/>
        <w:outlineLvl w:val="0"/>
        <w:rPr>
          <w:rFonts w:ascii="宋体" w:hAnsi="宋体"/>
          <w:b/>
          <w:sz w:val="36"/>
          <w:szCs w:val="36"/>
        </w:rPr>
      </w:pPr>
    </w:p>
    <w:p w14:paraId="4802F2D8">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一、立论依据</w:t>
      </w:r>
    </w:p>
    <w:p w14:paraId="6A40D10D">
      <w:pPr>
        <w:wordWrap w:val="0"/>
        <w:spacing w:line="440" w:lineRule="exact"/>
        <w:ind w:firstLine="560" w:firstLineChars="200"/>
        <w:rPr>
          <w:rFonts w:ascii="楷体" w:eastAsia="楷体" w:hAnsi="楷体" w:cs="楷体" w:hint="eastAsia"/>
        </w:rPr>
      </w:pPr>
      <w:r>
        <w:rPr>
          <w:rFonts w:ascii="楷体" w:eastAsia="楷体" w:hAnsi="楷体" w:cs="楷体" w:hint="eastAsia"/>
        </w:rPr>
        <w:t>1.国内外发展研究现状及发展动态分析</w:t>
      </w:r>
    </w:p>
    <w:p w14:paraId="11B5EAEE">
      <w:pPr>
        <w:bidi w:val="0"/>
        <w:rPr>
          <w:b/>
          <w:bCs/>
        </w:rPr>
      </w:pPr>
      <w:r>
        <w:rPr>
          <w:rFonts w:hint="eastAsia"/>
          <w:b/>
          <w:bCs/>
        </w:rPr>
        <w:t>（1）</w:t>
      </w:r>
      <w:r>
        <w:rPr>
          <w:b/>
          <w:bCs/>
        </w:rPr>
        <w:t>高性能工业机器人动力学建模方面</w:t>
      </w:r>
    </w:p>
    <w:p w14:paraId="0D5A9639">
      <w:pPr>
        <w:bidi w:val="0"/>
        <w:ind w:firstLine="840" w:firstLineChars="300"/>
      </w:pPr>
      <w:r>
        <w:t>众所周知，传统工业机器人采用最大化刚度结构设计，存在惯量大、动态性能差和生产效率低等问题。随着产品精度和生产效率的不断升级，以及机器人技术在各行业的广泛应用，工业机器人的高性能、轻量化设计已成为发展趋势，如对于有效载荷为100-200千克的大型机器人，其自重/载荷比在过去20年里从15减少到了5【</w:t>
      </w:r>
      <w:r>
        <w:rPr>
          <w:rFonts w:hint="eastAsia"/>
        </w:rPr>
        <w:t>Zheng Y 2023</w:t>
      </w:r>
      <w:r>
        <w:t>】。再者，机器人关节广泛采用的各类减速器在高速重载工况下的弹性变形已无法忽略，如谐波减速器是通过柔轮弹性变形进行运动传递；RV减速器通过硬齿面多齿啮合传动，虽然增大了承载能力和扭转刚度，但其摆线针轮、渐开线齿轮、轴承等部分的弹性变形依然不容忽视【Cao D 2017】。此外，高速重载工况下还存在轻量化臂杆的结构弹性、末端工具在操作对象作用下的力学变形等影响【</w:t>
      </w:r>
      <w:r>
        <w:rPr>
          <w:rFonts w:hint="eastAsia"/>
        </w:rPr>
        <w:t>Du H</w:t>
      </w:r>
      <w:r>
        <w:t xml:space="preserve"> 20</w:t>
      </w:r>
      <w:r>
        <w:rPr>
          <w:rFonts w:hint="eastAsia"/>
          <w:lang w:val="en-US" w:eastAsia="zh-CN"/>
        </w:rPr>
        <w:t>20</w:t>
      </w:r>
      <w:r>
        <w:t>】。由此可见，高性能工业机器人动力学系统中存在着复杂的刚柔耦合影响，使得经典的机器人刚体动力学模型已无法准确描述高速、重载等极限工况条件下包括</w:t>
      </w:r>
      <w:r>
        <w:rPr>
          <w:rFonts w:hint="eastAsia"/>
        </w:rPr>
        <w:t>基座、轴承、臂杆结构柔性和末端工具变形等</w:t>
      </w:r>
      <w:r>
        <w:t>引起的复杂振动模态影响。因此，研究学者们从各种角度研究这类轻质、高速、重载工业机器人的集中参数建模问题。</w:t>
      </w:r>
    </w:p>
    <w:p w14:paraId="2F7978D1">
      <w:pPr>
        <w:bidi w:val="0"/>
        <w:ind w:firstLine="560" w:firstLineChars="200"/>
      </w:pPr>
      <w:r>
        <w:t>为描述高性能工业机器人动力学系统中复杂的刚柔耦合关系，【Talole S E 2010】应用柔性关节模型，假设弹性集中在传动系统（即减速器）中并将主动轴用弹簧-阻尼对建模。【Hardeman T 2008】发现Staubli机器人的轴承和传动弹性具有相同的数量级，仅考虑驱动关节的柔性存在一定局限性，并指出应采用非驱动柔性关节对轴承和臂杆的弹性进行建模。对此，【Vakil M 2012】基于假设模态法并结合拉格朗日方程，获得平面柔性臂杆、柔性关节机器人闭合形式的有限维动力学模型。从上述可知，轻质、高速、重载机器人动力学建模中涉及的柔性环节多，仅考虑驱动方向的柔性是远远不够的。在这方面，【Moberg S 2010】研究了一种扩展柔性关节模型（Extended flexible joint model），它采用集中质量参数描述方式，可以描述机器人全方向的柔性特征，其模型由多刚体构成的连续运动链组成，各刚体间由多个弹性关节（即离散分布弹簧阻尼对）连接，体现扭转（或平移）变形。弹性关节既可以表征为驱动关节，也可以是非驱动关节（即虚拟关节）。【Moberg S 2014】指出在（6-100Hz）的频率区域，单纯柔性驱动关节模型已无法对一些显著的共振进行建模，当建立18自由度的扩展柔性关节模型后，主导极点-零点的平均频率误差可由25％减小到5％以下。然而，由于扩展柔性关节模型需要对多个柔性环节进行建模，在判断虚拟关节的配置方面具有较大的难度，且增加的自由度数给模型参数估计带来巨大挑战。总之，传统的柔性关节模型仅对驱动关节的扭转弹性进行建模，在模型精度方面存在很大不足，扩展柔性关节模型为轻质、高速、重载机器人精确动力学建模提供了解决思路，但需要解决虚拟关节的合理配置和模型参数的精准估计问题。</w:t>
      </w:r>
      <w:r>
        <w:rPr>
          <w:b/>
          <w:bCs/>
        </w:rPr>
        <w:t>如何构建合理的模型结构并获取模型参数的精准估计，以有效表征系统复杂刚柔耦合影响，并为控制系统设计提供精确、合理的动力学模型仍存在诸多</w:t>
      </w:r>
      <w:r>
        <w:rPr>
          <w:rFonts w:hint="eastAsia"/>
          <w:b/>
          <w:bCs/>
        </w:rPr>
        <w:t>亟待</w:t>
      </w:r>
      <w:r>
        <w:rPr>
          <w:b/>
          <w:bCs/>
        </w:rPr>
        <w:t>解决的问题。</w:t>
      </w:r>
    </w:p>
    <w:p w14:paraId="0E68418F">
      <w:pPr>
        <w:bidi w:val="0"/>
        <w:ind w:firstLine="560" w:firstLineChars="200"/>
        <w:rPr>
          <w:b/>
          <w:bCs/>
        </w:rPr>
      </w:pPr>
      <w:r>
        <w:t>当前，刚性关节模型的辨识方法已经成熟【Springer handbook of robotics 2016】，而大多数柔性关节模型参数估计中仅考虑了局部模型，即限于某一特定构型有效。如【Johansson R 2000】基于子空间方法，结合摩擦估计，通过电机侧测量，辨识出两个机器人轴的多输入多输出（MIMO）黑箱模型；【Pham M T 2001】使用线性参数模型结构，通过线性回归估计单输入单输出模型的参数。上述局部模型均无法在全工作空间反映机器人的动力学特征，而全局柔性关节模型的识别仍处于起步阶段【Oaki J 2018】，目前还缺乏对于多轴工业机器人操作臂全局弹性参数估计的研究。在参数估计的实验设计方面，【Hardeman T 2008】假设所有自由度（电机角位置，传动和轴承）变形都可测量，然后通过线性回归求解未知弹性参数。但实际应用中增加额外的传感器不但成本昂贵，而且无法对弹性形变进行精确测量。此外，随着频带拓宽，工业机器人系统中的非线性因素对动力学参数的辨识结果有较大影响，如不进行非线性补偿则根本无法对一些显著的共振频点进行准确估计。为此，【Saupe F 2015】指出工业机器人的复杂非线性因素对频率响应函数（FRF）估计有很强的干扰，其通过多正弦激励实验设计来消除各类非线性干扰影响。总之，</w:t>
      </w:r>
      <w:r>
        <w:rPr>
          <w:b/>
          <w:bCs/>
        </w:rPr>
        <w:t>在操作点扩张到全工作空间时系统的非线性特征十分明显，且外部干扰对参数估计影响显著的条件下，如何抑制非线性干扰、选择合适的激励信号，以实现扩展柔性关节全局动力学模型参数的精准估计仍存在诸多问题值得深入研究。</w:t>
      </w:r>
    </w:p>
    <w:p w14:paraId="11C0011A">
      <w:pPr>
        <w:bidi w:val="0"/>
        <w:rPr>
          <w:b/>
          <w:bCs/>
        </w:rPr>
      </w:pPr>
    </w:p>
    <w:p w14:paraId="40082253">
      <w:pPr>
        <w:bidi w:val="0"/>
        <w:rPr>
          <w:b/>
          <w:bCs/>
        </w:rPr>
      </w:pPr>
      <w:r>
        <w:rPr>
          <w:rFonts w:hint="eastAsia"/>
          <w:b/>
          <w:bCs/>
        </w:rPr>
        <w:t>（2）</w:t>
      </w:r>
      <w:r>
        <w:rPr>
          <w:b/>
          <w:bCs/>
        </w:rPr>
        <w:t>高性能工业机器人运动学标定技术方面</w:t>
      </w:r>
    </w:p>
    <w:p w14:paraId="787A97EA">
      <w:pPr>
        <w:bidi w:val="0"/>
        <w:ind w:firstLine="560" w:firstLineChars="200"/>
      </w:pPr>
      <w:r>
        <w:t>机器人运动学误差的建模和标定技术是提高机器人运动精度的必要手段，过去三十年里，国内外研究学者对机器人标定方法进行了大量研究，并取得了丰硕成果。机器人标定的基础是对误差的表征和分析，目前误差的表征主要包括参数化建模和非参数化建模两种形式。参数化模型通常将操作臂运动简化成理想的刚体运动，并将各类偏差视为基于刚体假设的常值误差，只是认为误差变量不确知，需借助高精度的外部测量设备获得实测数据和理论数据的偏差，从而辨识机器人实际模型与理论模型之间的误差，达到补偿绝对定位精度的目的。【Qiao Y 2017】提出一种基于POE(Product-of-Exponentials)方法的无标称参数模型用于辨识多体机器人系统的运动学参数，该模型可以在任何坐标系下进行标定并得到较高的辨识和补偿精度。【Chen G 2018】利用局部POE模型建立了并联机械手的完整最小连续运动学模型，并基于该模型确定了最多可识别的运动参数数量。【Huang T 2019】基于旋量理论建立了6自由度混合抛光机器人线性化误差模型，提出了迭代最小二乘和Liu估计器相结合的混合辨识算法，显著提高了系统在测量干扰影响下的鲁棒性。值得特别指出的是，常值误差模型虽然可以描述机器人组件中由于装配或加工引起的几何</w:t>
      </w:r>
      <w:r>
        <w:rPr>
          <w:rFonts w:hint="eastAsia"/>
        </w:rPr>
        <w:t>相关</w:t>
      </w:r>
      <w:r>
        <w:t>误差，但不能充分表征复杂的与关节运动特性相关的误差。如工业机器人中广泛应用的谐波减速器，固有的制造对准公差、轮齿啮合误差作用下会产生复杂的关节依赖误差【Ma L 2018】，尤其在高负载下的齿轮磨损和固有扭转挠度也会引起周期运动误差【Chotiprayanakul P 2018】。轴承的柔性形变会引起齿轮箱的非平行连接，从而导致末端位姿误差【Sammons P M 2014】等等。</w:t>
      </w:r>
      <w:r>
        <w:rPr>
          <w:b/>
          <w:bCs/>
        </w:rPr>
        <w:t>各关节依赖的相关误差通过机器人串联机构的放大，会造成末端位姿发生严重偏移。从上述可知，影响机器人定位精度的误差因素很复杂，且参数间相互耦合，试图通过解析模型来描述所有误差因素的影响是难以实现的</w:t>
      </w:r>
      <w:r>
        <w:t>。</w:t>
      </w:r>
    </w:p>
    <w:p w14:paraId="3E7AE48A">
      <w:pPr>
        <w:bidi w:val="0"/>
        <w:ind w:firstLine="840" w:firstLineChars="300"/>
        <w:rPr>
          <w:b/>
          <w:bCs/>
        </w:rPr>
      </w:pPr>
      <w:r>
        <w:t>为克服传统参数化模型仅限于考虑确定性因素的不足，很多学者开始研究非参数模型的机器人定位精度标定方法，建立非参数模型的主要方法有多项式逼近法、空间插值方法和神经网络方法等。【Bai Y 2010; 王龙飞2018】在机器人实际工作时，查找包含目标点在内的最小立体网格，利用网格节点处的定位误差并通过空间插值计算，得到目标点处定位误差并进行补偿。【Mazdarani H 2012; Nguyen H N 2015】通过给出多组不同关节角度下末端执行器的空间位姿，来训练机器人生成基于神经网路的控制网，对关节角进行对应的补偿，以此达到提高绝对定位精度的目的。【Ma L 2018】通过测量机器人作业空间中多个构型下的位姿误差，再通过曲线拟合法建立整个作业空间内的位姿误差分布曲线。从原理上讲，多项式拟合、空间插值和神经网络等非参数模型误差补偿方法是一类函数逼近问题，理想情况下，只要测量足够多的参考点误差数据，就可以得到这类非参数模型特征参量的最佳估计。但从目前文献的调研来看，在实际应用中其补偿效果却不尽人意，究其原因在于随着测量误差数据的增多，很难保证测量误差数据的元素是线性无关的, 逼近函数变得不唯一，此外全空间测量下，模型的特征参量往往发生变化，使得模型估值极易陷</w:t>
      </w:r>
      <w:r>
        <w:rPr>
          <w:rFonts w:hint="eastAsia"/>
        </w:rPr>
        <w:t>入</w:t>
      </w:r>
      <w:r>
        <w:t>局部最优或出现过拟合现象。综上所述，</w:t>
      </w:r>
      <w:r>
        <w:rPr>
          <w:b/>
          <w:bCs/>
        </w:rPr>
        <w:t>考虑到影响机器人定位精度的误差因素多且复杂，非参数模型误差建模和补偿方法是值得探索的解决途径，但如何综合模型复杂度和补偿效果的平衡关系，尤其避免陷入局部最优或过拟合，相关方面的研究还亟待深入。</w:t>
      </w:r>
    </w:p>
    <w:p w14:paraId="0F395A29">
      <w:pPr>
        <w:bidi w:val="0"/>
        <w:ind w:firstLine="840" w:firstLineChars="300"/>
        <w:rPr>
          <w:b/>
          <w:bCs/>
        </w:rPr>
      </w:pPr>
    </w:p>
    <w:p w14:paraId="693AEB5A">
      <w:pPr>
        <w:numPr>
          <w:ilvl w:val="0"/>
          <w:numId w:val="1"/>
        </w:numPr>
        <w:bidi w:val="0"/>
      </w:pPr>
      <w:r>
        <w:rPr>
          <w:b/>
          <w:bCs/>
        </w:rPr>
        <w:t>高性能工业机器人控制技术方面</w:t>
      </w:r>
    </w:p>
    <w:p w14:paraId="5351343A">
      <w:pPr>
        <w:bidi w:val="0"/>
        <w:ind w:firstLine="560" w:firstLineChars="200"/>
      </w:pPr>
      <w:r>
        <w:t>位置伺服和轨迹跟踪是工业机器人的两大任务场景，在位置伺服任务中，通常基于反馈的控制【Kim J 2019; Sun L 2018】即可实现较高的伺服精度，但普遍存在控制带宽不高的问题。而在轨迹跟踪任务中，反馈控制器在抑制不确定性及扰动上发挥了显著作用，但必须结合精准、高效的前馈控制器将输出轨迹直接转换为控制输入才能实现良好的轨迹跟踪性能。因此，为提高工业机器人控制的快速性和鲁棒性，实现高性能的位置伺服和轨迹跟踪，其控制器除反馈环节外，还必须包括前馈环节。</w:t>
      </w:r>
    </w:p>
    <w:p w14:paraId="029F17A4">
      <w:pPr>
        <w:bidi w:val="0"/>
      </w:pPr>
      <w:r>
        <w:t>前馈环节是机器人多体系统的逆模型，对于理想的刚性全驱动机器人系统，通过纯代数操作就能很容易导出逆模型。而实际上考虑到减速器引起的关节柔性及载荷引起的臂杆柔性等，此时系统模型变为欠驱动，其逆运动学不确定，同时输入矩阵不可逆导致逆动力学无法求解。为此，【Shiriaev A 2005】通过对系统添加虚拟约束使非线性欠驱动系统逆模型的解收敛，但添加的虚拟约束仅考虑了广义反作用力与约束流形理想正交实现情况。对此，【Blajer W 2007】对虚拟约束进行扩展，由此定义的约束流形考虑非理想正交实现和切向实现情况，此时广义驱动力的投影可能产生与约束流形相切方向上的分量，导致控制输入不能直接驱动约束条件。投影法和坐标变换法是此类伺服约束问题分析求解的基本方法，这两种方法已被证明在本质上是等价的【Seifried R 2012】。基于上述方法，【Liu D 2018】针对平面欠驱动多连杆系统，提出一种基于虚拟约束进行模型简化的位置控制策略。【Otto S 2018】利用伺服约束实现了高架起重机的实时轨迹前馈控制器设计，还进行了伺服约束前馈控制器与滑模反馈控制器的有效组合，取得了较好的期望轨迹跟踪和残余振动抑制效果。值得指出的是，上述研究均针对微分平坦的欠驱动多体系统。但对于考虑复杂刚柔耦合影响的工业机器人而言，系统通常为微分非平坦的，其逆模型中出现了内部动力学，导致其逆模型是动态的，且内部动力学稳定性未知，因此需针对内部动力学</w:t>
      </w:r>
      <w:r>
        <w:rPr>
          <w:rFonts w:hint="eastAsia"/>
        </w:rPr>
        <w:t>的</w:t>
      </w:r>
      <w:r>
        <w:t>不同情况进行分析以获取动态系统有意义的解。【Seifried R 2013】对微分非平坦欠驱动多体系统逆模型进行了求解，并在仿真平台上进行了验证。【Bencsik L 2017】对微分非平坦系统内部动力学的稳定性进行了分析，并研究了基于周期性伺服约束的内部动力学稳定性优化问题。总之，考虑到高速重载极限工况情况下激发的机器人关节弹性和臂杆柔性，所建立的全局动力学模型通常是微分非平坦的欠驱动、非线性、非最小相位系统，如何</w:t>
      </w:r>
      <w:r>
        <w:rPr>
          <w:b/>
          <w:bCs/>
        </w:rPr>
        <w:t>进行全局动力学模型动态逆及其前馈控制的有效设计，是提高系统动态响应及轨迹跟踪性能亟待解决的关键问题，相关方面的研究亟待深入。</w:t>
      </w:r>
    </w:p>
    <w:p w14:paraId="23466AEC">
      <w:pPr>
        <w:bidi w:val="0"/>
      </w:pPr>
      <w:r>
        <w:t>另一方面，工业机器人长期运行过程中，驱动关节和传动装置的润滑、磨损、轴承预紧力等状态随运行时间增加会发生缓慢变化，重载工业机器人的负载情况也可能发生剧烈变化，这些情况均会导致动力学模型的参数摄动。此外，实际模型中还存在臂杆高阶振动模态、关节非线性摩擦等未建模动态及不可预测的外部扰动。如何抵消这些参数摄动、外部扰动等不确定性的影响，在保证快速性的前提下提升系统鲁棒性是反馈控制器要解决的关键问题。【Spong M W 1987】指出如果忽略连杆和电机之间的耦合作用和粘性阻尼项，简化的柔性关节机器人可以通过静态反馈线性化方法进行线性化解耦，【Isidori A 1992】将柔性关节机器人模型转化为标准的奇异摄动模型，利用非线性H∞控制方法设计鲁棒控制输入保证轨迹跟踪性能。然而反馈线性化方法要求参与反馈计算的所有状态必须是已知的，而柔性关节机器人连杆侧信息通常难以准确获得，且鲁棒H∞控制方法须保证恶劣工况下系统依然渐近稳定，因此参数设计趋于保守。【Xiao B 2019】针对动力学和运动学模型的外部扰动不确定性提出了一种滑模控制器，在轨迹跟踪任务中保持全局指数稳定的同时仍具有较好的快速性。目前，滑模控制【Tao Y 2016; Dumlu A 2018】因其对模型及扰动不确定性的鲁棒性以及快速性，被广泛应用于机器人系统的控制中。【Zhu J 2017】针对存在不确定性的MIMO非线性系统，提出一种具有边界层的积分/指数自适应滑模控制器，在减小控制增益过高估计的同时加快了系统对不确定性的响应速度。【Ginoya D 2015】针对多滑模面控制问题及非线性不匹配不确定系统，设计了干扰观测器对控制输入中的集总扰动进行估计并自适应调节滑模控制器参数，该控制算法在串联关节机器人上取得了较好的控制效果。在这方面，申请人【楚中毅 2014; 2015;2018】针对机器人的不确定性设计了基于自适应干扰观测器的输出反馈方法，并针对多臂多自由度机器人存在的关节非线性耦合、模型不确定性及外部干扰等问题，设计了基于UDE(Uncertainty and disturbance estimation)估计器结合滑模反馈控制的复合分层结构以抵消和补偿各种参数化不确定性及干扰的影响，并初步探索了其在欠驱动手中的控制应用。</w:t>
      </w:r>
    </w:p>
    <w:p w14:paraId="5C3A5A90">
      <w:pPr>
        <w:bidi w:val="0"/>
        <w:ind w:firstLine="560" w:firstLineChars="200"/>
      </w:pPr>
      <w:r>
        <w:t>从文献的调研来看，滑模控制器在全驱动系统的高性能控制方面取得了丰硕的研究成果并得到了大量的实际应用。然而，对于高性能工业机器人而言，高速重载情况下激发的关节柔性及臂杆柔性使得系统全局动力学模型是欠驱动的，导致独立控制输入比待控制自由度少，需要在一个滑模面上合并不同类型的状态变量，其控制律的设计及稳定性证明都具有挑战性。在这方面，【She J 2012】基于全局同胚坐标变换将原始欠驱动非线性系统转换为新的非线性系统，并将新系统划分为线性部分和非线性部分，结合等效输入干扰的估计和补偿思想以实现新系统在零点的全局渐进稳定。【Xu R 2008; Sun N 2017】均将原始欠驱动非线性模型分解为标准型，采用二阶滑模控制器并根据系统相对阶的情况设计不同的控制律。从上述可知，滑模控制在常规欠驱动系统中的应用已初见成效，但是，针对高性能工业机器人这类非线性、微分非平坦、非最小相位系统，尤其在使用环境中还存在各类复杂时变外部扰动，如何消除干扰噪声对闭环系统的不良影响，设计有效抑制时变外部扰动影响且保证连续全局稳定的反馈控制器，是保证系统高动态品质和稳态性能亟待解决的核心问题，相关方面的研究亟待深入。</w:t>
      </w:r>
    </w:p>
    <w:p w14:paraId="4674053F">
      <w:pPr>
        <w:bidi w:val="0"/>
      </w:pPr>
      <w:r>
        <w:t>综上所述，高速重载等极限工况下工业机器人是一类复杂刚柔耦合多变量系统，经典的刚性模型已难以满足高性能控制对模型准确度的要求，必须研究能全面表征系统复杂刚柔耦合影响的全局动力学建模方法；另一方面，影响机器人定位精度的误差因素中，除臂杆长度、装配误差等几何相关误差外，还存在臂杆形变、轴承变形等关节依赖误差，必须研究综合考虑各类误差的广义运动学误差建模和有效补偿方法；此外，针对高性能工业机器人这类非线性、非最小相位系统，必须</w:t>
      </w:r>
      <w:r>
        <w:rPr>
          <w:b/>
          <w:bCs/>
        </w:rPr>
        <w:t>寻求系统模型动态逆及其前馈控制的有效设计，结合能够抑制时变外部扰动影响且保证连续全局稳定的反馈控制设计方法，以保证系统的高动态品质和稳态性能。</w:t>
      </w:r>
    </w:p>
    <w:p w14:paraId="112F772A">
      <w:pPr>
        <w:wordWrap w:val="0"/>
        <w:spacing w:line="440" w:lineRule="exact"/>
        <w:rPr>
          <w:rFonts w:ascii="楷体" w:eastAsia="楷体" w:hAnsi="楷体" w:cs="楷体" w:hint="eastAsia"/>
        </w:rPr>
      </w:pPr>
    </w:p>
    <w:p w14:paraId="623C7D59">
      <w:pPr>
        <w:numPr>
          <w:ilvl w:val="0"/>
          <w:numId w:val="2"/>
        </w:numPr>
        <w:wordWrap w:val="0"/>
        <w:spacing w:line="440" w:lineRule="exact"/>
        <w:ind w:firstLine="560" w:firstLineChars="200"/>
        <w:rPr>
          <w:rFonts w:ascii="楷体" w:eastAsia="楷体" w:hAnsi="楷体" w:cs="楷体" w:hint="eastAsia"/>
        </w:rPr>
      </w:pPr>
      <w:r>
        <w:rPr>
          <w:rFonts w:ascii="楷体" w:eastAsia="楷体" w:hAnsi="楷体" w:cs="楷体" w:hint="eastAsia"/>
        </w:rPr>
        <w:t>本项目的研究意义（需结合科学研究发展趋势来论述科学意义；或结合国民经济和社会发展中迫切需要解决的关键科技问题来论述其应用前景）</w:t>
      </w:r>
    </w:p>
    <w:p w14:paraId="7D12ABFC">
      <w:pPr>
        <w:bidi w:val="0"/>
        <w:ind w:firstLine="560" w:firstLineChars="200"/>
        <w:rPr>
          <w:rFonts w:hint="eastAsia"/>
        </w:rPr>
      </w:pPr>
      <w:r>
        <w:rPr>
          <w:rFonts w:hint="eastAsia"/>
        </w:rPr>
        <w:t>本项目旨在突破制约高速、重载等极限工况下工业机器人运动控制精度的技术瓶颈，以期提升工业机器人的绝对定位精度和精度稳定性。针对轻质、高速、重载工业机器人这类复杂刚柔耦合多变量系统，提出基于扩展虚拟柔性关节结构化模型结合频域灰箱参数辨识的全局动力学建模方法，为控制系统设计奠定精确、合理模型基础。通过揭示杆长、装配等几何相关误差与减速器、轴承变形等关节依赖误差对机器人运动精度的影响机理，提出基于切比雪夫基函数的机器人广义运动学误差建模方法，设计最佳一致逼近估计的误差补偿算法实现末端执行器位姿的准确伺服修正。在此基础上，依据包含虚拟关节的动力学模型呈现欠驱动、非线性、非最小相位的特点，设计基于期望运动伺服约束的全局刚柔耦合动力学模型动态逆前馈控制，结合干扰观测的自适应积分滑模反馈控制方法，实现复杂刚柔耦合系统的高精度轨迹跟踪控制。最后，构建高性能工业机器人控制关键技术实验验证平台，完成相关理论方法的测试验证，力争在动力学建模、运动学误差标定及高性能控制新方法方面取得突破，为高性能工业机器人的轻量化设计和控制应用奠定理论和技术基础。</w:t>
      </w:r>
    </w:p>
    <w:p w14:paraId="33A8FD1B">
      <w:pPr>
        <w:numPr>
          <w:ilvl w:val="0"/>
          <w:numId w:val="0"/>
        </w:numPr>
        <w:wordWrap w:val="0"/>
        <w:spacing w:line="440" w:lineRule="exact"/>
        <w:rPr>
          <w:rFonts w:ascii="楷体" w:eastAsia="楷体" w:hAnsi="楷体" w:cs="楷体" w:hint="eastAsia"/>
        </w:rPr>
      </w:pPr>
    </w:p>
    <w:p w14:paraId="62EDD9B3">
      <w:pPr>
        <w:wordWrap w:val="0"/>
        <w:spacing w:line="440" w:lineRule="exact"/>
        <w:ind w:firstLine="560" w:firstLineChars="200"/>
        <w:rPr>
          <w:rFonts w:ascii="楷体" w:eastAsia="楷体" w:hAnsi="楷体" w:cs="楷体"/>
        </w:rPr>
      </w:pPr>
      <w:r>
        <w:rPr>
          <w:rFonts w:ascii="楷体" w:eastAsia="楷体" w:hAnsi="楷体" w:cs="楷体" w:hint="eastAsia"/>
        </w:rPr>
        <w:t>3.主要参考文献目录（参考文献格式应符合学术期刊投稿要求，并应在立论依据正文中标注）</w:t>
      </w:r>
    </w:p>
    <w:p w14:paraId="2EA222CA">
      <w:pPr>
        <w:numPr>
          <w:ilvl w:val="0"/>
          <w:numId w:val="3"/>
        </w:numPr>
        <w:bidi w:val="0"/>
      </w:pPr>
      <w:r>
        <w:rPr>
          <w:rFonts w:hint="eastAsia"/>
        </w:rPr>
        <w:t>Zheng Y , Cao B B , Liu C Y ,et al.Retailer's channel policy and two-part tariff contract in green supply chain: An optimization analysis considering channel purchasing cost[J].Journal of Industrial and Management Optimization, 2023, 19(8):5869-5901.</w:t>
      </w:r>
    </w:p>
    <w:p w14:paraId="7D3B9FDE">
      <w:pPr>
        <w:numPr>
          <w:ilvl w:val="0"/>
          <w:numId w:val="3"/>
        </w:numPr>
        <w:bidi w:val="0"/>
      </w:pPr>
      <w:r>
        <w:t>Cao D, Zhu C, Guo P, et al. Dynamic transmission accuracy analysis of an rv reducer rigid-flexible coupled effect[C]//ASME 2017 International Design Engineering Technical Conferences and Computers and Information in Engineering Conference. American Society of Mechanical Engineers, 2017: V010T11A013.</w:t>
      </w:r>
    </w:p>
    <w:p w14:paraId="1B6BD643">
      <w:pPr>
        <w:numPr>
          <w:ilvl w:val="0"/>
          <w:numId w:val="3"/>
        </w:numPr>
        <w:bidi w:val="0"/>
      </w:pPr>
      <w:r>
        <w:rPr>
          <w:rFonts w:hint="eastAsia"/>
        </w:rPr>
        <w:t>Du H , Li W , Ning D ,et al.Controllable magnetorheological fluid damper-based seat suspension[J].Advanced Seat Suspension Control System Design for Heavy Duty Vehicles, 2020:</w:t>
      </w:r>
      <w:r>
        <w:t>50: 211-221.</w:t>
      </w:r>
    </w:p>
    <w:p w14:paraId="3D8F8139">
      <w:pPr>
        <w:numPr>
          <w:ilvl w:val="0"/>
          <w:numId w:val="3"/>
        </w:numPr>
        <w:bidi w:val="0"/>
      </w:pPr>
      <w:r>
        <w:t>Talole S E, Kolhe J P, Phadke S B. Extended-state-observer-based control of flexible-joint system with experimental validation[J]. IEEE Transactions on Industrial Electronics, 2010,57(4): 1411-1419.</w:t>
      </w:r>
    </w:p>
    <w:p w14:paraId="1D460A4A">
      <w:pPr>
        <w:numPr>
          <w:ilvl w:val="0"/>
          <w:numId w:val="3"/>
        </w:numPr>
        <w:bidi w:val="0"/>
      </w:pPr>
      <w:r>
        <w:t>Hardeman T. Modelling and identification of industrial robots including drive and joint flexibilities[M]. Universiteit Twente, 2008.</w:t>
      </w:r>
    </w:p>
    <w:p w14:paraId="064FA496">
      <w:pPr>
        <w:numPr>
          <w:ilvl w:val="0"/>
          <w:numId w:val="3"/>
        </w:numPr>
        <w:bidi w:val="0"/>
      </w:pPr>
      <w:r>
        <w:t>Vakil M, Fotouhi R, Nikiforuk P N. A new method for dynamic modeling of flexible-link flexible-joint manipulators[J]. Journal of Vibration and Acoustics, 2012, 134(1): 014503.</w:t>
      </w:r>
    </w:p>
    <w:p w14:paraId="1EC50F11">
      <w:pPr>
        <w:numPr>
          <w:ilvl w:val="0"/>
          <w:numId w:val="3"/>
        </w:numPr>
        <w:bidi w:val="0"/>
      </w:pPr>
      <w:r>
        <w:t>Moberg S. Modeling and control of flexible manipulators[D]. Linköping University Electronic Press, 2010.</w:t>
      </w:r>
    </w:p>
    <w:p w14:paraId="50DA12E3">
      <w:pPr>
        <w:numPr>
          <w:ilvl w:val="0"/>
          <w:numId w:val="3"/>
        </w:numPr>
        <w:bidi w:val="0"/>
      </w:pPr>
      <w:r>
        <w:t>Springer handbook of robotics[M]. Springer, 2016.</w:t>
      </w:r>
    </w:p>
    <w:p w14:paraId="25ED4CD5">
      <w:pPr>
        <w:numPr>
          <w:ilvl w:val="0"/>
          <w:numId w:val="3"/>
        </w:numPr>
        <w:bidi w:val="0"/>
      </w:pPr>
      <w:r>
        <w:t>Johansson R, Robertsson A, Nilsson K, et al. State-space system identification of robot manipulator dynamics[J]. Mechatronics, 2000, 10(3): 403-418.</w:t>
      </w:r>
    </w:p>
    <w:p w14:paraId="20D24802">
      <w:pPr>
        <w:numPr>
          <w:ilvl w:val="0"/>
          <w:numId w:val="3"/>
        </w:numPr>
        <w:bidi w:val="0"/>
      </w:pPr>
      <w:r>
        <w:t>Pham M T, Gautier M, Poignet P. Identification of joint stiffness with bandpass filtering[C]//Proceedings 2001 ICRA. IEEE International Conference on Robotics and Automation (Cat. No. 01CH37164). IEEE, 2001, 3: 2867-2872.</w:t>
      </w:r>
    </w:p>
    <w:p w14:paraId="1B46C31F">
      <w:pPr>
        <w:numPr>
          <w:ilvl w:val="0"/>
          <w:numId w:val="3"/>
        </w:numPr>
        <w:bidi w:val="0"/>
      </w:pPr>
      <w:r>
        <w:t>Oaki J. Physical parameter estimation for feedforward and feedback control of a robot arm with elastic joints[J]. IFAC-PapersOnLine, 2018, 51(15): 425-430.</w:t>
      </w:r>
    </w:p>
    <w:p w14:paraId="0644DA19">
      <w:pPr>
        <w:numPr>
          <w:ilvl w:val="0"/>
          <w:numId w:val="3"/>
        </w:numPr>
        <w:bidi w:val="0"/>
      </w:pPr>
      <w:r>
        <w:t>Saupe F, Knoblach A. Experimental determination of frequency response function estimates for flexible joint industrial manipulators with serial kinematics[J]. Mechanical systems and signal processing, 2015, 52: 60-72.</w:t>
      </w:r>
    </w:p>
    <w:p w14:paraId="3D7D10F2">
      <w:pPr>
        <w:numPr>
          <w:ilvl w:val="0"/>
          <w:numId w:val="3"/>
        </w:numPr>
        <w:bidi w:val="0"/>
      </w:pPr>
      <w:r>
        <w:t>Qiao Y, Chen Y, Chen B, et al. A novel calibration method for multi-robots system utilizing calibration model without nominal kinematic parameters[J]. Precision Engineering, 2017, 50: 211-221.</w:t>
      </w:r>
    </w:p>
    <w:p w14:paraId="7F60702D">
      <w:pPr>
        <w:numPr>
          <w:ilvl w:val="0"/>
          <w:numId w:val="3"/>
        </w:numPr>
        <w:bidi w:val="0"/>
      </w:pPr>
      <w:r>
        <w:t>Chen G, Kong L, Li Q, et al. Complete, minimal and continuous error models for the kinematic calibration of parallel manipulators based on POE formula[J]. Mechanism and Machine Theory, 2018, 121: 844-856.</w:t>
      </w:r>
    </w:p>
    <w:p w14:paraId="3DB6E757">
      <w:pPr>
        <w:numPr>
          <w:ilvl w:val="0"/>
          <w:numId w:val="3"/>
        </w:numPr>
        <w:bidi w:val="0"/>
      </w:pPr>
      <w:r>
        <w:t>Huang T, Zhao D, Yin F, et al. Kinematic calibration of a 6-DOF hybrid robot by considering multicollinearity in the identification Jacobian[J]. Mechanism and Machine Theory, 2019, 131: 371-384.</w:t>
      </w:r>
    </w:p>
    <w:p w14:paraId="19FD2585">
      <w:pPr>
        <w:numPr>
          <w:ilvl w:val="0"/>
          <w:numId w:val="3"/>
        </w:numPr>
        <w:bidi w:val="0"/>
      </w:pPr>
      <w:r>
        <w:t>Ma L, Bazzoli P, Sammons P M, et al. Modeling and calibration of high-order joint-dependent kinematic errors for industrial robots[J]. Robotics and Computer-Integrated Manufacturing, 2018,50: 153-167.</w:t>
      </w:r>
    </w:p>
    <w:p w14:paraId="480E66E4">
      <w:pPr>
        <w:numPr>
          <w:ilvl w:val="0"/>
          <w:numId w:val="3"/>
        </w:numPr>
        <w:bidi w:val="0"/>
      </w:pPr>
      <w:r>
        <w:t>Chotiprayanakul P, Khamsri N, Kumjaroen N. A design of HDPE flexible spline of harmonics gear[J]. MATEC Web of Conferences, 2018, 192: 01030.</w:t>
      </w:r>
    </w:p>
    <w:p w14:paraId="75F39221">
      <w:pPr>
        <w:numPr>
          <w:ilvl w:val="0"/>
          <w:numId w:val="3"/>
        </w:numPr>
        <w:bidi w:val="0"/>
      </w:pPr>
      <w:bookmarkStart w:id="66" w:name="OLE_LINK7"/>
      <w:bookmarkStart w:id="67" w:name="OLE_LINK6"/>
      <w:r>
        <w:t>Sammons P M, Ma L, Embry K, et al. Modeling and compensation of backlash and harmonic drive-induced errors in robotic manipulators</w:t>
      </w:r>
      <w:bookmarkEnd w:id="66"/>
      <w:bookmarkEnd w:id="67"/>
      <w:r>
        <w:t>[C]// 9th ASME International Manufacturing Science and Engineering Conference (MSEC2014). American Society of Mechanical Engineers, 2014:V002T02A048.</w:t>
      </w:r>
    </w:p>
    <w:p w14:paraId="5D450703">
      <w:pPr>
        <w:numPr>
          <w:ilvl w:val="0"/>
          <w:numId w:val="3"/>
        </w:numPr>
        <w:bidi w:val="0"/>
      </w:pPr>
      <w:r>
        <w:t>Bai Y, Wang D. On the comparison of trilinear, cubic spline, and fuzzy interpolation methods in the high-accuracy measurements[J]. IEEE Transactions on fuzzy Systems, 2010, 18(5): 1016-1022.</w:t>
      </w:r>
    </w:p>
    <w:p w14:paraId="71D3D10B">
      <w:pPr>
        <w:numPr>
          <w:ilvl w:val="0"/>
          <w:numId w:val="3"/>
        </w:numPr>
        <w:bidi w:val="0"/>
      </w:pPr>
      <w:r>
        <w:t>王龙飞, 李旭, 张丽艳, 叶南.工业机器人定位误差规律分析及基于ELM算法的精度补偿研究[J].机器人,2018,(6): 843-851.</w:t>
      </w:r>
    </w:p>
    <w:p w14:paraId="78DBF881">
      <w:pPr>
        <w:numPr>
          <w:ilvl w:val="0"/>
          <w:numId w:val="3"/>
        </w:numPr>
        <w:bidi w:val="0"/>
      </w:pPr>
      <w:r>
        <w:t>Mazdarani H, Farrokhi M. Adaptive neuro-predictive control of robot manipulators in work space[C]//2012 17th International Conference on Methods &amp; Models in Automation &amp; Robotics (MMAR). IEEE, 2012: 349-354.</w:t>
      </w:r>
    </w:p>
    <w:p w14:paraId="7784BAD9">
      <w:pPr>
        <w:numPr>
          <w:ilvl w:val="0"/>
          <w:numId w:val="3"/>
        </w:numPr>
        <w:bidi w:val="0"/>
      </w:pPr>
      <w:r>
        <w:t>Nguyen H N, Zhou J, Kang H J. A calibration method for enhancing robot accuracy through integration of an extended Kalman filter algorithm and an artificial neural network[J]. Neurocomputing, 2015, 151: 996-1005.</w:t>
      </w:r>
    </w:p>
    <w:p w14:paraId="1AB22E95">
      <w:pPr>
        <w:numPr>
          <w:ilvl w:val="0"/>
          <w:numId w:val="3"/>
        </w:numPr>
        <w:bidi w:val="0"/>
      </w:pPr>
      <w:r>
        <w:t>Kim J, Croft E A. Full-State tracking control for flexible joint robots with singular perturbation techniques[J]. IEEE Transactions on Control Systems Technology, 2019</w:t>
      </w:r>
      <w:r>
        <w:rPr>
          <w:rFonts w:hint="eastAsia"/>
        </w:rPr>
        <w:t>,</w:t>
      </w:r>
      <w:r>
        <w:t xml:space="preserve"> 27(1): 63-73.</w:t>
      </w:r>
    </w:p>
    <w:p w14:paraId="378F1A90">
      <w:pPr>
        <w:numPr>
          <w:ilvl w:val="0"/>
          <w:numId w:val="3"/>
        </w:numPr>
        <w:bidi w:val="0"/>
      </w:pPr>
      <w:r>
        <w:t>Sun L, et al. Position control for flexible joint robot based on online gravity compensation with vibration suppression[J]. IEEE Transactions on Industrial Electronics, 2018,65(6): 4840-4848.</w:t>
      </w:r>
    </w:p>
    <w:p w14:paraId="5C24DE39">
      <w:pPr>
        <w:numPr>
          <w:ilvl w:val="0"/>
          <w:numId w:val="3"/>
        </w:numPr>
        <w:bidi w:val="0"/>
      </w:pPr>
      <w:r>
        <w:t>Shiriaev A, Perram J W and Canudas. Constructive tool for orbital stabilization of underactuated nonlinear systems: Virtual constraints approach[J]. IEEE Transactions on Automatic Control, 2005,50(8): 1164-1176.</w:t>
      </w:r>
    </w:p>
    <w:p w14:paraId="4B714A3E">
      <w:pPr>
        <w:numPr>
          <w:ilvl w:val="0"/>
          <w:numId w:val="3"/>
        </w:numPr>
        <w:bidi w:val="0"/>
      </w:pPr>
      <w:r>
        <w:t>Blajer W, Kolodziejczyk K. Control of underactuated mechanical systems with servo-constraints[J]. Nonlinear Dynamics, 2007, 50(4): 781-791.</w:t>
      </w:r>
    </w:p>
    <w:p w14:paraId="41F6E100">
      <w:pPr>
        <w:numPr>
          <w:ilvl w:val="0"/>
          <w:numId w:val="3"/>
        </w:numPr>
        <w:bidi w:val="0"/>
      </w:pPr>
      <w:r>
        <w:t>Seifried R. Two approaches for feedforward control and optimal design of underactuated multibody systems[J]. Multibody System Dynamics, 2012, 27(1): 75-93.</w:t>
      </w:r>
    </w:p>
    <w:p w14:paraId="71247DFA">
      <w:pPr>
        <w:numPr>
          <w:ilvl w:val="0"/>
          <w:numId w:val="3"/>
        </w:numPr>
        <w:bidi w:val="0"/>
      </w:pPr>
      <w:r>
        <w:t>Liu D, et al. Position control for planar four-link underactuated manipulator with a passive third joint[J]. ISA Transactions, 2018:1-9.</w:t>
      </w:r>
    </w:p>
    <w:p w14:paraId="0C57560F">
      <w:pPr>
        <w:numPr>
          <w:ilvl w:val="0"/>
          <w:numId w:val="3"/>
        </w:numPr>
        <w:bidi w:val="0"/>
      </w:pPr>
      <w:r>
        <w:t>Otto S, Seifried R. Real-time trajectory control of an overhead crane using servo-constraints[J]. Multibody System Dynamics, 2018, 42(1): 1-17.</w:t>
      </w:r>
    </w:p>
    <w:p w14:paraId="380A9D1E">
      <w:pPr>
        <w:numPr>
          <w:ilvl w:val="0"/>
          <w:numId w:val="3"/>
        </w:numPr>
        <w:bidi w:val="0"/>
      </w:pPr>
      <w:r>
        <w:t>Seifried R, Blajer W. Analysis of servo-constraint problems for underactuated multibody systems[J]. Mechanical Sciences, 2013, 4(1): 113-129.</w:t>
      </w:r>
    </w:p>
    <w:p w14:paraId="47E0F0F0">
      <w:pPr>
        <w:numPr>
          <w:ilvl w:val="0"/>
          <w:numId w:val="3"/>
        </w:numPr>
        <w:bidi w:val="0"/>
      </w:pPr>
      <w:r>
        <w:t>Bencsik L, Kovas L L and Zelei A. Stabilization of internal dynamics of underactuated systems by periodic servo-constraints[J]. International Journal of Structural Stability and Dynamics, 2017, 17(5): 1740004.</w:t>
      </w:r>
    </w:p>
    <w:p w14:paraId="727BA138">
      <w:pPr>
        <w:numPr>
          <w:ilvl w:val="0"/>
          <w:numId w:val="3"/>
        </w:numPr>
        <w:bidi w:val="0"/>
      </w:pPr>
      <w:r>
        <w:t>Spong M W. Modeling and Control of Elastic Joint Robots[J]. Journal of Dynamics Systems, Measurement, and Control, 1987, 109(1):310-319.</w:t>
      </w:r>
    </w:p>
    <w:p w14:paraId="1B8DBDA2">
      <w:pPr>
        <w:numPr>
          <w:ilvl w:val="0"/>
          <w:numId w:val="3"/>
        </w:numPr>
        <w:bidi w:val="0"/>
      </w:pPr>
      <w:r>
        <w:t>Isidori A, Astolfi A. Disturbance attenuation and H∞-control via measurement feedback in nonlinear systems[J]. IEEE Transactions on Automatic Control, 1992, 37(9):1283-1293.</w:t>
      </w:r>
    </w:p>
    <w:p w14:paraId="6A884002">
      <w:pPr>
        <w:numPr>
          <w:ilvl w:val="0"/>
          <w:numId w:val="3"/>
        </w:numPr>
        <w:bidi w:val="0"/>
      </w:pPr>
      <w:r>
        <w:t>Xiao B, Yin S. Exponential tracking control of robotic manipulators with uncertain dynamics and kinematics[J]. IEEE Transactions on Industrial Informatics, 2019, 15(2): 689-698.</w:t>
      </w:r>
    </w:p>
    <w:p w14:paraId="17D0CC7D">
      <w:pPr>
        <w:numPr>
          <w:ilvl w:val="0"/>
          <w:numId w:val="3"/>
        </w:numPr>
        <w:bidi w:val="0"/>
      </w:pPr>
      <w:r>
        <w:t>Tao Y, Zheng J and Lin Y. A sliding mode control-based on a rbf neural network for deburring industry robotic systems[J]. International Journal of Advanced Robotic Systems, 2016, 13:8.</w:t>
      </w:r>
    </w:p>
    <w:p w14:paraId="19ADEE08">
      <w:pPr>
        <w:numPr>
          <w:ilvl w:val="0"/>
          <w:numId w:val="3"/>
        </w:numPr>
        <w:bidi w:val="0"/>
      </w:pPr>
      <w:r>
        <w:t>Dumlu A. Practical position tracking control of a robotic manipulator based on fractional order sliding mode controller[J]. Elektronika Ir Elektrotechnika, 2018, 24(5): 19-25.</w:t>
      </w:r>
    </w:p>
    <w:p w14:paraId="0802D43E">
      <w:pPr>
        <w:numPr>
          <w:ilvl w:val="0"/>
          <w:numId w:val="3"/>
        </w:numPr>
        <w:bidi w:val="0"/>
      </w:pPr>
      <w:r>
        <w:t>Zhu J, Khayati K. On a new adaptive sliding mode control for MIMO nonlinear systems with uncertainties of unknown bounds. International Journal of Robust and Nonlinear Control[J], 2017, 27(6): 942-962.</w:t>
      </w:r>
    </w:p>
    <w:p w14:paraId="6E1BE566">
      <w:pPr>
        <w:numPr>
          <w:ilvl w:val="0"/>
          <w:numId w:val="3"/>
        </w:numPr>
        <w:bidi w:val="0"/>
      </w:pPr>
      <w:r>
        <w:t>Ginoya D, Shendge P D and Phadke S B. Disturbance observer based sliding mode control of nonlinear mismatched uncertain systems[J]. Communications in Nonlinear Science and Numerical Simulation, 2015, 26(1-3): 98-107.</w:t>
      </w:r>
    </w:p>
    <w:p w14:paraId="66F073F3">
      <w:pPr>
        <w:numPr>
          <w:ilvl w:val="0"/>
          <w:numId w:val="3"/>
        </w:numPr>
        <w:bidi w:val="0"/>
      </w:pPr>
      <w:r>
        <w:t>楚中毅, 崔晶, 孙富春. Fuzzy adaptive disturbance-observer based robust tracking control of electrically driven free-floating space manipulator[J]. IEEE Systems Journal. 2014, 8(2): 343-352.</w:t>
      </w:r>
    </w:p>
    <w:p w14:paraId="5F0B4EA3">
      <w:pPr>
        <w:numPr>
          <w:ilvl w:val="0"/>
          <w:numId w:val="3"/>
        </w:numPr>
        <w:bidi w:val="0"/>
      </w:pPr>
      <w:r>
        <w:t>楚中毅, 李建超, 卢山. The composite hierarchical control of multi-link multi-DOF space manipulator based on UDE and improved sliding mode control[J]. Proc IMechE Part G: Journal of Aerospace Engineering. 2015,229(14):2634-2645.</w:t>
      </w:r>
    </w:p>
    <w:p w14:paraId="7D442F62">
      <w:pPr>
        <w:numPr>
          <w:ilvl w:val="0"/>
          <w:numId w:val="3"/>
        </w:numPr>
        <w:bidi w:val="0"/>
      </w:pPr>
      <w:r>
        <w:t>楚中毅, 燕少博, 胡健, 卢山. Impedance identification using tactile sensing and its adaptation for an underactuated gripper manipulation. International Journal of Control[J], Automation and Systems. 2018</w:t>
      </w:r>
      <w:r>
        <w:rPr>
          <w:rFonts w:hint="eastAsia"/>
        </w:rPr>
        <w:t>,</w:t>
      </w:r>
      <w:r>
        <w:t xml:space="preserve"> 16(2): 875-886.</w:t>
      </w:r>
    </w:p>
    <w:p w14:paraId="617578AB">
      <w:pPr>
        <w:numPr>
          <w:ilvl w:val="0"/>
          <w:numId w:val="3"/>
        </w:numPr>
        <w:bidi w:val="0"/>
      </w:pPr>
      <w:r>
        <w:t>She J, et al. Global stabilization of 2-DOF underactuated mechanical systems-an equivalent-input-disturbance approach[J]. Nonlinear Dynamics, 2012, 69(1-2): 495-509.</w:t>
      </w:r>
    </w:p>
    <w:p w14:paraId="1C51743E">
      <w:pPr>
        <w:numPr>
          <w:ilvl w:val="0"/>
          <w:numId w:val="3"/>
        </w:numPr>
        <w:bidi w:val="0"/>
      </w:pPr>
      <w:r>
        <w:t>Xu R, Ozguener U. Sliding mode control of a class of underactuated systems[J]. Automatica, 2008, 44(1): 233-241.</w:t>
      </w:r>
    </w:p>
    <w:p w14:paraId="6762BF90">
      <w:pPr>
        <w:numPr>
          <w:ilvl w:val="0"/>
          <w:numId w:val="3"/>
        </w:numPr>
        <w:bidi w:val="0"/>
      </w:pPr>
      <w:r>
        <w:t>Sun N, et al. Nonlinear continuous global stabilization control for underactuated rtac systems: design, analysis, and experimentation[J]. IEEE-ASME Transactions on Mechatronics, 2017, 22(2): 1104-1115.</w:t>
      </w:r>
    </w:p>
    <w:p w14:paraId="27C74E8F">
      <w:pPr>
        <w:wordWrap w:val="0"/>
        <w:spacing w:line="440" w:lineRule="exact"/>
        <w:rPr>
          <w:rFonts w:ascii="楷体" w:eastAsia="楷体" w:hAnsi="楷体" w:cs="楷体"/>
        </w:rPr>
      </w:pPr>
    </w:p>
    <w:p w14:paraId="2C41811B">
      <w:pPr>
        <w:wordWrap w:val="0"/>
        <w:spacing w:line="440" w:lineRule="exact"/>
        <w:rPr>
          <w:rFonts w:ascii="楷体" w:eastAsia="楷体" w:hAnsi="楷体" w:cs="楷体"/>
        </w:rPr>
      </w:pPr>
    </w:p>
    <w:p w14:paraId="4A39708C">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二、</w:t>
      </w:r>
      <w:bookmarkStart w:id="68" w:name="bm_five"/>
      <w:r>
        <w:rPr>
          <w:rFonts w:ascii="楷体" w:eastAsia="楷体" w:hAnsi="楷体" w:cs="楷体" w:hint="eastAsia"/>
          <w:b/>
        </w:rPr>
        <w:t>研究内容、研究目标、拟解决的关键科学问题、创新点及预期成果</w:t>
      </w:r>
    </w:p>
    <w:p w14:paraId="046733A2">
      <w:pPr>
        <w:wordWrap w:val="0"/>
        <w:spacing w:line="440" w:lineRule="exact"/>
        <w:ind w:firstLine="560" w:firstLineChars="200"/>
        <w:rPr>
          <w:rFonts w:ascii="楷体" w:eastAsia="楷体" w:hAnsi="楷体" w:cs="楷体" w:hint="eastAsia"/>
        </w:rPr>
      </w:pPr>
      <w:r>
        <w:rPr>
          <w:rFonts w:ascii="楷体" w:eastAsia="楷体" w:hAnsi="楷体" w:cs="楷体" w:hint="eastAsia"/>
        </w:rPr>
        <w:t>1.研究内容</w:t>
      </w:r>
    </w:p>
    <w:p w14:paraId="7683858D">
      <w:pPr>
        <w:bidi w:val="0"/>
        <w:rPr>
          <w:b/>
          <w:bCs/>
        </w:rPr>
      </w:pPr>
      <w:r>
        <w:rPr>
          <w:rFonts w:hint="eastAsia"/>
          <w:b/>
          <w:bCs/>
        </w:rPr>
        <w:t>（1）</w:t>
      </w:r>
      <w:r>
        <w:rPr>
          <w:b/>
          <w:bCs/>
        </w:rPr>
        <w:t>高性能工业机器人的全局刚柔耦合动力学建模方法研究</w:t>
      </w:r>
    </w:p>
    <w:p w14:paraId="2616A565">
      <w:pPr>
        <w:bidi w:val="0"/>
        <w:ind w:firstLine="560" w:firstLineChars="200"/>
      </w:pPr>
      <w:r>
        <w:t>传统的柔性关节模型仅对驱动关节的扭转弹性进行建模，忽略了基座、轴承、臂杆结构柔性，末端工具变形对系统动力学特性的影响，已无法准确描述高速重载等极限工况条件下引发的复杂振动模态，有限元模型与假设模态法虽然可以精确建模，但因模型复杂而多用于机构强度分析，为此必须寻求高控制带宽（通常在0-100Hz范围）条件下，全面考虑复杂刚柔耦合影响的集中质量参数建模途径；此外，为提高全工作空间下模型参数估计精度，需进行非线性干扰的补偿与抑制，并通过全局优化实现模型参数的最优估计，为控制系统设计奠定精确、合理的模型基础。</w:t>
      </w:r>
    </w:p>
    <w:p w14:paraId="65009928">
      <w:pPr>
        <w:bidi w:val="0"/>
        <w:rPr>
          <w:b/>
          <w:bCs/>
        </w:rPr>
      </w:pPr>
      <w:r>
        <w:rPr>
          <w:rFonts w:hint="eastAsia"/>
          <w:b/>
          <w:bCs/>
        </w:rPr>
        <w:t>（2）</w:t>
      </w:r>
      <w:r>
        <w:rPr>
          <w:b/>
          <w:bCs/>
        </w:rPr>
        <w:t>高性能工业机器人的广义运动学误差建模与补偿方法研究</w:t>
      </w:r>
    </w:p>
    <w:p w14:paraId="7BEB5105">
      <w:pPr>
        <w:bidi w:val="0"/>
        <w:ind w:firstLine="560" w:firstLineChars="200"/>
      </w:pPr>
      <w:r>
        <w:t>考虑到影响机器人定位精度的误差因素复杂且相互耦合，必须研究不受机器人误差生成机理及作用规律限制的非参数建模方法，以充分表征臂杆长度、结构装配、传动装置、轴承变形等各类复杂非线性因素对机器人定位精度的影响。但常规的多项式拟合存在极易陷入局部最优或出现过拟合等不足，为此需综合分析测量误差数据累积对非参数模型的作用机理，以及各类几何误差和关节依赖误差特性的广义运动学误差特性，基于最佳一致逼近理论研究误差的建模及其参数辨识方法，据此设计关节运动指令补偿算法对末端执行器定位提供准确的伺服修正。</w:t>
      </w:r>
    </w:p>
    <w:p w14:paraId="5560179C">
      <w:pPr>
        <w:bidi w:val="0"/>
        <w:rPr>
          <w:b/>
          <w:bCs/>
        </w:rPr>
      </w:pPr>
      <w:r>
        <w:rPr>
          <w:rFonts w:hint="eastAsia"/>
          <w:b/>
          <w:bCs/>
        </w:rPr>
        <w:t>（3）</w:t>
      </w:r>
      <w:r>
        <w:rPr>
          <w:b/>
          <w:bCs/>
        </w:rPr>
        <w:t>基于模型动态逆的高性能工业机器人前馈控制方法研究</w:t>
      </w:r>
    </w:p>
    <w:p w14:paraId="4BF6752C">
      <w:pPr>
        <w:bidi w:val="0"/>
        <w:ind w:firstLine="560" w:firstLineChars="200"/>
      </w:pPr>
      <w:r>
        <w:t>基于模型动态逆的前馈控制是实现对系统全局刚柔耦合动力学模型精准跟随、获得机器人末端跟踪轨迹高动态性能的关键所在。然而，对于高性能工业机器人而言，其全局动力学模型是一类包含虚拟关节的欠驱动、非线性、多体系统，此类模型通常微分非平坦，其模型的逆是动态的，内部动力学不稳定，且驱动关节力矩与期望运动伺服约束流形非理想正交，因此必须寻求系统模型动态逆及其前馈控制的有效设计方法，以期提高系统的动态响应及轨迹跟踪性能。</w:t>
      </w:r>
    </w:p>
    <w:p w14:paraId="67E5E80B">
      <w:pPr>
        <w:bidi w:val="0"/>
        <w:rPr>
          <w:b/>
          <w:bCs/>
        </w:rPr>
      </w:pPr>
      <w:r>
        <w:rPr>
          <w:rFonts w:hint="eastAsia"/>
          <w:b/>
          <w:bCs/>
        </w:rPr>
        <w:t>（4）</w:t>
      </w:r>
      <w:r>
        <w:rPr>
          <w:b/>
          <w:bCs/>
        </w:rPr>
        <w:t>高性能工业机器人的自适应滑模反馈控制方法研究</w:t>
      </w:r>
    </w:p>
    <w:p w14:paraId="1AB5BC9B">
      <w:pPr>
        <w:bidi w:val="0"/>
        <w:ind w:firstLine="560" w:firstLineChars="200"/>
      </w:pPr>
      <w:r>
        <w:t>针对高性能工业机器人而言，高速重载情况下激发的关节柔性及臂杆柔性使得系统全局动力学模型为欠驱动系统，导致独立控制输入比待控制自由度少，因此必须寻求滑模面的</w:t>
      </w:r>
      <w:r>
        <w:rPr>
          <w:rFonts w:hint="eastAsia"/>
        </w:rPr>
        <w:t>有效</w:t>
      </w:r>
      <w:r>
        <w:t>设计方法以实现不同类型状态变量的稳定合并；此外，考虑到其长时间工作过程中关节磨损、润滑以及轴承预紧力等存在变化，引起模型参数摄动和外部扰动等各类不确定性，因此进一步研究基于干扰观测器的自适应滑模反馈控制器，以消除干扰噪声对闭环系统的不良影响，保证系统长期稳定的高动态品质和静态性能。</w:t>
      </w:r>
    </w:p>
    <w:p w14:paraId="783BE830">
      <w:pPr>
        <w:bidi w:val="0"/>
        <w:rPr>
          <w:b/>
          <w:bCs/>
        </w:rPr>
      </w:pPr>
      <w:r>
        <w:rPr>
          <w:rFonts w:hint="eastAsia"/>
          <w:b/>
          <w:bCs/>
        </w:rPr>
        <w:t>（5）</w:t>
      </w:r>
      <w:r>
        <w:rPr>
          <w:b/>
          <w:bCs/>
        </w:rPr>
        <w:t>理论方法的仿真与实验验证</w:t>
      </w:r>
    </w:p>
    <w:p w14:paraId="5DC51CE1">
      <w:pPr>
        <w:bidi w:val="0"/>
        <w:ind w:firstLine="560" w:firstLineChars="200"/>
      </w:pPr>
      <w:r>
        <w:t>在上述理论方法研究基础上，基于ADAMS和SCILAB构建可开放、可重用、可共享的高性能工业机器人控制关键技术仿真实验平台，验证全局刚柔耦合动力学建模、运动学补偿以及控制方法的有效性并对理论算法进行改进。在此基础上，对实验室KUKA机器人和SCARA机器人进行改造，以模拟高速重载和高速高精度运动极限工况，</w:t>
      </w:r>
      <w:r>
        <w:rPr>
          <w:rFonts w:hint="eastAsia"/>
        </w:rPr>
        <w:t>搭建</w:t>
      </w:r>
      <w:r>
        <w:t>高性能工业机器人控制关键技术实验验证平台，并对提出的复合分层结构控制器设计方法进行硬件在回路实时</w:t>
      </w:r>
      <w:r>
        <w:rPr>
          <w:rFonts w:hint="eastAsia"/>
        </w:rPr>
        <w:t>控制</w:t>
      </w:r>
      <w:r>
        <w:t>实验，验证高精度控制技术等理论方法的正确性和有效性，最后根据国家标准对机器人控制性能进行评估，为在地方行业推广应用提供技术支撑。</w:t>
      </w:r>
    </w:p>
    <w:p w14:paraId="120A8A99">
      <w:pPr>
        <w:wordWrap w:val="0"/>
        <w:spacing w:line="440" w:lineRule="exact"/>
        <w:ind w:firstLine="560" w:firstLineChars="200"/>
        <w:rPr>
          <w:rFonts w:ascii="楷体" w:eastAsia="楷体" w:hAnsi="楷体" w:cs="楷体" w:hint="eastAsia"/>
        </w:rPr>
      </w:pPr>
    </w:p>
    <w:p w14:paraId="5A448C6B">
      <w:pPr>
        <w:wordWrap w:val="0"/>
        <w:spacing w:line="440" w:lineRule="exact"/>
        <w:ind w:firstLine="560" w:firstLineChars="200"/>
        <w:rPr>
          <w:rFonts w:ascii="楷体" w:eastAsia="楷体" w:hAnsi="楷体" w:cs="楷体" w:hint="eastAsia"/>
        </w:rPr>
      </w:pPr>
      <w:r>
        <w:rPr>
          <w:rFonts w:ascii="楷体" w:eastAsia="楷体" w:hAnsi="楷体" w:cs="楷体" w:hint="eastAsia"/>
        </w:rPr>
        <w:t>2.研究目标（定量指标和定性指标相结合）</w:t>
      </w:r>
    </w:p>
    <w:p w14:paraId="46A88E70">
      <w:pPr>
        <w:bidi w:val="0"/>
        <w:ind w:firstLine="560" w:firstLineChars="200"/>
      </w:pPr>
      <w:r>
        <w:t>本项目旨在突破制约高速、重载等极限工况下工业机器人运动控制精度的技术瓶颈，以期提升工业机器人的绝对定位精度和精度稳定性。针对轻质</w:t>
      </w:r>
      <w:r>
        <w:rPr>
          <w:rFonts w:hint="eastAsia"/>
        </w:rPr>
        <w:t>、</w:t>
      </w:r>
      <w:r>
        <w:t>高速、</w:t>
      </w:r>
      <w:r>
        <w:rPr>
          <w:rFonts w:hint="eastAsia"/>
        </w:rPr>
        <w:t>重</w:t>
      </w:r>
      <w:r>
        <w:t>载工业机器人这类复杂刚柔耦合多变量系统，提出基于扩展虚拟柔性关节结构化模型结合频域灰箱参数辨识的全局动力学建模方法，为控制系统设计奠定精确、合理模型基础。</w:t>
      </w:r>
    </w:p>
    <w:p w14:paraId="61DA22BD">
      <w:pPr>
        <w:bidi w:val="0"/>
        <w:ind w:firstLine="560" w:firstLineChars="200"/>
        <w:rPr>
          <w:rFonts w:eastAsia="宋体" w:hint="default"/>
          <w:lang w:val="en-US" w:eastAsia="zh-CN"/>
        </w:rPr>
      </w:pPr>
      <w:r>
        <w:t>通过揭示杆长、装配等几何相关误差与减速器、轴承变形等关节依赖误差对机器人运动精度的影响机理，提出基于切比雪夫基函数的机器人广义运动学误差建模方法，设计最佳一致逼近估计的误差补偿算法实现末端执行器位姿的准确伺服修正。</w:t>
      </w:r>
      <w:r>
        <w:rPr>
          <w:rFonts w:hint="eastAsia"/>
          <w:lang w:val="en-US" w:eastAsia="zh-CN"/>
        </w:rPr>
        <w:t>期望标定后将残差降低95%以上</w:t>
      </w:r>
    </w:p>
    <w:p w14:paraId="2C4F9650">
      <w:pPr>
        <w:bidi w:val="0"/>
        <w:ind w:firstLine="560" w:firstLineChars="200"/>
        <w:rPr>
          <w:rFonts w:eastAsia="宋体" w:hint="eastAsia"/>
          <w:lang w:val="en-US" w:eastAsia="zh-CN"/>
        </w:rPr>
      </w:pPr>
      <w:r>
        <w:t>在此基础上，依据包含虚拟关节的动力学模型呈现欠驱动、非线性、非最小相位的特点，设计基于期望运动伺服约束的全局刚柔耦合动力学模型动态逆前馈控制，结合干扰观测的自适应积分滑模反馈控制方法，实现复杂刚柔耦合系统的高精度轨迹跟踪控制。最后，构建高性能工业机器人控制关键技术实验验证平台，完成相关理论方法的测试验证，力争在动力学建模、运动学误差标定及高性能控制新方法方面取得突破，为高性能工业机器人的</w:t>
      </w:r>
      <w:r>
        <w:rPr>
          <w:rFonts w:hint="eastAsia"/>
        </w:rPr>
        <w:t>轻量化设计和</w:t>
      </w:r>
      <w:r>
        <w:t>控制应用奠定理论和技术基础。</w:t>
      </w:r>
      <w:r>
        <w:rPr>
          <w:rFonts w:hint="eastAsia"/>
          <w:lang w:val="en-US" w:eastAsia="zh-CN"/>
        </w:rPr>
        <w:t>控制带宽在</w:t>
      </w:r>
      <w:r>
        <w:t>0-100Hz</w:t>
      </w:r>
      <w:r>
        <w:rPr>
          <w:rFonts w:hint="eastAsia"/>
          <w:lang w:val="en-US" w:eastAsia="zh-CN"/>
        </w:rPr>
        <w:t>之内。</w:t>
      </w:r>
    </w:p>
    <w:p w14:paraId="0497293B">
      <w:pPr>
        <w:wordWrap w:val="0"/>
        <w:spacing w:line="440" w:lineRule="exact"/>
        <w:ind w:firstLine="560" w:firstLineChars="200"/>
        <w:rPr>
          <w:rFonts w:ascii="楷体" w:eastAsia="楷体" w:hAnsi="楷体" w:cs="楷体" w:hint="eastAsia"/>
        </w:rPr>
      </w:pPr>
    </w:p>
    <w:p w14:paraId="4352963E">
      <w:pPr>
        <w:wordWrap w:val="0"/>
        <w:spacing w:line="440" w:lineRule="exact"/>
        <w:ind w:firstLine="560" w:firstLineChars="200"/>
        <w:rPr>
          <w:rFonts w:ascii="楷体" w:eastAsia="楷体" w:hAnsi="楷体" w:cs="楷体" w:hint="eastAsia"/>
        </w:rPr>
      </w:pPr>
    </w:p>
    <w:p w14:paraId="7362A179">
      <w:pPr>
        <w:wordWrap w:val="0"/>
        <w:spacing w:line="440" w:lineRule="exact"/>
        <w:ind w:firstLine="560" w:firstLineChars="200"/>
        <w:rPr>
          <w:rFonts w:ascii="楷体" w:eastAsia="楷体" w:hAnsi="楷体" w:cs="楷体" w:hint="eastAsia"/>
        </w:rPr>
      </w:pPr>
      <w:r>
        <w:rPr>
          <w:rFonts w:ascii="楷体" w:eastAsia="楷体" w:hAnsi="楷体" w:cs="楷体" w:hint="eastAsia"/>
        </w:rPr>
        <w:t>3.拟解决的科学问题</w:t>
      </w:r>
    </w:p>
    <w:p w14:paraId="765B5B86">
      <w:pPr>
        <w:bidi w:val="0"/>
        <w:rPr>
          <w:rFonts w:hint="eastAsia"/>
        </w:rPr>
      </w:pPr>
      <w:r>
        <w:rPr>
          <w:rFonts w:hint="eastAsia"/>
          <w:b/>
          <w:bCs/>
        </w:rPr>
        <w:t>（1）如何建立高速、重载等极限工况下高性能工业机器人的全局刚柔耦合动力学模型</w:t>
      </w:r>
    </w:p>
    <w:p w14:paraId="4D242152">
      <w:pPr>
        <w:bidi w:val="0"/>
      </w:pPr>
      <w:r>
        <w:t xml:space="preserve"> 高速、重载等极限工况条件下仅考虑驱动关节柔性的机器人动力学模型已无法准确表征包括</w:t>
      </w:r>
      <w:r>
        <w:rPr>
          <w:rFonts w:hint="eastAsia"/>
        </w:rPr>
        <w:t>基座、轴承、臂杆结构柔性和末端工具变形等</w:t>
      </w:r>
      <w:r>
        <w:t>引起的复杂振动模态影响。但其又与大柔性、细长机械臂不同，柔性机械臂的分布参数特性往往使得控制带宽较低。因此，如何在感兴趣控制带宽范围（0-100Hz）内建立全面表征系统复杂刚柔耦合影响，且结构合理、形式简洁的全局动力学模型，是控制系统设计的基础科学问题。</w:t>
      </w:r>
    </w:p>
    <w:p w14:paraId="365C910B">
      <w:pPr>
        <w:bidi w:val="0"/>
        <w:rPr>
          <w:b/>
          <w:bCs/>
        </w:rPr>
      </w:pPr>
      <w:r>
        <w:rPr>
          <w:rFonts w:hint="eastAsia"/>
          <w:b/>
          <w:bCs/>
        </w:rPr>
        <w:t>（2）如何建立全面表征各类几何和关节依赖的广义运动学误差模型</w:t>
      </w:r>
    </w:p>
    <w:p w14:paraId="045DF412">
      <w:pPr>
        <w:bidi w:val="0"/>
        <w:ind w:firstLine="560" w:firstLineChars="200"/>
      </w:pPr>
      <w:r>
        <w:t>传统的基于刚体运动假设的常值关节依赖误差标定方法，仅能满足臂杆长度、结构装配等引起的几何尺寸误差补偿，而高速重载工况下齿轮固有扭转挠度会引起周期运动误差，轮齿侧面凹槽引起的微小跳动会导致旋转角度的偏移引起螺距误差等，各类误差因素复杂且相互耦合。如何对各类几何和关节依赖误差进行全面表征，避免机器人误差生成机理及作用规律的限制，且</w:t>
      </w:r>
      <w:r>
        <w:rPr>
          <w:rFonts w:hint="eastAsia"/>
        </w:rPr>
        <w:t>避免</w:t>
      </w:r>
      <w:r>
        <w:t>补偿算法</w:t>
      </w:r>
      <w:r>
        <w:rPr>
          <w:rFonts w:hint="eastAsia"/>
        </w:rPr>
        <w:t>陷入局部最优或</w:t>
      </w:r>
      <w:r>
        <w:t>过拟合，是准确伺服修正机器人末端定位精度的关键科学问题。</w:t>
      </w:r>
    </w:p>
    <w:p w14:paraId="5A0EB733">
      <w:pPr>
        <w:bidi w:val="0"/>
        <w:rPr>
          <w:b/>
          <w:bCs/>
        </w:rPr>
      </w:pPr>
      <w:r>
        <w:rPr>
          <w:rFonts w:hint="eastAsia"/>
          <w:b/>
          <w:bCs/>
        </w:rPr>
        <w:t>（3）如何实现高速重载极限工况工业机器人的高精度轨迹跟踪控制</w:t>
      </w:r>
    </w:p>
    <w:p w14:paraId="61F4BBFD">
      <w:pPr>
        <w:bidi w:val="0"/>
        <w:ind w:firstLine="560" w:firstLineChars="200"/>
      </w:pPr>
      <w:r>
        <w:t>对于高性能工业机器人而言，其全局动力学模型是一类包含虚拟关节的欠驱动、非线性、多体系统，其模型的逆是动态的，内部动力学不稳定，且驱动关节力矩与期望运动伺服约束流形非理想正交；此外，长时间运行下机器人驱动关节和传动装置的润滑、磨损、轴承预紧力等发生变化，引入复杂非线性摩擦干扰及动力学模型参数摄动，如何针对全局刚柔耦合机器人系统的动力学特性设计模型动态逆前馈，以及有效抑制时变外部扰动和模型不确定性影响且保证连续全局稳定的反馈控制方法，是实现机器人高精度轨迹跟踪的核心科学问题。</w:t>
      </w:r>
    </w:p>
    <w:p w14:paraId="7E32E9AF">
      <w:pPr>
        <w:wordWrap w:val="0"/>
        <w:spacing w:line="440" w:lineRule="exact"/>
        <w:ind w:firstLine="560" w:firstLineChars="200"/>
        <w:rPr>
          <w:rFonts w:ascii="楷体" w:eastAsia="楷体" w:hAnsi="楷体" w:cs="楷体" w:hint="eastAsia"/>
        </w:rPr>
      </w:pPr>
    </w:p>
    <w:p w14:paraId="26784BD6">
      <w:pPr>
        <w:wordWrap w:val="0"/>
        <w:spacing w:line="440" w:lineRule="exact"/>
        <w:ind w:firstLine="560" w:firstLineChars="200"/>
        <w:rPr>
          <w:rFonts w:ascii="楷体" w:eastAsia="楷体" w:hAnsi="楷体" w:cs="楷体" w:hint="eastAsia"/>
        </w:rPr>
      </w:pPr>
      <w:r>
        <w:rPr>
          <w:rFonts w:ascii="楷体" w:eastAsia="楷体" w:hAnsi="楷体" w:cs="楷体" w:hint="eastAsia"/>
        </w:rPr>
        <w:t>4.项目的特色与创新之处</w:t>
      </w:r>
    </w:p>
    <w:p w14:paraId="0CAA62D1">
      <w:pPr>
        <w:numPr>
          <w:ilvl w:val="0"/>
          <w:numId w:val="4"/>
        </w:numPr>
        <w:bidi w:val="0"/>
      </w:pPr>
      <w:r>
        <w:t>提出一种基于扩展虚拟柔性关节结构化模型结合频域灰箱参数辨识的全局刚柔耦合动力学建模方法，结构化模型仍采用集中质量参数表达，形式简洁、规范；且在感兴趣的控制带宽范围（0-100Hz）内全面考虑了系统的复杂刚柔耦合影响，为高性能工业机器人控制系统设计奠定了精准、合理的模型基础。</w:t>
      </w:r>
    </w:p>
    <w:p w14:paraId="3844DE3B">
      <w:pPr>
        <w:numPr>
          <w:ilvl w:val="0"/>
          <w:numId w:val="4"/>
        </w:numPr>
        <w:bidi w:val="0"/>
      </w:pPr>
      <w:r>
        <w:t>提出一种基于切比雪夫基函数的机器人广义运动学误差建模方法，对各类几何和关节依赖误差进行全面表征，其不受机器人误差生成机理及作用规律的限制，且能最大限度地避免</w:t>
      </w:r>
      <w:r>
        <w:rPr>
          <w:rFonts w:hint="eastAsia"/>
        </w:rPr>
        <w:t>陷入</w:t>
      </w:r>
      <w:r>
        <w:t>局部</w:t>
      </w:r>
      <w:r>
        <w:rPr>
          <w:rFonts w:hint="eastAsia"/>
        </w:rPr>
        <w:t>最优</w:t>
      </w:r>
      <w:r>
        <w:t>或过拟合，基于最佳一致逼近估计的误差补偿算法有望对末端执行器</w:t>
      </w:r>
      <w:r>
        <w:rPr>
          <w:rFonts w:hint="eastAsia"/>
        </w:rPr>
        <w:t>位姿</w:t>
      </w:r>
      <w:r>
        <w:t>进行准确伺服修正。</w:t>
      </w:r>
    </w:p>
    <w:p w14:paraId="037CB8C6">
      <w:pPr>
        <w:numPr>
          <w:ilvl w:val="0"/>
          <w:numId w:val="4"/>
        </w:numPr>
        <w:bidi w:val="0"/>
      </w:pPr>
      <w:r>
        <w:t>针对高性能工业机器人这类刚柔耦合、复杂非线性系统，提出一种基于期望运动伺服约束的模型动态逆前馈控制结合自适应积分型滑模反馈控制的设计方法，以保证机器人系统的鲁棒稳定和高动态响应，有望实现对全局刚柔耦合动力学模型的精准跟随和机器人系统的高精度控制。</w:t>
      </w:r>
    </w:p>
    <w:p w14:paraId="06C2E28D">
      <w:pPr>
        <w:wordWrap w:val="0"/>
        <w:spacing w:line="440" w:lineRule="exact"/>
        <w:ind w:firstLine="560" w:firstLineChars="200"/>
        <w:rPr>
          <w:rFonts w:ascii="楷体" w:eastAsia="楷体" w:hAnsi="楷体" w:cs="楷体" w:hint="eastAsia"/>
        </w:rPr>
      </w:pPr>
    </w:p>
    <w:p w14:paraId="6EA0EACB">
      <w:pPr>
        <w:wordWrap w:val="0"/>
        <w:spacing w:line="440" w:lineRule="exact"/>
        <w:ind w:firstLine="560" w:firstLineChars="200"/>
        <w:rPr>
          <w:rFonts w:ascii="楷体" w:eastAsia="楷体" w:hAnsi="楷体" w:cs="楷体"/>
        </w:rPr>
      </w:pPr>
      <w:r>
        <w:rPr>
          <w:rFonts w:ascii="楷体" w:eastAsia="楷体" w:hAnsi="楷体" w:cs="楷体" w:hint="eastAsia"/>
        </w:rPr>
        <w:t>5.预期成果（项目成果的呈现形式及描述）</w:t>
      </w:r>
    </w:p>
    <w:p w14:paraId="46AB194E">
      <w:pPr>
        <w:bidi w:val="0"/>
        <w:rPr>
          <w:b/>
          <w:bCs/>
        </w:rPr>
      </w:pPr>
      <w:r>
        <w:rPr>
          <w:rFonts w:hint="eastAsia"/>
          <w:b/>
          <w:bCs/>
        </w:rPr>
        <w:t>1）</w:t>
      </w:r>
      <w:r>
        <w:rPr>
          <w:b/>
          <w:bCs/>
        </w:rPr>
        <w:t>理论</w:t>
      </w:r>
      <w:r>
        <w:rPr>
          <w:rFonts w:hint="eastAsia"/>
          <w:b/>
          <w:bCs/>
        </w:rPr>
        <w:t>方法</w:t>
      </w:r>
      <w:r>
        <w:rPr>
          <w:b/>
          <w:bCs/>
        </w:rPr>
        <w:t>方面</w:t>
      </w:r>
    </w:p>
    <w:p w14:paraId="018C2D19">
      <w:pPr>
        <w:bidi w:val="0"/>
      </w:pPr>
      <w:r>
        <w:t>针对高速、重载</w:t>
      </w:r>
      <w:r>
        <w:rPr>
          <w:rFonts w:hint="eastAsia"/>
        </w:rPr>
        <w:t>等</w:t>
      </w:r>
      <w:r>
        <w:t>极限工况工业机器人这类复杂刚柔耦合多变量系统，提出基于扩展虚拟柔性关节与频域灰箱参数辨识的全局动力学建模方法，通过揭示各类关节依赖误差对机器人运动精度的影响机理，建立基于切比雪夫基函数</w:t>
      </w:r>
      <w:r>
        <w:rPr>
          <w:rFonts w:hint="eastAsia"/>
        </w:rPr>
        <w:t>的</w:t>
      </w:r>
      <w:r>
        <w:t>机器人广义运动学误差模型。在此基础上，</w:t>
      </w:r>
      <w:r>
        <w:rPr>
          <w:rFonts w:hint="eastAsia"/>
        </w:rPr>
        <w:t>提出</w:t>
      </w:r>
      <w:r>
        <w:t>模型动态逆前馈结合自适应滑模反馈的复合分层控制</w:t>
      </w:r>
      <w:r>
        <w:rPr>
          <w:rFonts w:hint="eastAsia"/>
        </w:rPr>
        <w:t>结构</w:t>
      </w:r>
      <w:r>
        <w:t>，实现对全局动力学模型的精准跟随和机器人系统的高精度运动控制。</w:t>
      </w:r>
    </w:p>
    <w:p w14:paraId="6E432A46">
      <w:pPr>
        <w:bidi w:val="0"/>
        <w:rPr>
          <w:b/>
          <w:bCs/>
        </w:rPr>
      </w:pPr>
      <w:r>
        <w:rPr>
          <w:rFonts w:hint="eastAsia"/>
          <w:b/>
          <w:bCs/>
        </w:rPr>
        <w:t>2）实验验证</w:t>
      </w:r>
      <w:r>
        <w:rPr>
          <w:b/>
          <w:bCs/>
        </w:rPr>
        <w:t>平台</w:t>
      </w:r>
    </w:p>
    <w:p w14:paraId="574B002E">
      <w:pPr>
        <w:bidi w:val="0"/>
        <w:rPr>
          <w:rFonts w:hint="eastAsia"/>
          <w:b/>
          <w:bCs/>
          <w:lang w:val="en-US" w:eastAsia="zh-CN"/>
        </w:rPr>
      </w:pPr>
      <w:r>
        <w:rPr>
          <w:rFonts w:hint="eastAsia"/>
        </w:rPr>
        <w:t>搭建高性能工业机器人控制关键技术实验验证平台，以模拟实际</w:t>
      </w:r>
      <w:r>
        <w:t>工业机器人</w:t>
      </w:r>
      <w:r>
        <w:rPr>
          <w:rFonts w:hint="eastAsia"/>
        </w:rPr>
        <w:t>高速重载和高速高精度极限工况。可进行工业机器人动力学建模、运动学标定、运动控制原型验证和硬件在回路实时控制及其他工业机器人相关的实验验证，以服务地方高新技术产业，推动产学研协同发展。</w:t>
      </w:r>
    </w:p>
    <w:p w14:paraId="034911EF">
      <w:pPr>
        <w:bidi w:val="0"/>
        <w:rPr>
          <w:lang w:val="en-US" w:eastAsia="zh-CN"/>
        </w:rPr>
      </w:pPr>
      <w:r>
        <w:rPr>
          <w:rFonts w:hint="eastAsia"/>
          <w:lang w:val="en-US" w:eastAsia="zh-CN"/>
        </w:rPr>
        <w:t>3</w:t>
      </w:r>
      <w:r>
        <w:rPr>
          <w:rFonts w:hint="eastAsia"/>
        </w:rPr>
        <w:t>）</w:t>
      </w:r>
      <w:r>
        <w:rPr>
          <w:rFonts w:hint="eastAsia"/>
          <w:b/>
          <w:bCs/>
          <w:lang w:val="en-US" w:eastAsia="zh-CN"/>
        </w:rPr>
        <w:t>论文</w:t>
      </w:r>
      <w:r>
        <w:rPr>
          <w:rFonts w:hint="eastAsia"/>
          <w:lang w:val="en-US" w:eastAsia="zh-CN"/>
        </w:rPr>
        <w:t xml:space="preserve"> </w:t>
      </w:r>
    </w:p>
    <w:p w14:paraId="29C0606A">
      <w:pPr>
        <w:bidi w:val="0"/>
        <w:ind w:firstLine="560" w:firstLineChars="200"/>
        <w:rPr>
          <w:lang w:val="en-US" w:eastAsia="zh-CN"/>
        </w:rPr>
      </w:pPr>
      <w:r>
        <w:rPr>
          <w:rFonts w:hint="eastAsia"/>
          <w:lang w:val="en-US" w:eastAsia="zh-CN"/>
        </w:rPr>
        <w:t xml:space="preserve">在全局动力学建模、运动学误差标定等前沿领域预期在国际、国内核心刊物发表论文3篇，其中被 SCI检索2篇。 </w:t>
      </w:r>
    </w:p>
    <w:p w14:paraId="73BB04C5">
      <w:pPr>
        <w:bidi w:val="0"/>
        <w:rPr>
          <w:lang w:val="en-US" w:eastAsia="zh-CN"/>
        </w:rPr>
      </w:pPr>
      <w:r>
        <w:rPr>
          <w:rFonts w:hint="eastAsia"/>
          <w:lang w:val="en-US" w:eastAsia="zh-CN"/>
        </w:rPr>
        <w:t>4</w:t>
      </w:r>
      <w:r>
        <w:rPr>
          <w:rFonts w:hint="eastAsia"/>
        </w:rPr>
        <w:t>）</w:t>
      </w:r>
      <w:r>
        <w:rPr>
          <w:rFonts w:hint="eastAsia"/>
          <w:b/>
          <w:bCs/>
          <w:lang w:val="en-US" w:eastAsia="zh-CN"/>
        </w:rPr>
        <w:t>专利</w:t>
      </w:r>
      <w:r>
        <w:rPr>
          <w:rFonts w:hint="eastAsia"/>
          <w:lang w:val="en-US" w:eastAsia="zh-CN"/>
        </w:rPr>
        <w:t xml:space="preserve"> </w:t>
      </w:r>
    </w:p>
    <w:p w14:paraId="7B5979F2">
      <w:pPr>
        <w:bidi w:val="0"/>
        <w:ind w:firstLine="560" w:firstLineChars="200"/>
        <w:rPr>
          <w:lang w:val="en-US" w:eastAsia="zh-CN"/>
        </w:rPr>
      </w:pPr>
      <w:r>
        <w:rPr>
          <w:rFonts w:hint="eastAsia"/>
          <w:lang w:val="en-US" w:eastAsia="zh-CN"/>
        </w:rPr>
        <w:t xml:space="preserve">在全局动力学建模、运动学误差标定等前沿领域预期发表实用新型专利或软件著作4~5个 </w:t>
      </w:r>
    </w:p>
    <w:p w14:paraId="5F8B2A22">
      <w:pPr>
        <w:bidi w:val="0"/>
        <w:rPr>
          <w:b/>
          <w:bCs/>
          <w:lang w:val="en-US" w:eastAsia="zh-CN"/>
        </w:rPr>
      </w:pPr>
      <w:r>
        <w:rPr>
          <w:rFonts w:hint="eastAsia"/>
          <w:lang w:val="en-US" w:eastAsia="zh-CN"/>
        </w:rPr>
        <w:t>5</w:t>
      </w:r>
      <w:r>
        <w:rPr>
          <w:rFonts w:hint="eastAsia"/>
        </w:rPr>
        <w:t>）</w:t>
      </w:r>
      <w:r>
        <w:rPr>
          <w:rFonts w:hint="eastAsia"/>
          <w:b/>
          <w:bCs/>
          <w:lang w:val="en-US" w:eastAsia="zh-CN"/>
        </w:rPr>
        <w:t xml:space="preserve">人才培养 </w:t>
      </w:r>
    </w:p>
    <w:p w14:paraId="20342B56">
      <w:pPr>
        <w:bidi w:val="0"/>
        <w:ind w:firstLine="560" w:firstLineChars="200"/>
        <w:rPr>
          <w:lang w:val="en-US" w:eastAsia="zh-CN"/>
        </w:rPr>
      </w:pPr>
      <w:r>
        <w:rPr>
          <w:rFonts w:hint="eastAsia"/>
          <w:lang w:val="en-US" w:eastAsia="zh-CN"/>
        </w:rPr>
        <w:t>培养青年人才8-9名。此外，培养高性能工业机器人技术应用人才30-40 名，以促进成果应用与转化。</w:t>
      </w:r>
      <w:r>
        <w:rPr>
          <w:rFonts w:hint="default"/>
          <w:lang w:val="en-US" w:eastAsia="zh-CN"/>
        </w:rPr>
        <w:t xml:space="preserve"> </w:t>
      </w:r>
    </w:p>
    <w:p w14:paraId="3F8AF086">
      <w:pPr>
        <w:bidi w:val="0"/>
        <w:rPr>
          <w:b/>
          <w:bCs/>
          <w:lang w:val="en-US" w:eastAsia="zh-CN"/>
        </w:rPr>
      </w:pPr>
      <w:r>
        <w:rPr>
          <w:rFonts w:hint="eastAsia"/>
          <w:lang w:val="en-US" w:eastAsia="zh-CN"/>
        </w:rPr>
        <w:t>6</w:t>
      </w:r>
      <w:r>
        <w:rPr>
          <w:rFonts w:hint="eastAsia"/>
        </w:rPr>
        <w:t>）</w:t>
      </w:r>
      <w:r>
        <w:rPr>
          <w:rFonts w:hint="eastAsia"/>
          <w:b/>
          <w:bCs/>
          <w:lang w:val="en-US" w:eastAsia="zh-CN"/>
        </w:rPr>
        <w:t xml:space="preserve">国际交流 </w:t>
      </w:r>
    </w:p>
    <w:p w14:paraId="6843D33B">
      <w:pPr>
        <w:bidi w:val="0"/>
        <w:ind w:firstLine="560" w:firstLineChars="200"/>
        <w:rPr>
          <w:lang w:val="en-US" w:eastAsia="zh-CN"/>
        </w:rPr>
      </w:pPr>
      <w:r>
        <w:rPr>
          <w:rFonts w:hint="eastAsia"/>
          <w:lang w:val="en-US" w:eastAsia="zh-CN"/>
        </w:rPr>
        <w:t>出国参加国际学术交流活动（6人次以上），了解国际学术动态，宣传国内的研究成果。</w:t>
      </w:r>
    </w:p>
    <w:p w14:paraId="2DC9CCD4">
      <w:pPr>
        <w:wordWrap w:val="0"/>
        <w:spacing w:line="440" w:lineRule="exact"/>
        <w:rPr>
          <w:rFonts w:ascii="楷体" w:eastAsia="楷体" w:hAnsi="楷体" w:cs="楷体"/>
        </w:rPr>
      </w:pPr>
    </w:p>
    <w:p w14:paraId="7469F346">
      <w:pPr>
        <w:wordWrap w:val="0"/>
        <w:spacing w:line="440" w:lineRule="exact"/>
        <w:ind w:firstLine="560" w:firstLineChars="200"/>
        <w:outlineLvl w:val="0"/>
        <w:rPr>
          <w:rFonts w:ascii="楷体" w:eastAsia="楷体" w:hAnsi="楷体" w:cs="楷体"/>
          <w:b/>
        </w:rPr>
      </w:pPr>
      <w:bookmarkStart w:id="69" w:name="bm_six"/>
      <w:r>
        <w:rPr>
          <w:rFonts w:ascii="楷体" w:eastAsia="楷体" w:hAnsi="楷体" w:cs="楷体" w:hint="eastAsia"/>
          <w:b/>
        </w:rPr>
        <w:t>三、研究方案及可行性分析</w:t>
      </w:r>
    </w:p>
    <w:bookmarkEnd w:id="68"/>
    <w:bookmarkEnd w:id="69"/>
    <w:p w14:paraId="719DDCBC">
      <w:pPr>
        <w:bidi w:val="0"/>
        <w:rPr>
          <w:rFonts w:hint="eastAsia"/>
        </w:rPr>
      </w:pPr>
      <w:r>
        <w:rPr>
          <w:rFonts w:ascii="楷体" w:eastAsia="楷体" w:hAnsi="楷体" w:cs="楷体" w:hint="eastAsia"/>
        </w:rPr>
        <w:t>1.研究方案（有关方法、技术路线、实验手段、关键技术等说明，项目可行性分析）</w:t>
      </w:r>
    </w:p>
    <w:p w14:paraId="1BA5C405">
      <w:pPr>
        <w:bidi w:val="0"/>
        <w:rPr>
          <w:b/>
          <w:bCs/>
        </w:rPr>
      </w:pPr>
      <w:r>
        <w:rPr>
          <w:b/>
          <w:bCs/>
        </w:rPr>
        <w:t>高性能工业机器人的全局刚柔耦合动力学建模方法研究</w:t>
      </w:r>
    </w:p>
    <w:p w14:paraId="521BD855">
      <w:pPr>
        <w:numPr>
          <w:ilvl w:val="0"/>
          <w:numId w:val="5"/>
        </w:numPr>
        <w:bidi w:val="0"/>
      </w:pPr>
      <w:r>
        <w:t>轻质、高速、重载工业机器人的扩展虚拟柔性关节动力学建模方法研究</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9286"/>
      </w:tblGrid>
      <w:tr w14:paraId="6E36F8A8">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rPr>
          <w:trHeight w:val="7404"/>
        </w:trPr>
        <w:tc>
          <w:tcPr>
            <w:tcW w:w="9286" w:type="dxa"/>
          </w:tcPr>
          <w:p w14:paraId="29B0942C">
            <w:pPr>
              <w:numPr>
                <w:ilvl w:val="0"/>
                <w:numId w:val="0"/>
              </w:numPr>
              <w:bidi w:val="0"/>
              <w:rPr>
                <w:rFonts w:eastAsia="宋体" w:hint="eastAsia"/>
                <w:vertAlign w:val="baseline"/>
                <w:lang w:eastAsia="zh-CN"/>
              </w:rPr>
            </w:pPr>
            <w:r>
              <w:rPr>
                <w:rFonts w:eastAsia="宋体" w:hint="eastAsia"/>
                <w:vertAlign w:val="baseline"/>
                <w:lang w:eastAsia="zh-CN"/>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5524500" cy="4638675"/>
                  <wp:effectExtent l="0" t="0" r="0" b="9525"/>
                  <wp:wrapTopAndBottom/>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0116" name="图片 2" descr="图片1"/>
                          <pic:cNvPicPr>
                            <a:picLocks noChangeAspect="1"/>
                          </pic:cNvPicPr>
                        </pic:nvPicPr>
                        <pic:blipFill>
                          <a:blip xmlns:r="http://schemas.openxmlformats.org/officeDocument/2006/relationships" r:embed="rId5"/>
                          <a:stretch>
                            <a:fillRect/>
                          </a:stretch>
                        </pic:blipFill>
                        <pic:spPr>
                          <a:xfrm>
                            <a:off x="0" y="0"/>
                            <a:ext cx="5524500" cy="4638675"/>
                          </a:xfrm>
                          <a:prstGeom prst="rect">
                            <a:avLst/>
                          </a:prstGeom>
                        </pic:spPr>
                      </pic:pic>
                    </a:graphicData>
                  </a:graphic>
                </wp:anchor>
              </w:drawing>
            </w:r>
          </w:p>
        </w:tc>
      </w:tr>
      <w:tr w14:paraId="12C6C5D1">
        <w:tblPrEx>
          <w:tblW w:w="0" w:type="auto"/>
          <w:tblInd w:w="0" w:type="dxa"/>
          <w:tblCellMar>
            <w:top w:w="0" w:type="dxa"/>
            <w:left w:w="108" w:type="dxa"/>
            <w:bottom w:w="0" w:type="dxa"/>
            <w:right w:w="108" w:type="dxa"/>
          </w:tblCellMar>
        </w:tblPrEx>
        <w:tc>
          <w:tcPr>
            <w:tcW w:w="9286" w:type="dxa"/>
          </w:tcPr>
          <w:p w14:paraId="43B932A8">
            <w:pPr>
              <w:pStyle w:val="Caption"/>
              <w:bidi w:val="0"/>
              <w:rPr>
                <w:vertAlign w:val="baseline"/>
              </w:rPr>
            </w:pPr>
            <w:r>
              <w:rPr>
                <w:rFonts w:hint="eastAsia"/>
                <w:sz w:val="24"/>
                <w:szCs w:val="24"/>
                <w:lang w:val="en-US" w:eastAsia="zh-CN"/>
              </w:rPr>
              <w:t>图 1</w:t>
            </w:r>
            <w:r>
              <w:rPr>
                <w:sz w:val="24"/>
                <w:szCs w:val="24"/>
                <w:lang w:val="en-US" w:eastAsia="zh-CN"/>
              </w:rPr>
              <w:t xml:space="preserve"> </w:t>
            </w:r>
            <w:r>
              <w:rPr>
                <w:rFonts w:hint="eastAsia"/>
                <w:sz w:val="24"/>
                <w:szCs w:val="24"/>
                <w:lang w:val="en-US" w:eastAsia="zh-CN"/>
              </w:rPr>
              <w:t>高性能</w:t>
            </w:r>
            <w:r>
              <w:rPr>
                <w:sz w:val="24"/>
                <w:szCs w:val="24"/>
                <w:lang w:val="en-US" w:eastAsia="zh-CN"/>
              </w:rPr>
              <w:t>工业机器人的全局刚柔耦合动力学建模技术路线</w:t>
            </w:r>
          </w:p>
        </w:tc>
      </w:tr>
    </w:tbl>
    <w:p w14:paraId="45B15823">
      <w:pPr>
        <w:bidi w:val="0"/>
        <w:ind w:firstLine="560" w:firstLineChars="200"/>
      </w:pPr>
      <w:r>
        <w:t>本课题首先基于自下而上的方式进行柔性关节模型的扩展，如图</w:t>
      </w:r>
      <w:r>
        <w:rPr>
          <w:rFonts w:hint="eastAsia"/>
          <w:lang w:val="en-US" w:eastAsia="zh-CN"/>
        </w:rPr>
        <w:t>1</w:t>
      </w:r>
      <w:r>
        <w:t>所示。在经典刚性多体动力学模型基础上，根据减速器的分布情况添加驱动柔性关节，以描述扭转方向的柔性特征；进一步借助机器人CAD模型、部件数据等系统弹性分布先验知识及有限元模态分析数据来推测虚拟关节的数量、位置和方向，建立候选的扩展虚拟柔性关节集合。该集合包含了机器人各类构型下可能的弹性分布，用于后续的模型辨识及参数估计。为简化计算，拟采用线弹性或刚化弹性模型表征驱动关节和虚拟关节的弹簧阻尼特征，同时在驱动关节附加黏性-库伦摩擦模型，以充分表征高速运动中摩擦的影响（换向中难以建模的非线性摩擦部分将通过后续实验激励信号设计加以抵消和补偿）。最后基于Lagrange方法推导基于扩展虚拟柔性关节的工业机器人动力学</w:t>
      </w:r>
      <w:r>
        <w:rPr>
          <w:rFonts w:hint="eastAsia"/>
        </w:rPr>
        <w:t>模型</w:t>
      </w:r>
      <w:r>
        <w:t>，由此获得充分考虑各类刚柔耦合影响的机器人非线性灰箱模型。扩展柔性关节的动力学模型采用集中质量参数的描述方式，可以在较小模型规模的前提下描述机器人全方位的弹性特征，计算效率高，便于控制应用。此外，集中质量法利用弹性元件连接各刚体构成连续运动链，因此非常适合采用大数据压缩的频域辨识方法获得模型参数的最优估计。</w:t>
      </w:r>
    </w:p>
    <w:p w14:paraId="316A5A98">
      <w:pPr>
        <w:bidi w:val="0"/>
      </w:pPr>
      <w:r>
        <w:rPr>
          <w:rFonts w:hint="eastAsia"/>
        </w:rPr>
        <w:t>b</w:t>
      </w:r>
      <w:r>
        <w:t>)基于频域灰箱辨识算法的动力学模型参数最优估计方法研究</w:t>
      </w:r>
    </w:p>
    <w:p w14:paraId="66F10023">
      <w:pPr>
        <w:bidi w:val="0"/>
      </w:pPr>
      <w:r>
        <w:t>待估计的模型参数可分为刚体参数、弹性参数（刚度和阻尼）和库伦摩擦参数，为提高弹性参数的估计精度，减小候选模型结构辨识的工作量，首先采用可分离最小二乘法（Separable least-squares approach）辨识库伦摩擦和刚体参数，在此基础上进行非线性灰箱模型的频域辨识（Frequency-domain nonlinear gray-box identification）。具体技术路线如图</w:t>
      </w:r>
      <w:r>
        <w:rPr>
          <w:rFonts w:hint="eastAsia"/>
          <w:lang w:val="en-US" w:eastAsia="zh-CN"/>
        </w:rPr>
        <w:t>1</w:t>
      </w:r>
      <w:r>
        <w:t>所示：</w:t>
      </w:r>
    </w:p>
    <w:p w14:paraId="03664469">
      <w:pPr>
        <w:bidi w:val="0"/>
        <w:ind w:firstLine="560" w:firstLineChars="200"/>
      </w:pPr>
      <w:r>
        <w:t>首先在机器人全工作空间选取多个操作点，对待测系统进行期望频带内信号的闭环激励，其中激励信号选择正交随机相位多正弦信号与低频正弦信号叠加以提高测量信噪比并减小其它非线性摩擦的阻尼影响。值得特别指出的是，为得到系统准确的输入输出频域响应，</w:t>
      </w:r>
      <w:r>
        <w:rPr>
          <w:rFonts w:hint="eastAsia"/>
        </w:rPr>
        <w:t>首先</w:t>
      </w:r>
      <w:r>
        <w:t>要避免刚体非线性动力学影响，即对激励信号的幅值进行限制以防止远离操作点；另外，对于传动系统扭矩波动等非线性环节，可通过对时域输出数据的直接估计进行非线性补偿。测试与补偿完成后，对每个操作点的数据集进行离散傅里叶变换（DFT），并通过多组实验数据的对数平均估计获得测试系统频率响应函数（FRF）的最优逼近。</w:t>
      </w:r>
    </w:p>
    <w:p w14:paraId="093927AB">
      <w:pPr>
        <w:bidi w:val="0"/>
        <w:ind w:firstLine="560" w:firstLineChars="200"/>
      </w:pPr>
      <w:r>
        <w:t>与此同时，在每个操作点对某一候选的扩展虚拟柔性关节模型进行高阶泰勒级数展开以获得非线性灰箱模型的频率响应函数（FRF），将其与前述测试系统FRF之间的加权误差作为目标函数，使用无约束多变量函数的非线性规划求解器进行优化，获得非线性灰箱模型参数的最优估计。</w:t>
      </w:r>
    </w:p>
    <w:p w14:paraId="3F3A8558">
      <w:pPr>
        <w:bidi w:val="0"/>
        <w:ind w:firstLine="560" w:firstLineChars="200"/>
      </w:pPr>
      <w:r>
        <w:t>在获得非线性灰箱模型参数的估计后，基于贪心算法的原则对前述候选扩展虚拟柔性关节集合进行模型结构的筛选和优化，具体过程为：对于每个参数已确定的候选结构模型，不再改动当前已确定虚拟关节的配置（数量、位置和方向），而是在此基础上，结合机器人CAD模型、系统弹性分布先验知识及有限元模态分析数据，再添加新的虚拟关节，形成新模型结构，对其进行参数估计，并以目标函数值为指标评估其精度。此过程反复迭代，直至获得在期望频带内精度指标满足给定要求的全局动力学模型，为后续控制器设计奠定模型基础。</w:t>
      </w:r>
    </w:p>
    <w:p w14:paraId="121ADB49">
      <w:pPr>
        <w:bidi w:val="0"/>
        <w:rPr>
          <w:b/>
          <w:bCs/>
        </w:rPr>
      </w:pPr>
      <w:r>
        <w:rPr>
          <w:rFonts w:hint="eastAsia"/>
          <w:b/>
          <w:bCs/>
        </w:rPr>
        <w:t>（2）</w:t>
      </w:r>
      <w:r>
        <w:rPr>
          <w:b/>
          <w:bCs/>
        </w:rPr>
        <w:t>高性能工业机器人的广义运动学误差建模与补偿方法研究</w:t>
      </w:r>
    </w:p>
    <w:p w14:paraId="3A6FAD5B">
      <w:pPr>
        <w:bidi w:val="0"/>
      </w:pPr>
      <w:r>
        <w:rPr>
          <w:rFonts w:hint="eastAsia"/>
        </w:rPr>
        <w:t>a</w:t>
      </w:r>
      <w:r>
        <w:t>)广义运动学误差建模方法研究</w:t>
      </w:r>
    </w:p>
    <w:p w14:paraId="1345A85A">
      <w:pPr>
        <w:bidi w:val="0"/>
        <w:ind w:firstLine="560" w:firstLineChars="200"/>
      </w:pPr>
      <w:r>
        <w:t>影响机器人定位精度的因素多种多样，如图</w:t>
      </w:r>
      <w:r>
        <w:rPr>
          <w:rFonts w:hint="eastAsia"/>
          <w:lang w:val="en-US" w:eastAsia="zh-CN"/>
        </w:rPr>
        <w:t>2</w:t>
      </w:r>
      <w:r>
        <w:t>所示，臂杆长度</w:t>
      </w:r>
      <w:r>
        <w:rPr>
          <w:rFonts w:hint="eastAsia"/>
        </w:rPr>
        <w:t>和</w:t>
      </w:r>
      <w:r>
        <w:t>装配</w:t>
      </w:r>
      <w:r>
        <w:rPr>
          <w:rFonts w:hint="eastAsia"/>
        </w:rPr>
        <w:t>误差、</w:t>
      </w:r>
      <w:r>
        <w:t>初始对准偏差及反复校准引入的零位</w:t>
      </w:r>
      <w:r>
        <w:rPr>
          <w:rFonts w:hint="eastAsia"/>
        </w:rPr>
        <w:t>偏移误差</w:t>
      </w:r>
      <w:r>
        <w:t>等几何相关误差是工业机器人定位误差主要来源，但是轴承与谐波齿轮的不均匀性、臂杆弹性变形等也会产生显着的误差。比如，在关节运动过程中，轮齿侧面凹槽引起的微小跳动会导致旋转角度的偏移，形成螺距误差；谐波齿轮的固有扭转挠度引起旋转角度的波动，从而形成谐波传动误差；臂杆在不均匀负载下产生弹性形变，引入面外误差；当旋转方向发生改变时，齿轮间的不精密啮合将产生侧隙误差。这些误差均与关节运动相关，且参数间耦合关系复杂，因此无法获得各类误差与运动状态的解析表达。但各类误差对于机</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9286"/>
      </w:tblGrid>
      <w:tr w14:paraId="10F90770">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c>
          <w:tcPr>
            <w:tcW w:w="9286" w:type="dxa"/>
          </w:tcPr>
          <w:p w14:paraId="39A1A50C">
            <w:pPr>
              <w:bidi w:val="0"/>
              <w:ind w:left="0" w:firstLine="0" w:leftChars="0" w:firstLineChars="0"/>
              <w:rPr>
                <w:rFonts w:eastAsia="宋体" w:hint="eastAsia"/>
                <w:vertAlign w:val="baseline"/>
                <w:lang w:eastAsia="zh-CN"/>
              </w:rPr>
            </w:pPr>
            <w:r>
              <w:rPr>
                <w:rFonts w:eastAsia="宋体" w:hint="eastAsia"/>
                <w:vertAlign w:val="baseline"/>
                <w:lang w:eastAsia="zh-CN"/>
              </w:rPr>
              <w:drawing>
                <wp:inline distT="0" distB="0" distL="114300" distR="114300">
                  <wp:extent cx="5524500" cy="4638675"/>
                  <wp:effectExtent l="0" t="0" r="0" b="9525"/>
                  <wp:docPr id="3"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02578" name="图片 3" descr="图片2"/>
                          <pic:cNvPicPr>
                            <a:picLocks noChangeAspect="1"/>
                          </pic:cNvPicPr>
                        </pic:nvPicPr>
                        <pic:blipFill>
                          <a:blip xmlns:r="http://schemas.openxmlformats.org/officeDocument/2006/relationships" r:embed="rId5"/>
                          <a:stretch>
                            <a:fillRect/>
                          </a:stretch>
                        </pic:blipFill>
                        <pic:spPr>
                          <a:xfrm>
                            <a:off x="0" y="0"/>
                            <a:ext cx="5524500" cy="4638675"/>
                          </a:xfrm>
                          <a:prstGeom prst="rect">
                            <a:avLst/>
                          </a:prstGeom>
                        </pic:spPr>
                      </pic:pic>
                    </a:graphicData>
                  </a:graphic>
                </wp:inline>
              </w:drawing>
            </w:r>
          </w:p>
        </w:tc>
      </w:tr>
      <w:tr w14:paraId="4C97F237">
        <w:tblPrEx>
          <w:tblW w:w="0" w:type="auto"/>
          <w:tblInd w:w="0" w:type="dxa"/>
          <w:tblCellMar>
            <w:top w:w="0" w:type="dxa"/>
            <w:left w:w="108" w:type="dxa"/>
            <w:bottom w:w="0" w:type="dxa"/>
            <w:right w:w="108" w:type="dxa"/>
          </w:tblCellMar>
        </w:tblPrEx>
        <w:tc>
          <w:tcPr>
            <w:tcW w:w="9286" w:type="dxa"/>
          </w:tcPr>
          <w:p w14:paraId="51CC013E">
            <w:pPr>
              <w:bidi w:val="0"/>
              <w:ind w:left="0" w:firstLine="0" w:leftChars="0" w:firstLineChars="0"/>
              <w:jc w:val="center"/>
              <w:rPr>
                <w:vertAlign w:val="baseline"/>
              </w:rPr>
            </w:pPr>
            <w:r>
              <w:rPr>
                <w:rFonts w:ascii="Times New Roman" w:eastAsia="宋体" w:hAnsi="Times New Roman" w:cs="Times New Roman" w:hint="eastAsia"/>
                <w:kern w:val="2"/>
                <w:sz w:val="24"/>
                <w:szCs w:val="24"/>
                <w:lang w:val="en-US" w:eastAsia="zh-CN" w:bidi="ar-SA"/>
              </w:rPr>
              <w:t xml:space="preserve">图 </w:t>
            </w:r>
            <w:r>
              <w:rPr>
                <w:rFonts w:cs="Times New Roman" w:hint="eastAsia"/>
                <w:kern w:val="2"/>
                <w:sz w:val="24"/>
                <w:szCs w:val="24"/>
                <w:lang w:val="en-US" w:eastAsia="zh-CN" w:bidi="ar-SA"/>
              </w:rPr>
              <w:t>2</w:t>
            </w:r>
            <w:r>
              <w:rPr>
                <w:rFonts w:ascii="Times New Roman" w:eastAsia="宋体" w:hAnsi="Times New Roman" w:cs="Times New Roman" w:hint="eastAsia"/>
                <w:kern w:val="2"/>
                <w:sz w:val="24"/>
                <w:szCs w:val="24"/>
                <w:lang w:val="en-US" w:eastAsia="zh-CN" w:bidi="ar-SA"/>
              </w:rPr>
              <w:t xml:space="preserve"> 高性能工业机器人的广义运动学误差建模与补偿方法技术路线</w:t>
            </w:r>
          </w:p>
        </w:tc>
      </w:tr>
    </w:tbl>
    <w:p w14:paraId="362DF7EC">
      <w:pPr>
        <w:bidi w:val="0"/>
        <w:ind w:left="0" w:firstLine="0" w:leftChars="0" w:firstLineChars="0"/>
      </w:pPr>
      <w:r>
        <w:t>器人末端而言可以表征为平动及转动误差的高阶累积，因此本研究拟采用形式精简的多项式拟合方式建立包含该类几何相关误差、关节依赖误差的广义运动学误差模型，其中切比雪夫基函数各阶之间存在明晰的递进依赖关系，能很好表征串联关节间的误差累积特性，特别是其具备的正交性、奇偶性、有界性、完备性等优异特征，在全工作空间海量数据拟合中可以最大限度地</w:t>
      </w:r>
      <w:r>
        <w:rPr>
          <w:rFonts w:hint="eastAsia"/>
        </w:rPr>
        <w:t>避免陷入局部最优或</w:t>
      </w:r>
      <w:r>
        <w:t>出现过拟合现象，获得最佳一致逼近。总之，采用切比雪夫</w:t>
      </w:r>
      <w:r>
        <w:rPr>
          <w:rFonts w:hint="eastAsia"/>
        </w:rPr>
        <w:t>基函数</w:t>
      </w:r>
      <w:r>
        <w:t>的高阶广义运动学误差模型有望为关节依赖误差的补偿提供一种精简且有效的表达形式。</w:t>
      </w:r>
    </w:p>
    <w:p w14:paraId="20069A77">
      <w:pPr>
        <w:bidi w:val="0"/>
      </w:pPr>
      <w:r>
        <w:rPr>
          <w:rFonts w:hint="eastAsia"/>
        </w:rPr>
        <w:t>b</w:t>
      </w:r>
      <w:r>
        <w:t>)广义运动学误差模型参数辨识方法研究</w:t>
      </w:r>
    </w:p>
    <w:p w14:paraId="24AAB076">
      <w:pPr>
        <w:bidi w:val="0"/>
        <w:ind w:firstLine="560" w:firstLineChars="200"/>
      </w:pPr>
      <w:r>
        <w:t>如图</w:t>
      </w:r>
      <w:r>
        <w:rPr>
          <w:rFonts w:hint="eastAsia"/>
          <w:lang w:val="en-US" w:eastAsia="zh-CN"/>
        </w:rPr>
        <w:t>2</w:t>
      </w:r>
      <w:r>
        <w:t>所示，在得到广义运动学误差模型结构的基础上，采用激光跟踪仪对机器人误差模型各参数进行标定。在此过程中，基座坐标系的标称位置与实际位置的偏移会引入基座坐标系误差，反射靶球的制备与装配引起的测量工具误差也会影响测量精度，可将这两类误差归类为测量误差。此外运动学标定中机器人的往复运动中还会产生重复定位误差。因此广义运动学误差模型参数辨识的主要任务是在消除测量误差与重复定位误差干扰的前提下，获得广义运动学误差模型参数的最优估计。误差标定过程中以准随机分布生成测试集与验证集，保证以更小间隙均匀覆盖整个工作空间，使用激光跟踪仪测量每个构型下的末端位姿误差，研究中假设重复定位误差和测量误差均遵循已知的正态分布（实验测得的重复定位精度分布规律及仪器厂商提供的参数），由此建立多次重复测量下重复定位误差及测量误差</w:t>
      </w:r>
      <w:bookmarkStart w:id="70" w:name="bbib0025"/>
      <w:r>
        <w:t>的协方差矩阵</w:t>
      </w:r>
      <w:bookmarkEnd w:id="70"/>
      <w:r>
        <w:t>，最后通过最小化逆协方差加权随机误差获得广义运动</w:t>
      </w:r>
      <w:r>
        <w:rPr>
          <w:rFonts w:hint="eastAsia"/>
        </w:rPr>
        <w:t>学</w:t>
      </w:r>
      <w:r>
        <w:t>误差模型参数的最大似然估计。辨识过程中选取不同阶数的切比雪夫基函数进行验证集测试，由此获得不同阶数的广义运动学误差模型，然后选取平均残余误差最小的误差标定模型作为最终的补偿模型。一旦选定阶数，即可利用切比雪夫基函数递推关系构造插值多项式以逼近误差函数，进而对关节标称运动指令进行补偿修正。</w:t>
      </w:r>
    </w:p>
    <w:p w14:paraId="3D67F00E">
      <w:pPr>
        <w:bidi w:val="0"/>
      </w:pPr>
      <w:r>
        <w:rPr>
          <w:rFonts w:hint="eastAsia"/>
        </w:rPr>
        <w:t>c</w:t>
      </w:r>
      <w:r>
        <w:t>)基于广义运动学误差模型的关节运动指令补偿算法研究</w:t>
      </w:r>
    </w:p>
    <w:p w14:paraId="715CC13C">
      <w:pPr>
        <w:bidi w:val="0"/>
        <w:ind w:firstLine="560" w:firstLineChars="200"/>
      </w:pPr>
      <w:r>
        <w:t>在进行关节运动误差补偿时，基于标称末端位姿指令利用标称逆雅可比矩阵计算得到各关节角运动的标称指令。将此标称指令作为补偿指令的初值，进行循环迭代，将当前步的补偿指令代入辨识获得的广义运动学误差模型并计算正运动学变换矩阵，将其与标称正运动学变换矩阵的逆相乘获得残余误差转换矩阵，提取非对角线元素以获得误差向量，基于标称逆雅可比矩阵计算误差向量的关节补偿指令增量，将此补偿指令增量的二范数与容差比较，如果大于容差则更新补偿指令，并再次循环迭代，直至小于给定容差，即可输出各关节角位移的最终的补偿指令。由于广义运动学模型基于切比雪夫多项式解析表达，因此该迭代过程计算快速，有望满足在线补偿的实时性需求。</w:t>
      </w:r>
    </w:p>
    <w:p w14:paraId="31F7DB1F">
      <w:pPr>
        <w:bidi w:val="0"/>
      </w:pPr>
      <w:r>
        <w:rPr>
          <w:rFonts w:hint="eastAsia"/>
        </w:rPr>
        <w:t>（3）</w:t>
      </w:r>
      <w:r>
        <w:t>基于模型动态逆的高性能工业机器人前馈控制方法研究</w:t>
      </w:r>
    </w:p>
    <w:p w14:paraId="3138222E">
      <w:pPr>
        <w:bidi w:val="0"/>
        <w:ind w:firstLine="560" w:firstLineChars="200"/>
      </w:pPr>
      <w:r>
        <w:rPr>
          <w:rFonts w:hint="eastAsia"/>
        </w:rPr>
        <w:t>全局刚柔</w:t>
      </w:r>
      <w:r>
        <w:t>耦合</w:t>
      </w:r>
      <w:r>
        <w:rPr>
          <w:rFonts w:hint="eastAsia"/>
        </w:rPr>
        <w:t>动力学</w:t>
      </w:r>
      <w:r>
        <w:t>模型由于包含虚拟关节，呈现欠驱动、非线性、非最小相位的特点</w:t>
      </w:r>
      <w:r>
        <w:rPr>
          <w:rFonts w:hint="eastAsia"/>
        </w:rPr>
        <w:t>，</w:t>
      </w:r>
      <w:r>
        <w:t>为此，</w:t>
      </w:r>
      <w:r>
        <w:rPr>
          <w:rFonts w:hint="eastAsia"/>
        </w:rPr>
        <w:t>设计基于期望运动伺服约束的模型动态逆前馈控制，结合干扰观测的自适应积分滑模反馈控制方法，以实现系统的高精度轨迹跟踪控制，控制框图</w:t>
      </w:r>
      <w:r>
        <w:t>如图</w:t>
      </w:r>
      <w:r>
        <w:rPr>
          <w:rFonts w:hint="eastAsia"/>
          <w:lang w:val="en-US" w:eastAsia="zh-CN"/>
        </w:rPr>
        <w:t>3</w:t>
      </w:r>
      <w:r>
        <w:rPr>
          <w:rFonts w:hint="eastAsia"/>
        </w:rPr>
        <w:t>所示。在</w:t>
      </w:r>
      <w:r>
        <w:t>前馈控制器的设计过程中，为获取模型的非线性输入-输出正规型表达，拟采用非线性坐标变换的方式，其中涉及系统输出Lie导数的状态空间表达和符号运算，为此，基于微分几何非线性控制理论，通过微分同胚坐标变换将其转化为包括系列微分器、驱动内部动力学以及几何项的非线性输入输出正规型形式，为前馈控制器的设计奠定分析模型基础。理想情况下，前馈控制逆模型可直接由系统的输入-输出正规型通过微分代数运算得到，但其必须满足内部零动力学稳定的前提条件，即系统的最小相位特性。显而易见，系统内部零动力学的稳定性分析十分复杂，且其不仅与系统的输入输出有关，而且还与系统的几何和质量分布的特性相关，对于工业机器人系统而言，由于需在全工作空间内工作，很难通过优化输入轨迹和运动构型的传统手段以保证系统模型的最小相位特性，因此，必须充分考虑系统非最小相位特性进行模型逆的求解。</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9286"/>
      </w:tblGrid>
      <w:tr w14:paraId="7E5200BA">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c>
          <w:tcPr>
            <w:tcW w:w="9286" w:type="dxa"/>
          </w:tcPr>
          <w:p w14:paraId="13BF1C4D">
            <w:pPr>
              <w:bidi w:val="0"/>
              <w:ind w:left="0" w:firstLine="0" w:leftChars="0" w:firstLineChars="0"/>
              <w:rPr>
                <w:rFonts w:eastAsia="宋体" w:hint="eastAsia"/>
                <w:vertAlign w:val="baseline"/>
                <w:lang w:eastAsia="zh-CN"/>
              </w:rPr>
            </w:pPr>
            <w:r>
              <w:rPr>
                <w:rFonts w:eastAsia="宋体" w:hint="eastAsia"/>
                <w:vertAlign w:val="baseline"/>
                <w:lang w:eastAsia="zh-CN"/>
              </w:rPr>
              <w:drawing>
                <wp:inline distT="0" distB="0" distL="114300" distR="114300">
                  <wp:extent cx="5610225" cy="3162300"/>
                  <wp:effectExtent l="0" t="0" r="9525" b="0"/>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62435" name="图片 4" descr="图片3"/>
                          <pic:cNvPicPr>
                            <a:picLocks noChangeAspect="1"/>
                          </pic:cNvPicPr>
                        </pic:nvPicPr>
                        <pic:blipFill>
                          <a:blip xmlns:r="http://schemas.openxmlformats.org/officeDocument/2006/relationships" r:embed="rId6"/>
                          <a:stretch>
                            <a:fillRect/>
                          </a:stretch>
                        </pic:blipFill>
                        <pic:spPr>
                          <a:xfrm>
                            <a:off x="0" y="0"/>
                            <a:ext cx="5610225" cy="3162300"/>
                          </a:xfrm>
                          <a:prstGeom prst="rect">
                            <a:avLst/>
                          </a:prstGeom>
                        </pic:spPr>
                      </pic:pic>
                    </a:graphicData>
                  </a:graphic>
                </wp:inline>
              </w:drawing>
            </w:r>
          </w:p>
        </w:tc>
      </w:tr>
      <w:tr w14:paraId="316C8021">
        <w:tblPrEx>
          <w:tblW w:w="0" w:type="auto"/>
          <w:tblInd w:w="0" w:type="dxa"/>
          <w:tblCellMar>
            <w:top w:w="0" w:type="dxa"/>
            <w:left w:w="108" w:type="dxa"/>
            <w:bottom w:w="0" w:type="dxa"/>
            <w:right w:w="108" w:type="dxa"/>
          </w:tblCellMar>
        </w:tblPrEx>
        <w:trPr>
          <w:trHeight w:val="374"/>
        </w:trPr>
        <w:tc>
          <w:tcPr>
            <w:tcW w:w="9286" w:type="dxa"/>
          </w:tcPr>
          <w:p w14:paraId="072AA316">
            <w:pPr>
              <w:bidi w:val="0"/>
              <w:ind w:left="0" w:firstLine="0" w:leftChars="0" w:firstLineChars="0"/>
              <w:jc w:val="center"/>
              <w:rPr>
                <w:vertAlign w:val="baseline"/>
              </w:rPr>
            </w:pPr>
            <w:r>
              <w:rPr>
                <w:rFonts w:hint="eastAsia"/>
                <w:sz w:val="24"/>
                <w:szCs w:val="24"/>
                <w:vertAlign w:val="baseline"/>
              </w:rPr>
              <w:t xml:space="preserve">图 </w:t>
            </w:r>
            <w:r>
              <w:rPr>
                <w:rFonts w:hint="eastAsia"/>
                <w:sz w:val="24"/>
                <w:szCs w:val="24"/>
                <w:vertAlign w:val="baseline"/>
                <w:lang w:val="en-US" w:eastAsia="zh-CN"/>
              </w:rPr>
              <w:t>3</w:t>
            </w:r>
            <w:r>
              <w:rPr>
                <w:rFonts w:hint="eastAsia"/>
                <w:sz w:val="24"/>
                <w:szCs w:val="24"/>
                <w:vertAlign w:val="baseline"/>
              </w:rPr>
              <w:t xml:space="preserve"> 基于模型动态逆前馈和自适应滑模反馈的复合分层控制技术路线</w:t>
            </w:r>
          </w:p>
        </w:tc>
      </w:tr>
    </w:tbl>
    <w:p w14:paraId="0B94489D">
      <w:pPr>
        <w:bidi w:val="0"/>
        <w:ind w:firstLine="560" w:firstLineChars="200"/>
      </w:pPr>
      <w:r>
        <w:t>从上述可知，模型逆求解的关键在于驱动内部动力学的动态逆求解，为此，本申请尝试引入期望运动伺服约束的思想，将此类系统的轨迹跟踪问题转化为附加期望运动约束后的微分代数方程组求解问题。但是，为了保证内部动力学动态逆模型有界，不应通过无限扩展输出状态的求导数指标来实现，否则运动轨迹将依赖于预驱动阶段的未来状态，即动态逆的求解是非因果的。期望轨迹运动的起止点必然是系统稳定或者渐近收敛的平衡点，为此，不失一般性，将内部动力学动态逆的求解转化为双边边值问题的求解，其中边界条件的解析表达由上述平衡点输入-输出正规型的局部线性化得到。在此基础上，可采用有限差分的边界值求解方法进行双边边值问题的数值求解，以获得有界稳定的动态逆模型。最后，基于微分同胚坐标变换和期望运动伺服约束完成全局动力学模型逆的前馈控制器设计，以实现对系统全局动力学模型的精准跟随和轨迹跟踪的高动态响应。</w:t>
      </w:r>
    </w:p>
    <w:p w14:paraId="55093DE2">
      <w:pPr>
        <w:bidi w:val="0"/>
      </w:pPr>
      <w:r>
        <w:rPr>
          <w:rFonts w:hint="eastAsia"/>
        </w:rPr>
        <w:t>（4）</w:t>
      </w:r>
      <w:r>
        <w:t>高性能工业机器人的自适应滑模反馈控制方法研究</w:t>
      </w:r>
    </w:p>
    <w:p w14:paraId="1D4E9D3B">
      <w:pPr>
        <w:bidi w:val="0"/>
        <w:ind w:firstLine="560" w:firstLineChars="200"/>
      </w:pPr>
      <w:r>
        <w:t>自适应滑模反馈控制器的设计方法是建立在系统动力学模型基础上，为此，在全局动力学模型的基础上考虑未知时变扰动及未建模动态项的影响，并充分利用机器人模型中惯性系数矩阵正定、系统的状态和信号一致有界的特性，通过局部线性化、线性变换、Schur分解等一系列数学运算，将欠驱动非线性全局动力学方程转化成级联形式，以便于控制器的设计。众所周知，滑模控制器具有很强的鲁棒性，但滑模控制器的设计过程需要系统扰动上界的先验知识，在实际应用中，对扰动上界的估计通常是非常保守的，有时候甚至难以估计扰动的上界，因此为了保证系统的鲁棒性通常只能设置较大的切换增益，但这种方法极易导致控制器输入的抖振加大。</w:t>
      </w:r>
    </w:p>
    <w:p w14:paraId="76A3DB28">
      <w:pPr>
        <w:bidi w:val="0"/>
      </w:pPr>
      <w:r>
        <w:t>为避免对系统扰动估计过于保守带来的控制器输入抖振问题，将机器人驱动关节和传动装置的润滑、磨损、轴承预紧力等</w:t>
      </w:r>
      <w:r>
        <w:rPr>
          <w:rFonts w:hint="eastAsia"/>
        </w:rPr>
        <w:t>引起</w:t>
      </w:r>
      <w:r>
        <w:t>的复杂非线性摩擦和模型参数摄动等作为等效扰动的一部分，并考虑高阶振动模态、非线性摩擦等其它未建模动态和非参数不确定性的影响，设计集成干扰观测器的模型跟随自适应滑模控制器。滑模控制器的设计不仅要满足驱动关节状态</w:t>
      </w:r>
      <w:r>
        <w:rPr>
          <w:rFonts w:hint="eastAsia"/>
        </w:rPr>
        <w:t>满足</w:t>
      </w:r>
      <w:r>
        <w:t>滑模条件，还要满足虚拟关节状态能够稳定在滑模面上，为此须将不同类型的状态变量统一表达于一个滑模流形上，拟采用超螺旋算法设计有限积分型滑模流形，使得系统状态处于该流形面上时将渐近收敛于闭环控制系统的平衡点，保证闭环系统信号的有界性和收敛性。其中积分函数可考虑选择适当的有界饱和函数，且其上确界与系统状态无关，以避免抖振并方便反馈控制增益的选择。</w:t>
      </w:r>
    </w:p>
    <w:p w14:paraId="5FE20946">
      <w:pPr>
        <w:bidi w:val="0"/>
        <w:ind w:firstLine="560" w:firstLineChars="200"/>
      </w:pPr>
      <w:r>
        <w:t>滑模控制器的参数将通过基于干扰观测器对等效扰动的实时估计进行自适应调节。这方面的初步研究表明，干扰的观测和镇定控制是可以分离的，这时可利用一致</w:t>
      </w:r>
      <w:r>
        <w:rPr>
          <w:rFonts w:hint="eastAsia"/>
        </w:rPr>
        <w:t>最终</w:t>
      </w:r>
      <w:r>
        <w:t>有界性理论来研究干扰抵消和反馈控制的稳定性，构造包含扰动观测和控制参数组合的李亚普诺夫函数，基于稳定性理论将相关结果表达成矩阵不等式形式进行求解，设计适应未知扰动和未建模动态变化的参数自调节机制。基于干扰观测器的模型跟随自适应滑模控制策略有望避免保守性设计并保证系统的鲁棒稳定。模型跟随自适应滑模反馈结合模型动态逆前馈的复合分层控制结构有望实现对全局动力学模型的精准跟随和机器人系统的高精度运动控制。</w:t>
      </w:r>
    </w:p>
    <w:p w14:paraId="335A59D4">
      <w:pPr>
        <w:bidi w:val="0"/>
      </w:pPr>
      <w:r>
        <w:rPr>
          <w:rFonts w:hint="eastAsia"/>
        </w:rPr>
        <w:t>（5）</w:t>
      </w:r>
      <w:r>
        <w:t>理论方法的仿真与实验验证</w:t>
      </w:r>
    </w:p>
    <w:p w14:paraId="2032CE33">
      <w:pPr>
        <w:bidi w:val="0"/>
        <w:ind w:firstLine="560" w:firstLineChars="200"/>
      </w:pPr>
      <w:r>
        <w:t>基于ADAMS和SCILAB构建模拟高性能工业机器人的可开放、可重用、可共享的控制关键技术仿真实验平台：建立与工业机器人对应的刚体系统，在此基础上添加驱动柔性关节和虚拟关节</w:t>
      </w:r>
      <w:r>
        <w:rPr>
          <w:rFonts w:hint="eastAsia"/>
        </w:rPr>
        <w:t>，并在</w:t>
      </w:r>
      <w:r>
        <w:t>模型中</w:t>
      </w:r>
      <w:r>
        <w:rPr>
          <w:rFonts w:hint="eastAsia"/>
        </w:rPr>
        <w:t>考虑</w:t>
      </w:r>
      <w:r>
        <w:t>各类运动学误差及非线性扰动等</w:t>
      </w:r>
      <w:r>
        <w:rPr>
          <w:rFonts w:hint="eastAsia"/>
        </w:rPr>
        <w:t>因素影响</w:t>
      </w:r>
      <w:r>
        <w:t>。随后使用扩展虚拟柔性关节动力学建模方法对</w:t>
      </w:r>
      <w:r>
        <w:rPr>
          <w:rFonts w:hint="eastAsia"/>
        </w:rPr>
        <w:t>仿真实验</w:t>
      </w:r>
      <w:r>
        <w:t>平台</w:t>
      </w:r>
      <w:r>
        <w:rPr>
          <w:rFonts w:hint="eastAsia"/>
        </w:rPr>
        <w:t>中</w:t>
      </w:r>
      <w:r>
        <w:t>机器人进行建模和参数估计，通过对比平台中设定的真实参数值与参数估计结果，改进建模和参数估计方法。此外，建立高阶的广义运动学误差模型，并基于仿真实验平台得到辨识后的广义运动学误差模型。在上述动力学建模和误差标定的基础上，选取代表性的多条末端操作器运动轨迹，进行不同负载情况下的控制算法仿真。通过观察关节角轨迹与末端运动轨迹的跟踪效果，来改进并验证所提出运动学误差建模与补偿以及控制算法的有效性。</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
      <w:tblGrid>
        <w:gridCol w:w="9286"/>
      </w:tblGrid>
      <w:tr w14:paraId="4740F20E">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bottom w:w="0" w:type="dxa"/>
            <w:right w:w="108" w:type="dxa"/>
          </w:tblCellMar>
        </w:tblPrEx>
        <w:tc>
          <w:tcPr>
            <w:tcW w:w="9286" w:type="dxa"/>
          </w:tcPr>
          <w:p w14:paraId="72A73767">
            <w:pPr>
              <w:bidi w:val="0"/>
              <w:ind w:left="0" w:firstLine="0" w:leftChars="0" w:firstLineChars="0"/>
              <w:jc w:val="center"/>
              <w:rPr>
                <w:rFonts w:eastAsia="宋体" w:hint="eastAsia"/>
                <w:vertAlign w:val="baseline"/>
                <w:lang w:eastAsia="zh-CN"/>
              </w:rPr>
            </w:pPr>
            <w:r>
              <w:rPr>
                <w:rFonts w:eastAsia="宋体" w:hint="eastAsia"/>
                <w:vertAlign w:val="baseline"/>
                <w:lang w:eastAsia="zh-CN"/>
              </w:rPr>
              <w:drawing>
                <wp:inline distT="0" distB="0" distL="114300" distR="114300">
                  <wp:extent cx="5257800" cy="3476625"/>
                  <wp:effectExtent l="0" t="0" r="0" b="9525"/>
                  <wp:docPr id="5" name="图片 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54209" name="图片 5" descr="图片4"/>
                          <pic:cNvPicPr>
                            <a:picLocks noChangeAspect="1"/>
                          </pic:cNvPicPr>
                        </pic:nvPicPr>
                        <pic:blipFill>
                          <a:blip xmlns:r="http://schemas.openxmlformats.org/officeDocument/2006/relationships" r:embed="rId7"/>
                          <a:stretch>
                            <a:fillRect/>
                          </a:stretch>
                        </pic:blipFill>
                        <pic:spPr>
                          <a:xfrm>
                            <a:off x="0" y="0"/>
                            <a:ext cx="5257800" cy="3476625"/>
                          </a:xfrm>
                          <a:prstGeom prst="rect">
                            <a:avLst/>
                          </a:prstGeom>
                        </pic:spPr>
                      </pic:pic>
                    </a:graphicData>
                  </a:graphic>
                </wp:inline>
              </w:drawing>
            </w:r>
          </w:p>
        </w:tc>
      </w:tr>
      <w:tr w14:paraId="285349D2">
        <w:tblPrEx>
          <w:tblW w:w="0" w:type="auto"/>
          <w:tblInd w:w="0" w:type="dxa"/>
          <w:tblCellMar>
            <w:top w:w="0" w:type="dxa"/>
            <w:left w:w="108" w:type="dxa"/>
            <w:bottom w:w="0" w:type="dxa"/>
            <w:right w:w="108" w:type="dxa"/>
          </w:tblCellMar>
        </w:tblPrEx>
        <w:trPr>
          <w:trHeight w:val="337"/>
        </w:trPr>
        <w:tc>
          <w:tcPr>
            <w:tcW w:w="9286" w:type="dxa"/>
          </w:tcPr>
          <w:p w14:paraId="6963F9C7">
            <w:pPr>
              <w:bidi w:val="0"/>
              <w:jc w:val="center"/>
              <w:rPr>
                <w:rFonts w:hint="eastAsia"/>
                <w:vertAlign w:val="baseline"/>
              </w:rPr>
            </w:pPr>
            <w:r>
              <w:rPr>
                <w:rFonts w:hint="eastAsia"/>
                <w:sz w:val="24"/>
                <w:szCs w:val="24"/>
                <w:vertAlign w:val="baseline"/>
              </w:rPr>
              <w:t xml:space="preserve">图 </w:t>
            </w:r>
            <w:r>
              <w:rPr>
                <w:rFonts w:hint="eastAsia"/>
                <w:sz w:val="24"/>
                <w:szCs w:val="24"/>
                <w:vertAlign w:val="baseline"/>
                <w:lang w:val="en-US" w:eastAsia="zh-CN"/>
              </w:rPr>
              <w:t>4</w:t>
            </w:r>
            <w:r>
              <w:rPr>
                <w:rFonts w:hint="eastAsia"/>
                <w:sz w:val="24"/>
                <w:szCs w:val="24"/>
                <w:vertAlign w:val="baseline"/>
              </w:rPr>
              <w:t xml:space="preserve"> 高性能工业机器人控制关键技术实验验证</w:t>
            </w:r>
          </w:p>
        </w:tc>
      </w:tr>
    </w:tbl>
    <w:p w14:paraId="6CE84B62">
      <w:pPr>
        <w:bidi w:val="0"/>
      </w:pPr>
      <w:r>
        <w:rPr>
          <w:rFonts w:hint="eastAsia"/>
        </w:rPr>
        <w:t>在</w:t>
      </w:r>
      <w:r>
        <w:t>上述仿真实验的基础上，搭建高性能工业机器人控制关键技术实验验证平台，如图</w:t>
      </w:r>
      <w:r>
        <w:rPr>
          <w:rFonts w:hint="eastAsia"/>
          <w:lang w:val="en-US" w:eastAsia="zh-CN"/>
        </w:rPr>
        <w:t>4</w:t>
      </w:r>
      <w:r>
        <w:t>所示</w:t>
      </w:r>
      <w:r>
        <w:rPr>
          <w:rFonts w:hint="eastAsia"/>
        </w:rPr>
        <w:t>。</w:t>
      </w:r>
      <w:r>
        <w:t>对实验室现有的KUKA机器人</w:t>
      </w:r>
      <w:r>
        <w:rPr>
          <w:rFonts w:hint="eastAsia"/>
        </w:rPr>
        <w:t>和</w:t>
      </w:r>
      <w:r>
        <w:t>SCARA机器人进行改装，</w:t>
      </w:r>
      <w:r>
        <w:rPr>
          <w:rFonts w:hint="eastAsia"/>
        </w:rPr>
        <w:t>分别</w:t>
      </w:r>
      <w:r>
        <w:t>模拟高速重载</w:t>
      </w:r>
      <w:r>
        <w:rPr>
          <w:rFonts w:hint="eastAsia"/>
        </w:rPr>
        <w:t>和</w:t>
      </w:r>
      <w:r>
        <w:t>高速高精度极限工况。移除原有机器人控制器，在机器人原有驱动器基础上集成</w:t>
      </w:r>
      <w:r>
        <w:rPr>
          <w:rFonts w:hint="eastAsia"/>
          <w:lang w:val="en-US" w:eastAsia="zh-CN"/>
        </w:rPr>
        <w:t>D</w:t>
      </w:r>
      <w:r>
        <w:t>S</w:t>
      </w:r>
      <w:r>
        <w:rPr>
          <w:rFonts w:hint="eastAsia"/>
          <w:lang w:val="en-US" w:eastAsia="zh-CN"/>
        </w:rPr>
        <w:t>pace</w:t>
      </w:r>
      <w:r>
        <w:rPr>
          <w:rFonts w:hint="eastAsia"/>
        </w:rPr>
        <w:t>开放控制器</w:t>
      </w:r>
      <w:r>
        <w:t>，实现和MATLAB/Simulink的完全无缝链接，对前述分层复合结构的控制算法进行工业机器人运动控制原型验证和硬件在回路实时</w:t>
      </w:r>
      <w:r>
        <w:rPr>
          <w:rFonts w:hint="eastAsia"/>
        </w:rPr>
        <w:t>控制</w:t>
      </w:r>
      <w:r>
        <w:t>。在机器人末端固联靶球并用激光跟踪仪进行机器人末端位姿测量，各关节角位置可通过</w:t>
      </w:r>
      <w:r>
        <w:rPr>
          <w:rFonts w:hint="eastAsia"/>
        </w:rPr>
        <w:t>dSPACE开放</w:t>
      </w:r>
      <w:r>
        <w:t>控制器获得。以系统的动态跟踪误差、稳定时间及稳态误差作为评价标准，进行系统性能分析，进一步优化所设计控制器的结构与参数。最后，依据标准ISO 9283:1998和GB/T 12642-2013，采用单激光干涉仪法进行末端位姿检测，在100%额定速度和100%额定负载工况下，选取工作空间多个位姿点循环多次测试，对控制系统性能进行全面</w:t>
      </w:r>
      <w:r>
        <w:rPr>
          <w:rFonts w:hint="eastAsia"/>
        </w:rPr>
        <w:t>评估</w:t>
      </w:r>
      <w:r>
        <w:t>，以充分</w:t>
      </w:r>
      <w:r>
        <w:rPr>
          <w:rFonts w:hint="eastAsia"/>
        </w:rPr>
        <w:t>检验</w:t>
      </w:r>
      <w:r>
        <w:t>所提出方法</w:t>
      </w:r>
      <w:r>
        <w:rPr>
          <w:rFonts w:hint="eastAsia"/>
        </w:rPr>
        <w:t>应用于</w:t>
      </w:r>
      <w:r>
        <w:t>高性能工业机器人</w:t>
      </w:r>
      <w:r>
        <w:rPr>
          <w:rFonts w:hint="eastAsia"/>
        </w:rPr>
        <w:t>的</w:t>
      </w:r>
      <w:r>
        <w:t>控制精度与长期稳定性。</w:t>
      </w:r>
    </w:p>
    <w:p w14:paraId="03F1D5AE">
      <w:pPr>
        <w:wordWrap w:val="0"/>
        <w:spacing w:line="440" w:lineRule="exact"/>
        <w:rPr>
          <w:rFonts w:ascii="楷体" w:eastAsia="楷体" w:hAnsi="楷体" w:cs="楷体" w:hint="eastAsia"/>
        </w:rPr>
      </w:pPr>
    </w:p>
    <w:p w14:paraId="68B8F16E">
      <w:pPr>
        <w:wordWrap w:val="0"/>
        <w:snapToGrid w:val="0"/>
        <w:spacing w:line="440" w:lineRule="exact"/>
        <w:ind w:firstLine="560" w:firstLineChars="200"/>
        <w:rPr>
          <w:rFonts w:ascii="楷体" w:eastAsia="楷体" w:hAnsi="楷体" w:cs="楷体"/>
        </w:rPr>
      </w:pPr>
      <w:r>
        <w:rPr>
          <w:rFonts w:ascii="楷体" w:eastAsia="楷体" w:hAnsi="楷体" w:cs="楷体" w:hint="eastAsia"/>
        </w:rPr>
        <w:t>2.年度计划安排（包括拟组织的重要学术交流活动、国际合作与交流计划等）</w:t>
      </w:r>
    </w:p>
    <w:p w14:paraId="74C0AFE5">
      <w:pPr>
        <w:keepNext w:val="0"/>
        <w:keepLines w:val="0"/>
        <w:widowControl/>
        <w:suppressLineNumbers w:val="0"/>
        <w:jc w:val="left"/>
        <w:rPr>
          <w:sz w:val="28"/>
          <w:szCs w:val="28"/>
        </w:rPr>
      </w:pPr>
      <w:r>
        <w:rPr>
          <w:rFonts w:ascii="宋体" w:eastAsia="宋体" w:hAnsi="宋体" w:cs="宋体" w:hint="eastAsia"/>
          <w:color w:val="000000"/>
          <w:kern w:val="0"/>
          <w:sz w:val="28"/>
          <w:szCs w:val="28"/>
          <w:lang w:val="en-US" w:eastAsia="zh-CN" w:bidi="ar"/>
        </w:rPr>
        <w:t xml:space="preserve">2023.01-2023.12 </w:t>
      </w:r>
    </w:p>
    <w:p w14:paraId="22F70F4B">
      <w:pPr>
        <w:keepNext w:val="0"/>
        <w:keepLines w:val="0"/>
        <w:widowControl/>
        <w:suppressLineNumbers w:val="0"/>
        <w:ind w:firstLine="560" w:firstLineChars="200"/>
        <w:jc w:val="left"/>
        <w:rPr>
          <w:sz w:val="28"/>
          <w:szCs w:val="28"/>
        </w:rPr>
      </w:pPr>
      <w:r>
        <w:rPr>
          <w:rFonts w:ascii="宋体" w:eastAsia="宋体" w:hAnsi="宋体" w:cs="宋体" w:hint="eastAsia"/>
          <w:color w:val="000000"/>
          <w:kern w:val="0"/>
          <w:sz w:val="28"/>
          <w:szCs w:val="28"/>
          <w:lang w:val="en-US" w:eastAsia="zh-CN" w:bidi="ar"/>
        </w:rPr>
        <w:t xml:space="preserve">基于扩展虚拟柔性关节模型对机器人进行动力学建模，获得充分考虑各类刚柔耦合影响的机器人非线性灰箱模型，设计合理的参数估计实验，结合频域灰箱辨识算法对模型参数进行估计，在此过程中改进动力学建模和参数估计方法。撰写相关论文和专利，参加国际学术交流活动。 </w:t>
      </w:r>
    </w:p>
    <w:p w14:paraId="28D7E90D">
      <w:pPr>
        <w:keepNext w:val="0"/>
        <w:keepLines w:val="0"/>
        <w:widowControl/>
        <w:suppressLineNumbers w:val="0"/>
        <w:jc w:val="left"/>
        <w:rPr>
          <w:sz w:val="28"/>
          <w:szCs w:val="28"/>
        </w:rPr>
      </w:pPr>
      <w:r>
        <w:rPr>
          <w:rFonts w:ascii="宋体" w:eastAsia="宋体" w:hAnsi="宋体" w:cs="宋体" w:hint="eastAsia"/>
          <w:color w:val="000000"/>
          <w:kern w:val="0"/>
          <w:sz w:val="28"/>
          <w:szCs w:val="28"/>
          <w:lang w:val="en-US" w:eastAsia="zh-CN" w:bidi="ar"/>
        </w:rPr>
        <w:t xml:space="preserve">2024.01-2024.12 </w:t>
      </w:r>
    </w:p>
    <w:p w14:paraId="664A49BB">
      <w:pPr>
        <w:keepNext w:val="0"/>
        <w:keepLines w:val="0"/>
        <w:widowControl/>
        <w:suppressLineNumbers w:val="0"/>
        <w:ind w:firstLine="560" w:firstLineChars="200"/>
        <w:jc w:val="left"/>
        <w:rPr>
          <w:sz w:val="28"/>
          <w:szCs w:val="28"/>
        </w:rPr>
      </w:pPr>
      <w:r>
        <w:rPr>
          <w:rFonts w:ascii="宋体" w:eastAsia="宋体" w:hAnsi="宋体" w:cs="宋体" w:hint="eastAsia"/>
          <w:color w:val="000000"/>
          <w:kern w:val="0"/>
          <w:sz w:val="28"/>
          <w:szCs w:val="28"/>
          <w:lang w:val="en-US" w:eastAsia="zh-CN" w:bidi="ar"/>
        </w:rPr>
        <w:t xml:space="preserve">深入分析各类几何和关节依赖误差机理，建立广义运动学误差模型，并研究切比雪夫函数阶数对最佳一致逼近估计结果的影响，改进模型参数辨识方法。基于微分同胚坐标变换和期望运动伺服约束完成全局动力学模型逆的前馈控制器设计。撰写相关论文和专利，参加国际学术交流活动。 </w:t>
      </w:r>
    </w:p>
    <w:p w14:paraId="4EAA41F4">
      <w:pPr>
        <w:keepNext w:val="0"/>
        <w:keepLines w:val="0"/>
        <w:widowControl/>
        <w:suppressLineNumbers w:val="0"/>
        <w:ind w:firstLine="560" w:firstLineChars="200"/>
        <w:jc w:val="left"/>
        <w:rPr>
          <w:sz w:val="28"/>
          <w:szCs w:val="28"/>
        </w:rPr>
      </w:pPr>
      <w:r>
        <w:rPr>
          <w:rFonts w:ascii="宋体" w:eastAsia="宋体" w:hAnsi="宋体" w:cs="宋体" w:hint="eastAsia"/>
          <w:color w:val="000000"/>
          <w:kern w:val="0"/>
          <w:sz w:val="28"/>
          <w:szCs w:val="28"/>
          <w:lang w:val="en-US" w:eastAsia="zh-CN" w:bidi="ar"/>
        </w:rPr>
        <w:t xml:space="preserve">基于干扰观测器的模型跟随自适应滑模控制测量进行反馈控制器设计，选取最具代表性的多条末端操作器运动轨迹，进行不同实际负载情况下的控制算法仿真，改进控制算法。撰写相关论文和专利，参加国际学术交流活动。 </w:t>
      </w:r>
    </w:p>
    <w:p w14:paraId="4BBC7242">
      <w:pPr>
        <w:keepNext w:val="0"/>
        <w:keepLines w:val="0"/>
        <w:widowControl/>
        <w:suppressLineNumbers w:val="0"/>
        <w:jc w:val="left"/>
        <w:rPr>
          <w:sz w:val="28"/>
          <w:szCs w:val="28"/>
        </w:rPr>
      </w:pPr>
      <w:r>
        <w:rPr>
          <w:rFonts w:ascii="宋体" w:eastAsia="宋体" w:hAnsi="宋体" w:cs="宋体" w:hint="eastAsia"/>
          <w:color w:val="000000"/>
          <w:kern w:val="0"/>
          <w:sz w:val="28"/>
          <w:szCs w:val="28"/>
          <w:lang w:val="en-US" w:eastAsia="zh-CN" w:bidi="ar"/>
        </w:rPr>
        <w:t xml:space="preserve">2025.01-2025.12 </w:t>
      </w:r>
    </w:p>
    <w:p w14:paraId="386F646D">
      <w:pPr>
        <w:keepNext w:val="0"/>
        <w:keepLines w:val="0"/>
        <w:widowControl/>
        <w:suppressLineNumbers w:val="0"/>
        <w:ind w:firstLine="560" w:firstLineChars="200"/>
        <w:jc w:val="left"/>
        <w:rPr>
          <w:sz w:val="28"/>
          <w:szCs w:val="28"/>
        </w:rPr>
      </w:pPr>
      <w:r>
        <w:rPr>
          <w:rFonts w:ascii="宋体" w:eastAsia="宋体" w:hAnsi="宋体" w:cs="宋体" w:hint="eastAsia"/>
          <w:color w:val="000000"/>
          <w:kern w:val="0"/>
          <w:sz w:val="28"/>
          <w:szCs w:val="28"/>
          <w:lang w:val="en-US" w:eastAsia="zh-CN" w:bidi="ar"/>
        </w:rPr>
        <w:t xml:space="preserve">搭建高性能工业机器人控制关键技术实验验证平台，在此基础上进行动力学建模与运动学误差标定，并运用前述控制算法进行硬件在回路实时控制。对实验结果进行分析，并对动力学建模、运动学误差补偿以及前馈和反馈控制方法进行改进，以进一步提高对实际机器人的控制性能。依据国家标准对机器人性能进行测试，评估相关控制性能指标，充分验证所提出方法的有效性。 </w:t>
      </w:r>
    </w:p>
    <w:p w14:paraId="1DFD4CF4">
      <w:pPr>
        <w:wordWrap w:val="0"/>
        <w:snapToGrid w:val="0"/>
        <w:spacing w:line="440" w:lineRule="exact"/>
        <w:ind w:firstLine="560" w:firstLineChars="200"/>
        <w:rPr>
          <w:rFonts w:ascii="楷体" w:eastAsia="楷体" w:hAnsi="楷体" w:cs="楷体"/>
        </w:rPr>
      </w:pPr>
    </w:p>
    <w:p w14:paraId="4AD8221F">
      <w:pPr>
        <w:wordWrap w:val="0"/>
        <w:spacing w:line="440" w:lineRule="exact"/>
        <w:ind w:firstLine="560" w:firstLineChars="200"/>
        <w:outlineLvl w:val="0"/>
        <w:rPr>
          <w:rFonts w:ascii="楷体" w:eastAsia="楷体" w:hAnsi="楷体" w:cs="楷体"/>
          <w:b/>
        </w:rPr>
      </w:pPr>
      <w:r>
        <w:rPr>
          <w:rFonts w:ascii="楷体" w:eastAsia="楷体" w:hAnsi="楷体" w:cs="楷体" w:hint="eastAsia"/>
          <w:b/>
        </w:rPr>
        <w:t>四、研究基础与工作条件</w:t>
      </w:r>
    </w:p>
    <w:p w14:paraId="429C48D1">
      <w:pPr>
        <w:wordWrap w:val="0"/>
        <w:spacing w:line="440" w:lineRule="exact"/>
        <w:ind w:firstLine="560" w:firstLineChars="200"/>
        <w:rPr>
          <w:rFonts w:ascii="楷体" w:eastAsia="楷体" w:hAnsi="楷体" w:cs="楷体"/>
        </w:rPr>
      </w:pPr>
      <w:r>
        <w:rPr>
          <w:rFonts w:ascii="楷体" w:eastAsia="楷体" w:hAnsi="楷体" w:cs="楷体" w:hint="eastAsia"/>
        </w:rPr>
        <w:t>1.研究基础（与本项目相关的研究工作积累和已取得的研究工作成绩）</w:t>
      </w:r>
    </w:p>
    <w:p w14:paraId="345EDD96">
      <w:pPr>
        <w:bidi w:val="0"/>
      </w:pPr>
      <w:r>
        <w:rPr>
          <w:rFonts w:hint="eastAsia"/>
          <w:lang w:val="en-US" w:eastAsia="zh-CN"/>
        </w:rPr>
        <w:t xml:space="preserve">(1)用局部指数积建立了机器人的运动学模型，避免了传统DH模型的模型不连续性。对运动学误差和高阶关节相关运动学误差都进行了分析，以修改模型。选择 Laguerre多项式来拟合运动学误差和高阶关节依赖运动学误差，这可以在很大程度上减少Runge现象的可能性。Levenberg-Marquard 算法对过度参数化不敏感，并能有效处理冗余参数，该算法被用于快速校准修改后的模型。 </w:t>
      </w:r>
    </w:p>
    <w:p w14:paraId="5FC5B4A9">
      <w:pPr>
        <w:bidi w:val="0"/>
      </w:pPr>
      <w:r>
        <w:rPr>
          <w:rFonts w:hint="eastAsia"/>
          <w:lang w:val="en-US" w:eastAsia="zh-CN"/>
        </w:rPr>
        <w:t xml:space="preserve">(2)在EFORT ER50-2100机器人上进行了实验，验证了所提方法的效率--与切比雪夫多项式校准方法相比，定位精度从0.2301毫米提高到0.2224毫米。结果表明，所提出的校准方法在工业系列机器人上实现了绝对定位精度的大幅提高。 </w:t>
      </w:r>
    </w:p>
    <w:p w14:paraId="784FC56B">
      <w:pPr>
        <w:bidi w:val="0"/>
        <w:rPr>
          <w:rFonts w:hint="default"/>
          <w:lang w:val="en-US" w:eastAsia="zh-CN"/>
        </w:rPr>
      </w:pPr>
      <w:r>
        <w:rPr>
          <w:rFonts w:hint="eastAsia"/>
          <w:lang w:val="en-US" w:eastAsia="zh-CN"/>
        </w:rPr>
        <w:t>(3)发表的相关论文</w:t>
      </w:r>
    </w:p>
    <w:p w14:paraId="51D16DB9">
      <w:pPr>
        <w:bidi w:val="0"/>
        <w:rPr>
          <w:rFonts w:hint="eastAsia"/>
          <w:lang w:val="en-US" w:eastAsia="zh-CN"/>
        </w:rPr>
      </w:pPr>
      <w:r>
        <w:rPr>
          <w:rFonts w:hint="eastAsia"/>
          <w:lang w:val="en-US" w:eastAsia="zh-CN"/>
        </w:rPr>
        <w:t>[1]</w:t>
      </w:r>
      <w:r>
        <w:rPr>
          <w:rFonts w:hint="eastAsia"/>
          <w:b/>
          <w:bCs/>
          <w:lang w:val="en-US" w:eastAsia="zh-CN"/>
        </w:rPr>
        <w:t>张玉洁,</w:t>
      </w:r>
      <w:r>
        <w:rPr>
          <w:rFonts w:hint="eastAsia"/>
          <w:lang w:val="en-US" w:eastAsia="zh-CN"/>
        </w:rPr>
        <w:t xml:space="preserve"> Cui J. Modeling and calibration of high-order joint-dependent kinematic errors of serial robot based on local POE.Industrial Robot.2023,PP(47):89-92.(SCI 检索) </w:t>
      </w:r>
    </w:p>
    <w:p w14:paraId="1A43280E">
      <w:pPr>
        <w:bidi w:val="0"/>
      </w:pPr>
      <w:r>
        <w:rPr>
          <w:rFonts w:hint="eastAsia"/>
          <w:lang w:val="en-US" w:eastAsia="zh-CN"/>
        </w:rPr>
        <w:t>[2]</w:t>
      </w:r>
      <w:r>
        <w:t>Xie Y, Chen JX, Xu X,</w:t>
      </w:r>
      <w:r>
        <w:rPr>
          <w:b/>
          <w:bCs/>
        </w:rPr>
        <w:t xml:space="preserve"> </w:t>
      </w:r>
      <w:r>
        <w:rPr>
          <w:rFonts w:hint="eastAsia"/>
          <w:b/>
          <w:bCs/>
          <w:lang w:val="en-US" w:eastAsia="zh-CN"/>
        </w:rPr>
        <w:t>张玉洁</w:t>
      </w:r>
      <w:r>
        <w:rPr>
          <w:rStyle w:val="Strong"/>
          <w:rFonts w:ascii="微软雅黑" w:eastAsia="微软雅黑" w:hAnsi="微软雅黑" w:cs="微软雅黑"/>
          <w:b/>
          <w:bCs/>
          <w:i w:val="0"/>
          <w:iCs w:val="0"/>
          <w:caps w:val="0"/>
          <w:color w:val="414141"/>
          <w:spacing w:val="0"/>
          <w:sz w:val="22"/>
          <w:szCs w:val="22"/>
          <w:shd w:val="clear" w:color="auto" w:fill="FFFFFF"/>
        </w:rPr>
        <w:t>*</w:t>
      </w:r>
      <w:r>
        <w:t>, Chen QZ. Efficient fabrication method for non-periodic microstructures using one-step two-photon lithography and a metal liftoff process[J]. Applied Optics, 2023, 62(5): 1221-1229.</w:t>
      </w:r>
      <w:r>
        <w:rPr>
          <w:rFonts w:hint="eastAsia"/>
          <w:lang w:val="en-US" w:eastAsia="zh-CN"/>
        </w:rPr>
        <w:t xml:space="preserve">(SCI 检索) </w:t>
      </w:r>
    </w:p>
    <w:p w14:paraId="09C8D915">
      <w:pPr>
        <w:bidi w:val="0"/>
      </w:pPr>
      <w:r>
        <w:rPr>
          <w:rFonts w:hint="eastAsia"/>
          <w:lang w:val="en-US" w:eastAsia="zh-CN"/>
        </w:rPr>
        <w:t>[3]Sun HH,</w:t>
      </w:r>
      <w:r>
        <w:rPr>
          <w:rFonts w:hint="eastAsia"/>
          <w:b/>
          <w:bCs/>
          <w:lang w:val="en-US" w:eastAsia="zh-CN"/>
        </w:rPr>
        <w:t xml:space="preserve"> 张玉洁</w:t>
      </w:r>
      <w:r>
        <w:rPr>
          <w:rStyle w:val="Strong"/>
          <w:rFonts w:ascii="微软雅黑" w:eastAsia="微软雅黑" w:hAnsi="微软雅黑" w:cs="微软雅黑"/>
          <w:b/>
          <w:bCs/>
          <w:i w:val="0"/>
          <w:iCs w:val="0"/>
          <w:caps w:val="0"/>
          <w:color w:val="414141"/>
          <w:spacing w:val="0"/>
          <w:sz w:val="22"/>
          <w:szCs w:val="22"/>
          <w:shd w:val="clear" w:color="auto" w:fill="FFFFFF"/>
        </w:rPr>
        <w:t>*</w:t>
      </w:r>
      <w:r>
        <w:rPr>
          <w:rFonts w:hint="eastAsia"/>
          <w:lang w:val="en-US" w:eastAsia="zh-CN"/>
        </w:rPr>
        <w:t xml:space="preserve">. Dynamic Modeling and Error Analysis of a Cable-Linkage Serial-Parallel Palletizing Robot[J]. IEEE Access,2020, PP(99):43-56.(SCI 检索) </w:t>
      </w:r>
    </w:p>
    <w:p w14:paraId="2BD8FF72">
      <w:pPr>
        <w:bidi w:val="0"/>
        <w:rPr>
          <w:rFonts w:hint="eastAsia"/>
          <w:lang w:val="en-US" w:eastAsia="zh-CN"/>
        </w:rPr>
      </w:pPr>
      <w:r>
        <w:rPr>
          <w:rFonts w:hint="eastAsia"/>
          <w:lang w:val="en-US" w:eastAsia="zh-CN"/>
        </w:rPr>
        <w:t>[4]Sun H,</w:t>
      </w:r>
      <w:r>
        <w:rPr>
          <w:rFonts w:hint="eastAsia"/>
          <w:b/>
          <w:bCs/>
          <w:lang w:val="en-US" w:eastAsia="zh-CN"/>
        </w:rPr>
        <w:t xml:space="preserve"> 张玉洁</w:t>
      </w:r>
      <w:r>
        <w:rPr>
          <w:rStyle w:val="Strong"/>
          <w:rFonts w:ascii="微软雅黑" w:eastAsia="微软雅黑" w:hAnsi="微软雅黑" w:cs="微软雅黑"/>
          <w:b/>
          <w:bCs/>
          <w:i w:val="0"/>
          <w:iCs w:val="0"/>
          <w:caps w:val="0"/>
          <w:color w:val="414141"/>
          <w:spacing w:val="0"/>
          <w:sz w:val="22"/>
          <w:szCs w:val="22"/>
          <w:shd w:val="clear" w:color="auto" w:fill="FFFFFF"/>
        </w:rPr>
        <w:t>*</w:t>
      </w:r>
      <w:r>
        <w:rPr>
          <w:rFonts w:hint="eastAsia"/>
          <w:lang w:val="en-US" w:eastAsia="zh-CN"/>
        </w:rPr>
        <w:t xml:space="preserve"> , Runxiang Y U . Motion Planning for Mobile Robots—Focusing on Deep Reinforcement Learning: A Systematic Review[J]. IEEE Access, 2021, PP(99):1-1.(SCI 检索)</w:t>
      </w:r>
    </w:p>
    <w:p w14:paraId="6A758845">
      <w:pPr>
        <w:keepNext w:val="0"/>
        <w:keepLines w:val="0"/>
        <w:widowControl/>
        <w:suppressLineNumbers w:val="0"/>
        <w:jc w:val="left"/>
        <w:rPr>
          <w:rFonts w:ascii="宋体" w:eastAsia="宋体" w:hAnsi="宋体" w:cs="宋体" w:hint="eastAsia"/>
          <w:color w:val="000000"/>
          <w:kern w:val="0"/>
          <w:sz w:val="24"/>
          <w:szCs w:val="24"/>
          <w:lang w:val="en-US" w:eastAsia="zh-CN" w:bidi="ar"/>
        </w:rPr>
      </w:pPr>
    </w:p>
    <w:p w14:paraId="67ECFF53">
      <w:pPr>
        <w:bidi w:val="0"/>
        <w:rPr>
          <w:rFonts w:hint="default"/>
          <w:lang w:val="en-US" w:eastAsia="zh-CN"/>
        </w:rPr>
      </w:pPr>
      <w:r>
        <w:rPr>
          <w:rFonts w:hint="eastAsia"/>
          <w:lang w:val="en-US" w:eastAsia="zh-CN"/>
        </w:rPr>
        <w:t>(3)已经授权的专利</w:t>
      </w:r>
    </w:p>
    <w:p w14:paraId="7DEB7883">
      <w:pPr>
        <w:bidi w:val="0"/>
      </w:pPr>
      <w:r>
        <w:rPr>
          <w:rFonts w:hint="eastAsia"/>
          <w:lang w:val="en-US" w:eastAsia="zh-CN"/>
        </w:rPr>
        <w:t xml:space="preserve">一种基于 DSP 的多电机控制实验平台 ZL 2016 2 1246162 </w:t>
      </w:r>
    </w:p>
    <w:p w14:paraId="36DDC9E2">
      <w:pPr>
        <w:bidi w:val="0"/>
      </w:pPr>
      <w:r>
        <w:rPr>
          <w:rFonts w:hint="eastAsia"/>
          <w:lang w:val="en-US" w:eastAsia="zh-CN"/>
        </w:rPr>
        <w:t xml:space="preserve">一种用于教学的六自由度奏乐机器人控制卡 zl 2018 2 0060802.5 </w:t>
      </w:r>
    </w:p>
    <w:p w14:paraId="00D1FD52">
      <w:pPr>
        <w:bidi w:val="0"/>
      </w:pPr>
      <w:r>
        <w:rPr>
          <w:rFonts w:hint="eastAsia"/>
          <w:lang w:val="en-US" w:eastAsia="zh-CN"/>
        </w:rPr>
        <w:t xml:space="preserve">一种用于教学的搬运机器人控制平台 zl  2018 2 0060161.3 </w:t>
      </w:r>
    </w:p>
    <w:p w14:paraId="73DEDEAA">
      <w:pPr>
        <w:wordWrap w:val="0"/>
        <w:spacing w:line="440" w:lineRule="exact"/>
        <w:rPr>
          <w:rFonts w:ascii="楷体" w:eastAsia="楷体" w:hAnsi="楷体" w:cs="楷体" w:hint="eastAsia"/>
        </w:rPr>
      </w:pPr>
    </w:p>
    <w:p w14:paraId="66E1DBA0">
      <w:pPr>
        <w:wordWrap w:val="0"/>
        <w:spacing w:line="440" w:lineRule="exact"/>
        <w:ind w:firstLine="560" w:firstLineChars="200"/>
        <w:rPr>
          <w:rFonts w:ascii="楷体" w:eastAsia="楷体" w:hAnsi="楷体" w:cs="楷体" w:hint="eastAsia"/>
        </w:rPr>
      </w:pPr>
      <w:r>
        <w:rPr>
          <w:rFonts w:ascii="楷体" w:eastAsia="楷体" w:hAnsi="楷体" w:cs="楷体" w:hint="eastAsia"/>
        </w:rPr>
        <w:t>2.工作条件（已具备的实验条件，尚缺少的实验条件和拟解决的途径）</w:t>
      </w:r>
    </w:p>
    <w:p w14:paraId="60932254">
      <w:pPr>
        <w:bidi w:val="0"/>
        <w:ind w:firstLine="560" w:firstLineChars="200"/>
      </w:pPr>
      <w:r>
        <w:rPr>
          <w:rFonts w:hint="eastAsia"/>
          <w:lang w:val="en-US" w:eastAsia="zh-CN"/>
        </w:rPr>
        <w:t>项目申请单位华北科技学院项目组所在的“河北省矿山设备智能监测与安全”重点实验室。实验室已具备的直接与本项目研究相关的实验平台仪器与设备包括：2 套 ABB 6自由度机械臂、力学性能综合试验台、高性能示波器、逻辑分析仪、矢量信号发生器、稳压电源、通用测量与自动化平台、微机控制电液伺服万能试验机、NI振动（运动控制）开发平台，HSM400U数控铣床、DM数控加工中心、三维快速成型系统、图形工作站等。还有设计与分析用的三维设计软件、优化设计软件、虚拟仿真软件等，相关实验设备为 后续顺利开展关键技术的实验验证奠定了良好的基础。</w:t>
      </w:r>
    </w:p>
    <w:p w14:paraId="6490C61F">
      <w:pPr>
        <w:wordWrap w:val="0"/>
        <w:spacing w:line="440" w:lineRule="exact"/>
        <w:ind w:firstLine="560" w:firstLineChars="200"/>
        <w:rPr>
          <w:rFonts w:ascii="楷体" w:eastAsia="楷体" w:hAnsi="楷体" w:cs="楷体" w:hint="eastAsia"/>
        </w:rPr>
      </w:pPr>
    </w:p>
    <w:p w14:paraId="06B119DD">
      <w:pPr>
        <w:wordWrap w:val="0"/>
        <w:spacing w:line="440" w:lineRule="exact"/>
        <w:ind w:firstLine="560" w:firstLineChars="200"/>
        <w:rPr>
          <w:rFonts w:ascii="楷体" w:eastAsia="楷体" w:hAnsi="楷体" w:cs="楷体"/>
        </w:rPr>
      </w:pPr>
      <w:r>
        <w:rPr>
          <w:rFonts w:ascii="楷体" w:eastAsia="楷体" w:hAnsi="楷体" w:cs="楷体" w:hint="eastAsia"/>
        </w:rPr>
        <w:t>3.申请者业务简历（填写申请人的学历和研究工作简历，近五年已发表与本项目有关的主要论著目录和获得学术奖励情况。论著目录要求详细列出所有作者、论著题目、期刊名或出版社名、年、卷（期）、起止页码等，不超过6篇；奖励情况也须详细列出全部受奖人员、奖励名称等级、授奖年等）</w:t>
      </w:r>
    </w:p>
    <w:p w14:paraId="0F47F591">
      <w:pPr>
        <w:bidi w:val="0"/>
        <w:rPr>
          <w:rFonts w:hint="eastAsia"/>
          <w:lang w:val="en-US" w:eastAsia="zh-CN"/>
        </w:rPr>
      </w:pPr>
      <w:r>
        <w:rPr>
          <w:rFonts w:hint="eastAsia"/>
          <w:lang w:val="en-US" w:eastAsia="zh-CN"/>
        </w:rPr>
        <w:t>张玉洁，副教授，2013 年毕业于华中科技大学（导师：丁汉院士），目前博士就读于北京工业大学。</w:t>
      </w:r>
    </w:p>
    <w:p w14:paraId="6BADE30E">
      <w:pPr>
        <w:bidi w:val="0"/>
        <w:rPr>
          <w:rFonts w:hint="eastAsia"/>
          <w:lang w:val="en-US" w:eastAsia="zh-CN"/>
        </w:rPr>
      </w:pPr>
    </w:p>
    <w:p w14:paraId="5D713157">
      <w:pPr>
        <w:bidi w:val="0"/>
        <w:rPr>
          <w:b/>
          <w:bCs/>
        </w:rPr>
      </w:pPr>
      <w:r>
        <w:rPr>
          <w:rFonts w:hint="eastAsia"/>
          <w:b/>
          <w:bCs/>
          <w:lang w:val="en-US" w:eastAsia="zh-CN"/>
        </w:rPr>
        <w:t xml:space="preserve">主持项目： </w:t>
      </w:r>
    </w:p>
    <w:p w14:paraId="2448A493">
      <w:pPr>
        <w:bidi w:val="0"/>
      </w:pPr>
      <w:r>
        <w:rPr>
          <w:rFonts w:hint="eastAsia"/>
          <w:lang w:val="en-US" w:eastAsia="zh-CN"/>
        </w:rPr>
        <w:t xml:space="preserve">京西煤矿监管监察能力培养 31w 2019-2020 （主持） </w:t>
      </w:r>
    </w:p>
    <w:p w14:paraId="6DA84900">
      <w:pPr>
        <w:bidi w:val="0"/>
      </w:pPr>
      <w:r>
        <w:rPr>
          <w:rFonts w:hint="eastAsia"/>
          <w:lang w:val="en-US" w:eastAsia="zh-CN"/>
        </w:rPr>
        <w:t xml:space="preserve">煤矿救援机器人的设计与实现 项目号 2018011027 市级项目 2018-2020（主持) </w:t>
      </w:r>
    </w:p>
    <w:p w14:paraId="09B19E55">
      <w:pPr>
        <w:bidi w:val="0"/>
      </w:pPr>
      <w:r>
        <w:rPr>
          <w:rFonts w:hint="eastAsia"/>
          <w:lang w:val="en-US" w:eastAsia="zh-CN"/>
        </w:rPr>
        <w:t xml:space="preserve">面向创新型人才的机电系统课程设计 2w，中央高校专项科研经费 2017-2019（主持） </w:t>
      </w:r>
    </w:p>
    <w:p w14:paraId="46C8B653">
      <w:pPr>
        <w:bidi w:val="0"/>
      </w:pPr>
      <w:r>
        <w:rPr>
          <w:rFonts w:hint="eastAsia"/>
          <w:lang w:val="en-US" w:eastAsia="zh-CN"/>
        </w:rPr>
        <w:t xml:space="preserve">基于 DSP 的三轴控制卡研发 5w，项目号 3142014048 ，中央高专项科研经费（主持） </w:t>
      </w:r>
    </w:p>
    <w:p w14:paraId="30997C5F">
      <w:pPr>
        <w:bidi w:val="0"/>
        <w:rPr>
          <w:b/>
          <w:bCs/>
        </w:rPr>
      </w:pPr>
      <w:r>
        <w:rPr>
          <w:rFonts w:hint="eastAsia"/>
          <w:b/>
          <w:bCs/>
          <w:lang w:val="en-US" w:eastAsia="zh-CN"/>
        </w:rPr>
        <w:t xml:space="preserve">论文专著： </w:t>
      </w:r>
    </w:p>
    <w:p w14:paraId="09DFB63C">
      <w:pPr>
        <w:numPr>
          <w:ilvl w:val="0"/>
          <w:numId w:val="6"/>
        </w:numPr>
        <w:bidi w:val="0"/>
        <w:rPr>
          <w:rFonts w:hint="eastAsia"/>
          <w:lang w:val="en-US" w:eastAsia="zh-CN"/>
        </w:rPr>
      </w:pPr>
      <w:r>
        <w:rPr>
          <w:rFonts w:hint="eastAsia"/>
          <w:b/>
          <w:bCs/>
          <w:lang w:val="en-US" w:eastAsia="zh-CN"/>
        </w:rPr>
        <w:t>张玉洁,</w:t>
      </w:r>
      <w:r>
        <w:rPr>
          <w:rFonts w:hint="eastAsia"/>
          <w:lang w:val="en-US" w:eastAsia="zh-CN"/>
        </w:rPr>
        <w:t xml:space="preserve"> Cui J. Modeling and calibration of high-order joint-dependent kinematic errors of serial robot based on local POE.Industrial Robot.2023,PP(47):89-92.(SCI 检索) </w:t>
      </w:r>
    </w:p>
    <w:p w14:paraId="6C07DB8F">
      <w:pPr>
        <w:bidi w:val="0"/>
        <w:rPr>
          <w:rFonts w:hint="eastAsia"/>
          <w:lang w:val="en-US" w:eastAsia="zh-CN"/>
        </w:rPr>
      </w:pPr>
      <w:r>
        <w:rPr>
          <w:rFonts w:hint="eastAsia"/>
          <w:lang w:val="en-US" w:eastAsia="zh-CN"/>
        </w:rPr>
        <w:t>[2]</w:t>
      </w:r>
      <w:r>
        <w:rPr>
          <w:rFonts w:hint="eastAsia"/>
          <w:b/>
          <w:bCs/>
          <w:lang w:val="en-US" w:eastAsia="zh-CN"/>
        </w:rPr>
        <w:t>张玉洁</w:t>
      </w:r>
      <w:r>
        <w:rPr>
          <w:rFonts w:hint="eastAsia"/>
          <w:lang w:val="en-US" w:eastAsia="zh-CN"/>
        </w:rPr>
        <w:t xml:space="preserve"> Y, Zhang W, Yu R. Enhancing Robot Calibration Through Reliable High-Order Hermite Polynomials Model and SSA-BP Optimization[J]. Journal of Computing and Information Science in Engineering, 2024, 24: 021007-1.</w:t>
      </w:r>
    </w:p>
    <w:p w14:paraId="3C333C8D">
      <w:pPr>
        <w:bidi w:val="0"/>
        <w:rPr>
          <w:rFonts w:hint="eastAsia"/>
          <w:lang w:val="en-US" w:eastAsia="zh-CN"/>
        </w:rPr>
      </w:pPr>
      <w:r>
        <w:rPr>
          <w:rFonts w:hint="eastAsia"/>
          <w:lang w:val="en-US" w:eastAsia="zh-CN"/>
        </w:rPr>
        <w:t>[3]</w:t>
      </w:r>
      <w:r>
        <w:t>Xie Y, Chen JX, Xu X,</w:t>
      </w:r>
      <w:r>
        <w:rPr>
          <w:b/>
          <w:bCs/>
        </w:rPr>
        <w:t xml:space="preserve"> </w:t>
      </w:r>
      <w:r>
        <w:rPr>
          <w:rFonts w:hint="eastAsia"/>
          <w:b/>
          <w:bCs/>
          <w:lang w:val="en-US" w:eastAsia="zh-CN"/>
        </w:rPr>
        <w:t>张玉洁</w:t>
      </w:r>
      <w:r>
        <w:rPr>
          <w:rStyle w:val="Strong"/>
          <w:rFonts w:ascii="微软雅黑" w:eastAsia="微软雅黑" w:hAnsi="微软雅黑" w:cs="微软雅黑"/>
          <w:b/>
          <w:bCs/>
          <w:i w:val="0"/>
          <w:iCs w:val="0"/>
          <w:caps w:val="0"/>
          <w:color w:val="414141"/>
          <w:spacing w:val="0"/>
          <w:sz w:val="22"/>
          <w:szCs w:val="22"/>
          <w:shd w:val="clear" w:color="auto" w:fill="FFFFFF"/>
        </w:rPr>
        <w:t>*</w:t>
      </w:r>
      <w:r>
        <w:t>, Chen QZ. Efficient fabrication method for non-periodic microstructures using one-step two-photon lithography and a metal liftoff process[J]. Applied Optics, 2023, 62(5): 1221-1229.</w:t>
      </w:r>
      <w:r>
        <w:rPr>
          <w:rFonts w:hint="eastAsia"/>
          <w:lang w:val="en-US" w:eastAsia="zh-CN"/>
        </w:rPr>
        <w:t xml:space="preserve">(SCI 检索) </w:t>
      </w:r>
    </w:p>
    <w:p w14:paraId="403DB1E3">
      <w:pPr>
        <w:bidi w:val="0"/>
        <w:rPr>
          <w:rFonts w:hint="eastAsia"/>
          <w:lang w:val="en-US" w:eastAsia="zh-CN"/>
        </w:rPr>
      </w:pPr>
      <w:r>
        <w:rPr>
          <w:rFonts w:hint="eastAsia"/>
          <w:lang w:val="en-US" w:eastAsia="zh-CN"/>
        </w:rPr>
        <w:t>[4]Sun HH,</w:t>
      </w:r>
      <w:r>
        <w:rPr>
          <w:rFonts w:hint="eastAsia"/>
          <w:b/>
          <w:bCs/>
          <w:lang w:val="en-US" w:eastAsia="zh-CN"/>
        </w:rPr>
        <w:t xml:space="preserve"> 张玉洁</w:t>
      </w:r>
      <w:r>
        <w:rPr>
          <w:rStyle w:val="Strong"/>
          <w:rFonts w:ascii="微软雅黑" w:eastAsia="微软雅黑" w:hAnsi="微软雅黑" w:cs="微软雅黑"/>
          <w:b/>
          <w:bCs/>
          <w:i w:val="0"/>
          <w:iCs w:val="0"/>
          <w:caps w:val="0"/>
          <w:color w:val="414141"/>
          <w:spacing w:val="0"/>
          <w:sz w:val="22"/>
          <w:szCs w:val="22"/>
          <w:shd w:val="clear" w:color="auto" w:fill="FFFFFF"/>
        </w:rPr>
        <w:t>*</w:t>
      </w:r>
      <w:r>
        <w:rPr>
          <w:rFonts w:hint="eastAsia"/>
          <w:lang w:val="en-US" w:eastAsia="zh-CN"/>
        </w:rPr>
        <w:t xml:space="preserve">. Dynamic Modeling and Error Analysis of a Cable-Linkage Serial-Parallel Palletizing Robot[J]. IEEE Access,2020, PP(99):43-56.(SCI 检索) </w:t>
      </w:r>
    </w:p>
    <w:p w14:paraId="7C8BDAD6">
      <w:pPr>
        <w:bidi w:val="0"/>
        <w:rPr>
          <w:rFonts w:hint="eastAsia"/>
          <w:lang w:val="en-US" w:eastAsia="zh-CN"/>
        </w:rPr>
      </w:pPr>
      <w:r>
        <w:rPr>
          <w:rFonts w:hint="eastAsia"/>
          <w:lang w:val="en-US" w:eastAsia="zh-CN"/>
        </w:rPr>
        <w:t>[5]Sun H,</w:t>
      </w:r>
      <w:r>
        <w:rPr>
          <w:rFonts w:hint="eastAsia"/>
          <w:b/>
          <w:bCs/>
          <w:lang w:val="en-US" w:eastAsia="zh-CN"/>
        </w:rPr>
        <w:t xml:space="preserve"> 张玉洁</w:t>
      </w:r>
      <w:r>
        <w:rPr>
          <w:rStyle w:val="Strong"/>
          <w:rFonts w:ascii="微软雅黑" w:eastAsia="微软雅黑" w:hAnsi="微软雅黑" w:cs="微软雅黑"/>
          <w:b/>
          <w:bCs/>
          <w:i w:val="0"/>
          <w:iCs w:val="0"/>
          <w:caps w:val="0"/>
          <w:color w:val="414141"/>
          <w:spacing w:val="0"/>
          <w:sz w:val="22"/>
          <w:szCs w:val="22"/>
          <w:shd w:val="clear" w:color="auto" w:fill="FFFFFF"/>
        </w:rPr>
        <w:t>*</w:t>
      </w:r>
      <w:r>
        <w:rPr>
          <w:rFonts w:hint="eastAsia"/>
          <w:lang w:val="en-US" w:eastAsia="zh-CN"/>
        </w:rPr>
        <w:t xml:space="preserve"> , Runxiang Y U . Motion Planning for Mobile Robots—Focusing on Deep Reinforcement Learning: A Systematic Review[J]. IEEE Access, 2021, PP(99):1-1.(SCI 检索)</w:t>
      </w:r>
    </w:p>
    <w:p w14:paraId="3B23176A">
      <w:pPr>
        <w:bidi w:val="0"/>
      </w:pPr>
      <w:r>
        <w:rPr>
          <w:rFonts w:hint="eastAsia"/>
          <w:lang w:val="en-US" w:eastAsia="zh-CN"/>
        </w:rPr>
        <w:t xml:space="preserve">专利 </w:t>
      </w:r>
    </w:p>
    <w:p w14:paraId="5A386E1B">
      <w:pPr>
        <w:bidi w:val="0"/>
      </w:pPr>
      <w:r>
        <w:rPr>
          <w:rFonts w:hint="eastAsia"/>
          <w:lang w:val="en-US" w:eastAsia="zh-CN"/>
        </w:rPr>
        <w:t xml:space="preserve">一种基于 DSP 的多电机控制实验平台 ZL 2016 2 1246162 </w:t>
      </w:r>
    </w:p>
    <w:p w14:paraId="5EE7EF10">
      <w:pPr>
        <w:bidi w:val="0"/>
      </w:pPr>
      <w:r>
        <w:rPr>
          <w:rFonts w:hint="eastAsia"/>
          <w:lang w:val="en-US" w:eastAsia="zh-CN"/>
        </w:rPr>
        <w:t xml:space="preserve">一种用于教学的六自由度奏乐机器人控制卡 ZL 2018 2 0060802.5 </w:t>
      </w:r>
    </w:p>
    <w:p w14:paraId="03051C8F">
      <w:pPr>
        <w:bidi w:val="0"/>
      </w:pPr>
      <w:r>
        <w:rPr>
          <w:rFonts w:hint="eastAsia"/>
          <w:lang w:val="en-US" w:eastAsia="zh-CN"/>
        </w:rPr>
        <w:t xml:space="preserve">一种用于教学的搬运机器人控制平台 ZL 2018 2 0060161.3 </w:t>
      </w:r>
    </w:p>
    <w:p w14:paraId="6B00A329">
      <w:pPr>
        <w:wordWrap w:val="0"/>
        <w:spacing w:line="440" w:lineRule="exact"/>
        <w:ind w:firstLine="560" w:firstLineChars="200"/>
        <w:rPr>
          <w:rFonts w:ascii="楷体" w:eastAsia="楷体" w:hAnsi="楷体" w:cs="楷体"/>
          <w:b/>
        </w:rPr>
      </w:pPr>
      <w:r>
        <w:rPr>
          <w:rFonts w:ascii="楷体" w:eastAsia="楷体" w:hAnsi="楷体" w:cs="楷体" w:hint="eastAsia"/>
          <w:b/>
        </w:rPr>
        <w:t>五、承担项目情况</w:t>
      </w:r>
    </w:p>
    <w:p w14:paraId="427322FE">
      <w:pPr>
        <w:wordWrap w:val="0"/>
        <w:snapToGrid w:val="0"/>
        <w:spacing w:before="120" w:line="300" w:lineRule="auto"/>
        <w:ind w:firstLine="560" w:firstLineChars="200"/>
        <w:rPr>
          <w:rFonts w:ascii="楷体" w:eastAsia="楷体" w:hAnsi="楷体" w:cs="楷体" w:hint="eastAsia"/>
        </w:rPr>
      </w:pPr>
      <w:r>
        <w:rPr>
          <w:rFonts w:ascii="楷体" w:eastAsia="楷体" w:hAnsi="楷体" w:cs="楷体" w:hint="eastAsia"/>
        </w:rPr>
        <w:t>1.正在承担科研项目情况（申请人正在承担的国家和省科研项目情况，包括自然科学基金的项目，要注明项目的名称和编号、经费来源、起止年月、与本项目的关系及负责的内容等）</w:t>
      </w:r>
    </w:p>
    <w:p w14:paraId="71DF0B7F">
      <w:pPr>
        <w:wordWrap w:val="0"/>
        <w:snapToGrid w:val="0"/>
        <w:spacing w:before="120" w:line="300" w:lineRule="auto"/>
        <w:ind w:firstLine="560" w:firstLineChars="200"/>
        <w:rPr>
          <w:rFonts w:ascii="楷体" w:eastAsia="楷体" w:hAnsi="楷体" w:cs="楷体" w:hint="eastAsia"/>
          <w:lang w:val="en-US" w:eastAsia="zh-CN"/>
        </w:rPr>
      </w:pPr>
      <w:r>
        <w:rPr>
          <w:rFonts w:ascii="楷体" w:eastAsia="楷体" w:hAnsi="楷体" w:cs="楷体" w:hint="eastAsia"/>
          <w:lang w:val="en-US" w:eastAsia="zh-CN"/>
        </w:rPr>
        <w:t>无</w:t>
      </w:r>
    </w:p>
    <w:p w14:paraId="4290575A">
      <w:pPr>
        <w:numPr>
          <w:ilvl w:val="0"/>
          <w:numId w:val="2"/>
        </w:numPr>
        <w:wordWrap w:val="0"/>
        <w:snapToGrid w:val="0"/>
        <w:spacing w:before="120" w:line="300" w:lineRule="auto"/>
        <w:ind w:left="0" w:firstLine="560" w:leftChars="0" w:firstLineChars="200"/>
        <w:rPr>
          <w:rFonts w:ascii="楷体" w:eastAsia="楷体" w:hAnsi="楷体" w:cs="楷体" w:hint="eastAsia"/>
        </w:rPr>
      </w:pPr>
      <w:r>
        <w:rPr>
          <w:rFonts w:ascii="楷体" w:eastAsia="楷体" w:hAnsi="楷体" w:cs="楷体" w:hint="eastAsia"/>
        </w:rPr>
        <w:t>完成省自然科学基金项目情况（对申请人负责的前一个已结题自然科学基金项目（项目名称及批准号）完成情况、后续研究进展及与本申请项目的关系加以详细说明）</w:t>
      </w:r>
    </w:p>
    <w:p w14:paraId="5DCC991A">
      <w:pPr>
        <w:numPr>
          <w:ilvl w:val="0"/>
          <w:numId w:val="0"/>
        </w:numPr>
        <w:wordWrap w:val="0"/>
        <w:snapToGrid w:val="0"/>
        <w:spacing w:before="120" w:line="300" w:lineRule="auto"/>
        <w:ind w:left="560" w:leftChars="200"/>
        <w:rPr>
          <w:rFonts w:ascii="楷体" w:eastAsia="楷体" w:hAnsi="楷体" w:cs="楷体" w:hint="eastAsia"/>
        </w:rPr>
        <w:sectPr>
          <w:headerReference w:type="default" r:id="rId8"/>
          <w:footerReference w:type="even" r:id="rId9"/>
          <w:footerReference w:type="default" r:id="rId10"/>
          <w:footerReference w:type="first" r:id="rId11"/>
          <w:pgSz w:w="11906" w:h="16838"/>
          <w:pgMar w:top="1418" w:right="1418" w:bottom="1418" w:left="1418" w:header="851" w:footer="851" w:gutter="0"/>
          <w:pgNumType w:start="1"/>
          <w:cols w:num="1" w:space="425"/>
          <w:titlePg/>
          <w:docGrid w:linePitch="381" w:charSpace="0"/>
        </w:sectPr>
      </w:pPr>
      <w:r>
        <w:rPr>
          <w:rFonts w:ascii="楷体" w:eastAsia="楷体" w:hAnsi="楷体" w:cs="楷体" w:hint="eastAsia"/>
          <w:lang w:val="en-US" w:eastAsia="zh-CN"/>
        </w:rPr>
        <w:t>无</w:t>
      </w:r>
    </w:p>
    <w:p w14:paraId="789D4C18">
      <w:pPr>
        <w:wordWrap w:val="0"/>
        <w:spacing w:line="360" w:lineRule="auto"/>
        <w:jc w:val="center"/>
        <w:rPr>
          <w:b/>
          <w:szCs w:val="28"/>
        </w:rPr>
      </w:pPr>
      <w:r>
        <w:rPr>
          <w:rFonts w:hint="eastAsia"/>
          <w:b/>
          <w:szCs w:val="28"/>
        </w:rPr>
        <w:t>项目组主要成员</w:t>
      </w:r>
    </w:p>
    <w:tbl>
      <w:tblPr>
        <w:tblStyle w:val="TableNormal"/>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58"/>
        <w:gridCol w:w="993"/>
        <w:gridCol w:w="709"/>
        <w:gridCol w:w="709"/>
        <w:gridCol w:w="2463"/>
        <w:gridCol w:w="1156"/>
        <w:gridCol w:w="939"/>
        <w:gridCol w:w="2104"/>
        <w:gridCol w:w="2006"/>
        <w:gridCol w:w="2977"/>
        <w:gridCol w:w="1449"/>
      </w:tblGrid>
      <w:tr w14:paraId="6B30CB97">
        <w:tblPrEx>
          <w:tblW w:w="161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57D2EB4">
            <w:pPr>
              <w:wordWrap w:val="0"/>
              <w:jc w:val="center"/>
              <w:rPr>
                <w:sz w:val="24"/>
              </w:rPr>
            </w:pPr>
            <w:r>
              <w:rPr>
                <w:rFonts w:hint="eastAsia"/>
                <w:sz w:val="24"/>
              </w:rPr>
              <w:t>序号</w:t>
            </w:r>
          </w:p>
        </w:tc>
        <w:tc>
          <w:tcPr>
            <w:tcW w:w="993" w:type="dxa"/>
            <w:tcBorders>
              <w:top w:val="single" w:sz="4" w:space="0" w:color="auto"/>
              <w:left w:val="single" w:sz="4" w:space="0" w:color="auto"/>
              <w:bottom w:val="single" w:sz="4" w:space="0" w:color="auto"/>
              <w:right w:val="single" w:sz="4" w:space="0" w:color="auto"/>
            </w:tcBorders>
            <w:vAlign w:val="center"/>
          </w:tcPr>
          <w:p w14:paraId="6E757E23">
            <w:pPr>
              <w:wordWrap w:val="0"/>
              <w:jc w:val="center"/>
              <w:rPr>
                <w:sz w:val="24"/>
              </w:rPr>
            </w:pPr>
            <w:r>
              <w:rPr>
                <w:rFonts w:hint="eastAsia"/>
                <w:sz w:val="24"/>
              </w:rPr>
              <w:t>姓名</w:t>
            </w:r>
          </w:p>
        </w:tc>
        <w:tc>
          <w:tcPr>
            <w:tcW w:w="709" w:type="dxa"/>
            <w:tcBorders>
              <w:top w:val="single" w:sz="4" w:space="0" w:color="auto"/>
              <w:left w:val="single" w:sz="4" w:space="0" w:color="auto"/>
              <w:bottom w:val="single" w:sz="4" w:space="0" w:color="auto"/>
              <w:right w:val="single" w:sz="4" w:space="0" w:color="auto"/>
            </w:tcBorders>
            <w:vAlign w:val="center"/>
          </w:tcPr>
          <w:p w14:paraId="2C75013F">
            <w:pPr>
              <w:wordWrap w:val="0"/>
              <w:jc w:val="center"/>
              <w:rPr>
                <w:sz w:val="24"/>
              </w:rPr>
            </w:pPr>
            <w:r>
              <w:rPr>
                <w:rFonts w:hint="eastAsia"/>
                <w:sz w:val="24"/>
              </w:rPr>
              <w:t>性别</w:t>
            </w:r>
          </w:p>
        </w:tc>
        <w:tc>
          <w:tcPr>
            <w:tcW w:w="709" w:type="dxa"/>
            <w:tcBorders>
              <w:top w:val="single" w:sz="4" w:space="0" w:color="auto"/>
              <w:left w:val="single" w:sz="4" w:space="0" w:color="auto"/>
              <w:bottom w:val="single" w:sz="4" w:space="0" w:color="auto"/>
              <w:right w:val="single" w:sz="4" w:space="0" w:color="auto"/>
            </w:tcBorders>
            <w:vAlign w:val="center"/>
          </w:tcPr>
          <w:p w14:paraId="1FBDA388">
            <w:pPr>
              <w:wordWrap w:val="0"/>
              <w:jc w:val="center"/>
              <w:rPr>
                <w:sz w:val="24"/>
              </w:rPr>
            </w:pPr>
            <w:r>
              <w:rPr>
                <w:rFonts w:hint="eastAsia"/>
                <w:sz w:val="24"/>
              </w:rPr>
              <w:t>年龄</w:t>
            </w:r>
          </w:p>
        </w:tc>
        <w:tc>
          <w:tcPr>
            <w:tcW w:w="2463" w:type="dxa"/>
            <w:tcBorders>
              <w:top w:val="single" w:sz="4" w:space="0" w:color="auto"/>
              <w:left w:val="single" w:sz="4" w:space="0" w:color="auto"/>
              <w:bottom w:val="single" w:sz="4" w:space="0" w:color="auto"/>
              <w:right w:val="single" w:sz="4" w:space="0" w:color="auto"/>
            </w:tcBorders>
            <w:vAlign w:val="center"/>
          </w:tcPr>
          <w:p w14:paraId="4937637C">
            <w:pPr>
              <w:wordWrap w:val="0"/>
              <w:jc w:val="center"/>
              <w:rPr>
                <w:sz w:val="24"/>
              </w:rPr>
            </w:pPr>
            <w:r>
              <w:rPr>
                <w:rFonts w:hint="eastAsia"/>
                <w:sz w:val="24"/>
              </w:rPr>
              <w:t>证件号码</w:t>
            </w:r>
          </w:p>
        </w:tc>
        <w:tc>
          <w:tcPr>
            <w:tcW w:w="1156" w:type="dxa"/>
            <w:tcBorders>
              <w:top w:val="single" w:sz="4" w:space="0" w:color="auto"/>
              <w:left w:val="single" w:sz="4" w:space="0" w:color="auto"/>
              <w:bottom w:val="single" w:sz="4" w:space="0" w:color="auto"/>
              <w:right w:val="single" w:sz="4" w:space="0" w:color="auto"/>
            </w:tcBorders>
            <w:vAlign w:val="center"/>
          </w:tcPr>
          <w:p w14:paraId="6CF06609">
            <w:pPr>
              <w:wordWrap w:val="0"/>
              <w:jc w:val="center"/>
              <w:rPr>
                <w:sz w:val="24"/>
              </w:rPr>
            </w:pPr>
            <w:r>
              <w:rPr>
                <w:rFonts w:hint="eastAsia"/>
                <w:sz w:val="24"/>
              </w:rPr>
              <w:t>职称</w:t>
            </w:r>
          </w:p>
        </w:tc>
        <w:tc>
          <w:tcPr>
            <w:tcW w:w="939" w:type="dxa"/>
            <w:tcBorders>
              <w:top w:val="single" w:sz="4" w:space="0" w:color="auto"/>
              <w:left w:val="single" w:sz="4" w:space="0" w:color="auto"/>
              <w:bottom w:val="single" w:sz="4" w:space="0" w:color="auto"/>
              <w:right w:val="single" w:sz="4" w:space="0" w:color="auto"/>
            </w:tcBorders>
            <w:vAlign w:val="center"/>
          </w:tcPr>
          <w:p w14:paraId="5D8746E0">
            <w:pPr>
              <w:wordWrap w:val="0"/>
              <w:jc w:val="center"/>
              <w:rPr>
                <w:sz w:val="24"/>
              </w:rPr>
            </w:pPr>
            <w:r>
              <w:rPr>
                <w:rFonts w:hint="eastAsia"/>
                <w:sz w:val="24"/>
              </w:rPr>
              <w:t>学位</w:t>
            </w:r>
          </w:p>
        </w:tc>
        <w:tc>
          <w:tcPr>
            <w:tcW w:w="2104" w:type="dxa"/>
            <w:tcBorders>
              <w:top w:val="single" w:sz="4" w:space="0" w:color="auto"/>
              <w:left w:val="single" w:sz="4" w:space="0" w:color="auto"/>
              <w:bottom w:val="single" w:sz="4" w:space="0" w:color="auto"/>
              <w:right w:val="single" w:sz="4" w:space="0" w:color="auto"/>
            </w:tcBorders>
            <w:vAlign w:val="center"/>
          </w:tcPr>
          <w:p w14:paraId="29B6F6E3">
            <w:pPr>
              <w:wordWrap w:val="0"/>
              <w:jc w:val="center"/>
              <w:rPr>
                <w:sz w:val="24"/>
              </w:rPr>
            </w:pPr>
            <w:r>
              <w:rPr>
                <w:rFonts w:hint="eastAsia"/>
                <w:sz w:val="24"/>
              </w:rPr>
              <w:t>研究领域</w:t>
            </w:r>
          </w:p>
        </w:tc>
        <w:tc>
          <w:tcPr>
            <w:tcW w:w="2006" w:type="dxa"/>
            <w:tcBorders>
              <w:top w:val="single" w:sz="4" w:space="0" w:color="auto"/>
              <w:left w:val="single" w:sz="4" w:space="0" w:color="auto"/>
              <w:bottom w:val="single" w:sz="4" w:space="0" w:color="auto"/>
              <w:right w:val="single" w:sz="4" w:space="0" w:color="auto"/>
            </w:tcBorders>
            <w:vAlign w:val="center"/>
          </w:tcPr>
          <w:p w14:paraId="6B2A3170">
            <w:pPr>
              <w:tabs>
                <w:tab w:val="left" w:pos="2520"/>
                <w:tab w:val="center" w:pos="4144"/>
              </w:tabs>
              <w:wordWrap w:val="0"/>
              <w:jc w:val="center"/>
              <w:rPr>
                <w:sz w:val="24"/>
              </w:rPr>
            </w:pPr>
            <w:r>
              <w:rPr>
                <w:rFonts w:hint="eastAsia"/>
                <w:sz w:val="24"/>
              </w:rPr>
              <w:t>单位名称</w:t>
            </w:r>
          </w:p>
        </w:tc>
        <w:tc>
          <w:tcPr>
            <w:tcW w:w="2977" w:type="dxa"/>
            <w:tcBorders>
              <w:top w:val="single" w:sz="4" w:space="0" w:color="auto"/>
              <w:left w:val="single" w:sz="4" w:space="0" w:color="auto"/>
              <w:bottom w:val="single" w:sz="4" w:space="0" w:color="auto"/>
              <w:right w:val="single" w:sz="4" w:space="0" w:color="auto"/>
            </w:tcBorders>
            <w:vAlign w:val="center"/>
          </w:tcPr>
          <w:p w14:paraId="4CB780C2">
            <w:pPr>
              <w:wordWrap w:val="0"/>
              <w:jc w:val="center"/>
              <w:rPr>
                <w:sz w:val="24"/>
              </w:rPr>
            </w:pPr>
            <w:r>
              <w:rPr>
                <w:rFonts w:hint="eastAsia"/>
                <w:sz w:val="24"/>
              </w:rPr>
              <w:t>分工</w:t>
            </w:r>
          </w:p>
        </w:tc>
        <w:tc>
          <w:tcPr>
            <w:tcW w:w="1449" w:type="dxa"/>
            <w:tcBorders>
              <w:top w:val="single" w:sz="4" w:space="0" w:color="auto"/>
              <w:left w:val="single" w:sz="4" w:space="0" w:color="auto"/>
              <w:bottom w:val="single" w:sz="4" w:space="0" w:color="auto"/>
              <w:right w:val="single" w:sz="4" w:space="0" w:color="auto"/>
            </w:tcBorders>
            <w:vAlign w:val="center"/>
          </w:tcPr>
          <w:p w14:paraId="36D3820C">
            <w:pPr>
              <w:wordWrap w:val="0"/>
              <w:jc w:val="center"/>
              <w:rPr>
                <w:sz w:val="24"/>
              </w:rPr>
            </w:pPr>
            <w:r>
              <w:rPr>
                <w:rFonts w:hint="eastAsia"/>
                <w:sz w:val="24"/>
              </w:rPr>
              <w:t>在读状态</w:t>
            </w:r>
          </w:p>
        </w:tc>
      </w:tr>
      <w:tr w14:paraId="25E4052C">
        <w:tblPrEx>
          <w:tblW w:w="16163" w:type="dxa"/>
          <w:jc w:val="center"/>
          <w:tblLayout w:type="fixed"/>
          <w:tblCellMar>
            <w:top w:w="0" w:type="dxa"/>
            <w:left w:w="57" w:type="dxa"/>
            <w:bottom w:w="0" w:type="dxa"/>
            <w:right w:w="57" w:type="dxa"/>
          </w:tblCellMar>
        </w:tblPrEx>
        <w:trPr>
          <w:cantSplit/>
          <w:trHeight w:val="567"/>
          <w:jc w:val="center"/>
        </w:trPr>
        <w:tc>
          <w:tcPr>
            <w:tcW w:w="658" w:type="dxa"/>
            <w:tcBorders>
              <w:top w:val="single" w:sz="4" w:space="0" w:color="auto"/>
              <w:left w:val="single" w:sz="4" w:space="0" w:color="auto"/>
              <w:bottom w:val="single" w:sz="4" w:space="0" w:color="auto"/>
              <w:right w:val="single" w:sz="4" w:space="0" w:color="auto"/>
            </w:tcBorders>
            <w:vAlign w:val="center"/>
          </w:tcPr>
          <w:p w14:paraId="49FF59C3">
            <w:pPr>
              <w:wordWrap w:val="0"/>
              <w:jc w:val="center"/>
              <w:rPr>
                <w:rFonts w:ascii="宋体" w:eastAsia="宋体" w:hAnsi="宋体" w:cs="宋体"/>
                <w:sz w:val="24"/>
              </w:rPr>
            </w:pPr>
            <w:r>
              <w:rPr>
                <w:rFonts w:ascii="宋体" w:eastAsia="宋体" w:hAnsi="宋体" w:cs="宋体"/>
                <w:sz w:val="24"/>
              </w:rPr>
              <w:t>1</w:t>
            </w:r>
          </w:p>
        </w:tc>
        <w:tc>
          <w:tcPr>
            <w:tcW w:w="993" w:type="dxa"/>
            <w:tcBorders>
              <w:top w:val="single" w:sz="4" w:space="0" w:color="auto"/>
              <w:left w:val="single" w:sz="4" w:space="0" w:color="auto"/>
              <w:bottom w:val="single" w:sz="4" w:space="0" w:color="auto"/>
              <w:right w:val="single" w:sz="4" w:space="0" w:color="auto"/>
            </w:tcBorders>
            <w:vAlign w:val="center"/>
          </w:tcPr>
          <w:p w14:paraId="64237C0F">
            <w:pPr>
              <w:wordWrap w:val="0"/>
              <w:jc w:val="center"/>
              <w:rPr>
                <w:rFonts w:ascii="宋体" w:eastAsia="宋体" w:hAnsi="宋体" w:cs="宋体"/>
                <w:sz w:val="24"/>
              </w:rPr>
            </w:pPr>
            <w:r>
              <w:rPr>
                <w:rFonts w:ascii="宋体" w:eastAsia="宋体" w:hAnsi="宋体" w:cs="宋体"/>
                <w:sz w:val="24"/>
              </w:rPr>
              <w:t>张玉洁</w:t>
            </w:r>
          </w:p>
        </w:tc>
        <w:tc>
          <w:tcPr>
            <w:tcW w:w="709" w:type="dxa"/>
            <w:tcBorders>
              <w:top w:val="single" w:sz="4" w:space="0" w:color="auto"/>
              <w:left w:val="single" w:sz="4" w:space="0" w:color="auto"/>
              <w:bottom w:val="single" w:sz="4" w:space="0" w:color="auto"/>
              <w:right w:val="single" w:sz="4" w:space="0" w:color="auto"/>
            </w:tcBorders>
            <w:vAlign w:val="center"/>
          </w:tcPr>
          <w:p w14:paraId="405B2CB5">
            <w:pPr>
              <w:wordWrap w:val="0"/>
              <w:jc w:val="center"/>
              <w:rPr>
                <w:rFonts w:ascii="宋体" w:eastAsia="宋体" w:hAnsi="宋体" w:cs="宋体"/>
                <w:sz w:val="24"/>
              </w:rPr>
            </w:pPr>
            <w:r>
              <w:rPr>
                <w:rFonts w:ascii="宋体" w:eastAsia="宋体" w:hAnsi="宋体" w:cs="宋体"/>
                <w:sz w:val="24"/>
              </w:rPr>
              <w:t>女</w:t>
            </w:r>
          </w:p>
        </w:tc>
        <w:tc>
          <w:tcPr>
            <w:tcW w:w="709" w:type="dxa"/>
            <w:tcBorders>
              <w:top w:val="single" w:sz="4" w:space="0" w:color="auto"/>
              <w:left w:val="single" w:sz="4" w:space="0" w:color="auto"/>
              <w:bottom w:val="single" w:sz="4" w:space="0" w:color="auto"/>
              <w:right w:val="single" w:sz="4" w:space="0" w:color="auto"/>
            </w:tcBorders>
            <w:vAlign w:val="center"/>
          </w:tcPr>
          <w:p w14:paraId="04CEECC1">
            <w:pPr>
              <w:wordWrap w:val="0"/>
              <w:jc w:val="center"/>
              <w:rPr>
                <w:rFonts w:ascii="宋体" w:eastAsia="宋体" w:hAnsi="宋体" w:cs="宋体"/>
                <w:sz w:val="24"/>
              </w:rPr>
            </w:pPr>
            <w:r>
              <w:rPr>
                <w:rFonts w:ascii="宋体" w:eastAsia="宋体" w:hAnsi="宋体" w:cs="宋体"/>
                <w:sz w:val="24"/>
              </w:rPr>
              <w:t>38</w:t>
            </w:r>
          </w:p>
        </w:tc>
        <w:tc>
          <w:tcPr>
            <w:tcW w:w="2463" w:type="dxa"/>
            <w:tcBorders>
              <w:top w:val="single" w:sz="4" w:space="0" w:color="auto"/>
              <w:left w:val="single" w:sz="4" w:space="0" w:color="auto"/>
              <w:bottom w:val="single" w:sz="4" w:space="0" w:color="auto"/>
              <w:right w:val="single" w:sz="4" w:space="0" w:color="auto"/>
            </w:tcBorders>
            <w:vAlign w:val="center"/>
          </w:tcPr>
          <w:p w14:paraId="115D6927">
            <w:pPr>
              <w:wordWrap w:val="0"/>
              <w:jc w:val="center"/>
              <w:rPr>
                <w:rFonts w:ascii="宋体" w:eastAsia="宋体" w:hAnsi="宋体" w:cs="宋体"/>
                <w:sz w:val="24"/>
              </w:rPr>
            </w:pPr>
            <w:r>
              <w:rPr>
                <w:rFonts w:ascii="宋体" w:eastAsia="宋体" w:hAnsi="宋体" w:cs="宋体"/>
                <w:sz w:val="24"/>
              </w:rPr>
              <w:t>422202198709210049</w:t>
            </w:r>
          </w:p>
        </w:tc>
        <w:tc>
          <w:tcPr>
            <w:tcW w:w="1156" w:type="dxa"/>
            <w:tcBorders>
              <w:top w:val="single" w:sz="4" w:space="0" w:color="auto"/>
              <w:left w:val="single" w:sz="4" w:space="0" w:color="auto"/>
              <w:bottom w:val="single" w:sz="4" w:space="0" w:color="auto"/>
              <w:right w:val="single" w:sz="4" w:space="0" w:color="auto"/>
            </w:tcBorders>
            <w:vAlign w:val="center"/>
          </w:tcPr>
          <w:p w14:paraId="4797CA1F">
            <w:pPr>
              <w:wordWrap w:val="0"/>
              <w:jc w:val="center"/>
              <w:rPr>
                <w:rFonts w:ascii="宋体" w:eastAsia="宋体" w:hAnsi="宋体" w:cs="宋体"/>
                <w:sz w:val="24"/>
              </w:rPr>
            </w:pPr>
            <w:r>
              <w:rPr>
                <w:rFonts w:ascii="宋体" w:eastAsia="宋体" w:hAnsi="宋体" w:cs="宋体"/>
                <w:sz w:val="24"/>
              </w:rPr>
              <w:t>副教授</w:t>
            </w:r>
          </w:p>
        </w:tc>
        <w:tc>
          <w:tcPr>
            <w:tcW w:w="939" w:type="dxa"/>
            <w:tcBorders>
              <w:top w:val="single" w:sz="4" w:space="0" w:color="auto"/>
              <w:left w:val="single" w:sz="4" w:space="0" w:color="auto"/>
              <w:bottom w:val="single" w:sz="4" w:space="0" w:color="auto"/>
              <w:right w:val="single" w:sz="4" w:space="0" w:color="auto"/>
            </w:tcBorders>
            <w:vAlign w:val="center"/>
          </w:tcPr>
          <w:p w14:paraId="2531CFA5">
            <w:pPr>
              <w:wordWrap w:val="0"/>
              <w:jc w:val="center"/>
              <w:rPr>
                <w:rFonts w:ascii="宋体" w:eastAsia="宋体" w:hAnsi="宋体" w:cs="宋体"/>
                <w:sz w:val="24"/>
              </w:rPr>
            </w:pPr>
            <w:r>
              <w:rPr>
                <w:rFonts w:ascii="宋体" w:eastAsia="宋体" w:hAnsi="宋体" w:cs="宋体"/>
                <w:sz w:val="24"/>
              </w:rPr>
              <w:t>硕士</w:t>
            </w:r>
          </w:p>
        </w:tc>
        <w:tc>
          <w:tcPr>
            <w:tcW w:w="2104" w:type="dxa"/>
            <w:tcBorders>
              <w:top w:val="single" w:sz="4" w:space="0" w:color="auto"/>
              <w:left w:val="single" w:sz="4" w:space="0" w:color="auto"/>
              <w:bottom w:val="single" w:sz="4" w:space="0" w:color="auto"/>
              <w:right w:val="single" w:sz="4" w:space="0" w:color="auto"/>
            </w:tcBorders>
            <w:vAlign w:val="center"/>
          </w:tcPr>
          <w:p w14:paraId="02F7B241">
            <w:pPr>
              <w:wordWrap w:val="0"/>
              <w:jc w:val="left"/>
              <w:rPr>
                <w:rFonts w:ascii="宋体" w:eastAsia="宋体" w:hAnsi="宋体" w:cs="宋体"/>
                <w:sz w:val="24"/>
              </w:rPr>
            </w:pPr>
            <w:r>
              <w:rPr>
                <w:rFonts w:ascii="宋体" w:eastAsia="宋体" w:hAnsi="宋体" w:cs="宋体"/>
                <w:sz w:val="24"/>
              </w:rPr>
              <w:t>工业机器人技术</w:t>
            </w:r>
          </w:p>
        </w:tc>
        <w:tc>
          <w:tcPr>
            <w:tcW w:w="2006" w:type="dxa"/>
            <w:tcBorders>
              <w:top w:val="single" w:sz="4" w:space="0" w:color="auto"/>
              <w:left w:val="single" w:sz="4" w:space="0" w:color="auto"/>
              <w:bottom w:val="single" w:sz="4" w:space="0" w:color="auto"/>
              <w:right w:val="single" w:sz="4" w:space="0" w:color="auto"/>
            </w:tcBorders>
            <w:vAlign w:val="center"/>
          </w:tcPr>
          <w:p w14:paraId="737E1BC3">
            <w:pPr>
              <w:tabs>
                <w:tab w:val="left" w:pos="2520"/>
                <w:tab w:val="center" w:pos="4144"/>
              </w:tabs>
              <w:wordWrap w:val="0"/>
              <w:jc w:val="left"/>
              <w:rPr>
                <w:rFonts w:ascii="宋体" w:eastAsia="宋体" w:hAnsi="宋体" w:cs="宋体"/>
                <w:sz w:val="24"/>
              </w:rPr>
            </w:pPr>
            <w:r>
              <w:rPr>
                <w:rFonts w:ascii="宋体" w:eastAsia="宋体" w:hAnsi="宋体" w:cs="宋体"/>
                <w:sz w:val="24"/>
              </w:rPr>
              <w:t>华北科技学院</w:t>
            </w:r>
          </w:p>
        </w:tc>
        <w:tc>
          <w:tcPr>
            <w:tcW w:w="2977" w:type="dxa"/>
            <w:tcBorders>
              <w:top w:val="single" w:sz="4" w:space="0" w:color="auto"/>
              <w:left w:val="single" w:sz="4" w:space="0" w:color="auto"/>
              <w:bottom w:val="single" w:sz="4" w:space="0" w:color="auto"/>
              <w:right w:val="single" w:sz="4" w:space="0" w:color="auto"/>
            </w:tcBorders>
            <w:vAlign w:val="center"/>
          </w:tcPr>
          <w:p w14:paraId="47FBF1DE">
            <w:pPr>
              <w:wordWrap w:val="0"/>
              <w:jc w:val="left"/>
              <w:rPr>
                <w:rFonts w:ascii="宋体" w:eastAsia="宋体" w:hAnsi="宋体" w:cs="宋体"/>
                <w:sz w:val="24"/>
              </w:rPr>
            </w:pPr>
            <w:r>
              <w:rPr>
                <w:rFonts w:ascii="宋体" w:eastAsia="宋体" w:hAnsi="宋体" w:cs="宋体"/>
                <w:sz w:val="24"/>
              </w:rPr>
              <w:t>总体规划</w:t>
            </w:r>
          </w:p>
        </w:tc>
        <w:tc>
          <w:tcPr>
            <w:tcW w:w="1449" w:type="dxa"/>
            <w:tcBorders>
              <w:top w:val="single" w:sz="4" w:space="0" w:color="auto"/>
              <w:left w:val="single" w:sz="4" w:space="0" w:color="auto"/>
              <w:bottom w:val="single" w:sz="4" w:space="0" w:color="auto"/>
              <w:right w:val="single" w:sz="4" w:space="0" w:color="auto"/>
            </w:tcBorders>
            <w:vAlign w:val="center"/>
          </w:tcPr>
          <w:p w14:paraId="277A9CF4">
            <w:pPr>
              <w:wordWrap w:val="0"/>
              <w:jc w:val="center"/>
              <w:rPr>
                <w:rFonts w:ascii="宋体" w:eastAsia="宋体" w:hAnsi="宋体" w:cs="宋体"/>
                <w:sz w:val="24"/>
              </w:rPr>
            </w:pPr>
            <w:r>
              <w:rPr>
                <w:rFonts w:ascii="宋体" w:eastAsia="宋体" w:hAnsi="宋体" w:cs="宋体"/>
                <w:sz w:val="24"/>
              </w:rPr>
              <w:t>博士研究生</w:t>
            </w:r>
          </w:p>
        </w:tc>
      </w:tr>
    </w:tbl>
    <w:p w14:paraId="37A73C3B">
      <w:pPr>
        <w:wordWrap w:val="0"/>
        <w:rPr>
          <w:sz w:val="21"/>
        </w:rPr>
      </w:pPr>
      <w:r>
        <w:rPr>
          <w:rFonts w:hint="eastAsia"/>
          <w:sz w:val="24"/>
        </w:rPr>
        <w:t>注：证件号码一般填写身份证号码，无身份证人员填写时要注明证件名称。</w:t>
      </w:r>
    </w:p>
    <w:tbl>
      <w:tblPr>
        <w:tblStyle w:val="TableNormal"/>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77"/>
        <w:gridCol w:w="1587"/>
        <w:gridCol w:w="1587"/>
        <w:gridCol w:w="1587"/>
        <w:gridCol w:w="1587"/>
        <w:gridCol w:w="1587"/>
        <w:gridCol w:w="1587"/>
        <w:gridCol w:w="1587"/>
        <w:gridCol w:w="1587"/>
        <w:gridCol w:w="1587"/>
      </w:tblGrid>
      <w:tr w14:paraId="1813A0F4">
        <w:tblPrEx>
          <w:tblW w:w="16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jc w:val="center"/>
        </w:trPr>
        <w:tc>
          <w:tcPr>
            <w:tcW w:w="1877" w:type="dxa"/>
            <w:vAlign w:val="center"/>
          </w:tcPr>
          <w:p w14:paraId="25BE75B5">
            <w:pPr>
              <w:keepNext/>
              <w:widowControl/>
              <w:wordWrap w:val="0"/>
              <w:spacing w:line="320" w:lineRule="exact"/>
              <w:jc w:val="center"/>
              <w:rPr>
                <w:sz w:val="24"/>
              </w:rPr>
            </w:pPr>
            <w:r>
              <w:rPr>
                <w:rFonts w:hint="eastAsia"/>
                <w:sz w:val="24"/>
              </w:rPr>
              <w:t>总人数</w:t>
            </w:r>
          </w:p>
        </w:tc>
        <w:tc>
          <w:tcPr>
            <w:tcW w:w="1587" w:type="dxa"/>
            <w:vAlign w:val="center"/>
          </w:tcPr>
          <w:p w14:paraId="16B6652B">
            <w:pPr>
              <w:keepNext/>
              <w:widowControl/>
              <w:wordWrap w:val="0"/>
              <w:spacing w:line="320" w:lineRule="exact"/>
              <w:jc w:val="center"/>
              <w:rPr>
                <w:sz w:val="24"/>
              </w:rPr>
            </w:pPr>
            <w:r>
              <w:rPr>
                <w:rFonts w:hint="eastAsia"/>
                <w:sz w:val="24"/>
              </w:rPr>
              <w:t>高级</w:t>
            </w:r>
          </w:p>
        </w:tc>
        <w:tc>
          <w:tcPr>
            <w:tcW w:w="1587" w:type="dxa"/>
            <w:vAlign w:val="center"/>
          </w:tcPr>
          <w:p w14:paraId="6E53CFE0">
            <w:pPr>
              <w:keepNext/>
              <w:widowControl/>
              <w:wordWrap w:val="0"/>
              <w:spacing w:line="320" w:lineRule="exact"/>
              <w:jc w:val="center"/>
              <w:rPr>
                <w:sz w:val="24"/>
              </w:rPr>
            </w:pPr>
            <w:r>
              <w:rPr>
                <w:rFonts w:hint="eastAsia"/>
                <w:sz w:val="24"/>
              </w:rPr>
              <w:t>中级</w:t>
            </w:r>
          </w:p>
        </w:tc>
        <w:tc>
          <w:tcPr>
            <w:tcW w:w="1587" w:type="dxa"/>
            <w:vAlign w:val="center"/>
          </w:tcPr>
          <w:p w14:paraId="205AB97D">
            <w:pPr>
              <w:keepNext/>
              <w:widowControl/>
              <w:wordWrap w:val="0"/>
              <w:spacing w:line="320" w:lineRule="exact"/>
              <w:jc w:val="center"/>
              <w:rPr>
                <w:sz w:val="24"/>
              </w:rPr>
            </w:pPr>
            <w:r>
              <w:rPr>
                <w:rFonts w:hint="eastAsia"/>
                <w:sz w:val="24"/>
              </w:rPr>
              <w:t>初级</w:t>
            </w:r>
          </w:p>
        </w:tc>
        <w:tc>
          <w:tcPr>
            <w:tcW w:w="1587" w:type="dxa"/>
            <w:vAlign w:val="center"/>
          </w:tcPr>
          <w:p w14:paraId="538AC6A7">
            <w:pPr>
              <w:keepNext/>
              <w:widowControl/>
              <w:wordWrap w:val="0"/>
              <w:spacing w:line="320" w:lineRule="exact"/>
              <w:jc w:val="center"/>
              <w:rPr>
                <w:sz w:val="24"/>
              </w:rPr>
            </w:pPr>
            <w:r>
              <w:rPr>
                <w:rFonts w:hint="eastAsia"/>
                <w:sz w:val="24"/>
              </w:rPr>
              <w:t>其它</w:t>
            </w:r>
          </w:p>
        </w:tc>
        <w:tc>
          <w:tcPr>
            <w:tcW w:w="1587" w:type="dxa"/>
            <w:vAlign w:val="center"/>
          </w:tcPr>
          <w:p w14:paraId="0DF3D122">
            <w:pPr>
              <w:keepNext/>
              <w:widowControl/>
              <w:wordWrap w:val="0"/>
              <w:spacing w:line="320" w:lineRule="exact"/>
              <w:jc w:val="center"/>
              <w:rPr>
                <w:sz w:val="24"/>
              </w:rPr>
            </w:pPr>
            <w:r>
              <w:rPr>
                <w:rFonts w:hint="eastAsia"/>
                <w:sz w:val="24"/>
              </w:rPr>
              <w:t>博士后</w:t>
            </w:r>
          </w:p>
        </w:tc>
        <w:tc>
          <w:tcPr>
            <w:tcW w:w="1587" w:type="dxa"/>
            <w:vAlign w:val="center"/>
          </w:tcPr>
          <w:p w14:paraId="5DAABE5F">
            <w:pPr>
              <w:keepNext/>
              <w:widowControl/>
              <w:wordWrap w:val="0"/>
              <w:spacing w:line="320" w:lineRule="exact"/>
              <w:jc w:val="center"/>
              <w:rPr>
                <w:sz w:val="24"/>
              </w:rPr>
            </w:pPr>
            <w:r>
              <w:rPr>
                <w:rFonts w:hint="eastAsia"/>
                <w:sz w:val="24"/>
              </w:rPr>
              <w:t>博士</w:t>
            </w:r>
          </w:p>
        </w:tc>
        <w:tc>
          <w:tcPr>
            <w:tcW w:w="1587" w:type="dxa"/>
            <w:vAlign w:val="center"/>
          </w:tcPr>
          <w:p w14:paraId="7A56251D">
            <w:pPr>
              <w:keepNext/>
              <w:widowControl/>
              <w:wordWrap w:val="0"/>
              <w:spacing w:line="320" w:lineRule="exact"/>
              <w:jc w:val="center"/>
              <w:rPr>
                <w:sz w:val="24"/>
              </w:rPr>
            </w:pPr>
            <w:r>
              <w:rPr>
                <w:rFonts w:hint="eastAsia"/>
                <w:sz w:val="24"/>
              </w:rPr>
              <w:t>博士生</w:t>
            </w:r>
          </w:p>
        </w:tc>
        <w:tc>
          <w:tcPr>
            <w:tcW w:w="1587" w:type="dxa"/>
            <w:vAlign w:val="center"/>
          </w:tcPr>
          <w:p w14:paraId="55DACB3C">
            <w:pPr>
              <w:keepNext/>
              <w:widowControl/>
              <w:wordWrap w:val="0"/>
              <w:spacing w:line="320" w:lineRule="exact"/>
              <w:jc w:val="center"/>
              <w:rPr>
                <w:sz w:val="24"/>
              </w:rPr>
            </w:pPr>
            <w:r>
              <w:rPr>
                <w:rFonts w:hint="eastAsia"/>
                <w:sz w:val="24"/>
              </w:rPr>
              <w:t>硕士</w:t>
            </w:r>
          </w:p>
        </w:tc>
        <w:tc>
          <w:tcPr>
            <w:tcW w:w="1587" w:type="dxa"/>
            <w:vAlign w:val="center"/>
          </w:tcPr>
          <w:p w14:paraId="45B3A6D2">
            <w:pPr>
              <w:keepNext/>
              <w:widowControl/>
              <w:wordWrap w:val="0"/>
              <w:spacing w:line="320" w:lineRule="exact"/>
              <w:jc w:val="center"/>
              <w:rPr>
                <w:sz w:val="24"/>
              </w:rPr>
            </w:pPr>
            <w:r>
              <w:rPr>
                <w:rFonts w:hint="eastAsia"/>
                <w:sz w:val="24"/>
              </w:rPr>
              <w:t>硕士生</w:t>
            </w:r>
          </w:p>
        </w:tc>
      </w:tr>
      <w:tr w14:paraId="0C356D8B">
        <w:tblPrEx>
          <w:tblW w:w="16160" w:type="dxa"/>
          <w:jc w:val="center"/>
          <w:tblCellMar>
            <w:top w:w="0" w:type="dxa"/>
            <w:left w:w="108" w:type="dxa"/>
            <w:bottom w:w="0" w:type="dxa"/>
            <w:right w:w="108" w:type="dxa"/>
          </w:tblCellMar>
        </w:tblPrEx>
        <w:trPr>
          <w:cantSplit/>
          <w:trHeight w:val="477"/>
          <w:jc w:val="center"/>
        </w:trPr>
        <w:tc>
          <w:tcPr>
            <w:tcW w:w="1877" w:type="dxa"/>
            <w:vAlign w:val="center"/>
          </w:tcPr>
          <w:p w14:paraId="4412823D">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151B3096">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4F239679">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235091B3">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64F24F86">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3EE1BD2B">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7522ED44">
            <w:pPr>
              <w:keepNext/>
              <w:widowControl/>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57F530F4">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7463E62A">
            <w:pPr>
              <w:keepNext/>
              <w:widowControl/>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3781DE2E">
            <w:pPr>
              <w:keepNext/>
              <w:widowControl/>
              <w:wordWrap w:val="0"/>
              <w:jc w:val="center"/>
              <w:rPr>
                <w:rFonts w:ascii="宋体" w:eastAsia="宋体" w:hAnsi="宋体" w:cs="宋体"/>
                <w:sz w:val="24"/>
              </w:rPr>
            </w:pPr>
            <w:r>
              <w:rPr>
                <w:rFonts w:ascii="宋体" w:eastAsia="宋体" w:hAnsi="宋体" w:cs="宋体"/>
                <w:sz w:val="24"/>
              </w:rPr>
              <w:t>0</w:t>
            </w:r>
          </w:p>
        </w:tc>
      </w:tr>
    </w:tbl>
    <w:p w14:paraId="78B8375F">
      <w:pPr>
        <w:wordWrap w:val="0"/>
        <w:rPr>
          <w:sz w:val="10"/>
          <w:szCs w:val="10"/>
        </w:rPr>
        <w:sectPr>
          <w:pgSz w:w="16838" w:h="11906" w:orient="landscape"/>
          <w:pgMar w:top="1418" w:right="1418" w:bottom="1418" w:left="1418" w:header="851" w:footer="851" w:gutter="0"/>
          <w:cols w:num="1" w:space="720"/>
          <w:docGrid w:linePitch="381" w:charSpace="0"/>
        </w:sectPr>
      </w:pPr>
    </w:p>
    <w:p w14:paraId="4E313B76">
      <w:pPr>
        <w:wordWrap w:val="0"/>
        <w:spacing w:line="20" w:lineRule="exact"/>
      </w:pPr>
    </w:p>
    <w:tbl>
      <w:tblPr>
        <w:tblStyle w:val="TableNormal"/>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55"/>
      </w:tblGrid>
      <w:tr w14:paraId="2C7782B3">
        <w:tblPrEx>
          <w:tblW w:w="9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032"/>
          <w:jc w:val="center"/>
        </w:trPr>
        <w:tc>
          <w:tcPr>
            <w:tcW w:w="9655" w:type="dxa"/>
          </w:tcPr>
          <w:p w14:paraId="51C2F2C3">
            <w:pPr>
              <w:wordWrap w:val="0"/>
              <w:jc w:val="center"/>
              <w:rPr>
                <w:b/>
              </w:rPr>
            </w:pPr>
            <w:r>
              <w:rPr>
                <w:rFonts w:hint="eastAsia"/>
                <w:b/>
              </w:rPr>
              <w:t>预算填写说明</w:t>
            </w:r>
          </w:p>
          <w:p w14:paraId="414286AF">
            <w:pPr>
              <w:wordWrap w:val="0"/>
              <w:spacing w:line="340" w:lineRule="exact"/>
              <w:ind w:firstLine="420" w:firstLineChars="200"/>
              <w:rPr>
                <w:b/>
                <w:bCs/>
                <w:sz w:val="21"/>
                <w:szCs w:val="21"/>
              </w:rPr>
            </w:pPr>
            <w:r>
              <w:rPr>
                <w:rFonts w:hint="eastAsia"/>
                <w:b/>
                <w:bCs/>
                <w:sz w:val="21"/>
                <w:szCs w:val="21"/>
              </w:rPr>
              <w:t>一、省级财政资金</w:t>
            </w:r>
          </w:p>
          <w:p w14:paraId="3035C649">
            <w:pPr>
              <w:wordWrap w:val="0"/>
              <w:spacing w:line="340" w:lineRule="exact"/>
              <w:ind w:firstLine="420" w:firstLineChars="200"/>
              <w:rPr>
                <w:rFonts w:cs="仿宋_GB2312"/>
                <w:sz w:val="21"/>
                <w:szCs w:val="21"/>
              </w:rPr>
            </w:pPr>
            <w:r>
              <w:rPr>
                <w:rFonts w:cs="仿宋_GB2312" w:hint="eastAsia"/>
                <w:sz w:val="21"/>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1A04A8C7">
            <w:pPr>
              <w:wordWrap w:val="0"/>
              <w:spacing w:line="340" w:lineRule="exact"/>
              <w:ind w:firstLine="420" w:firstLineChars="200"/>
              <w:rPr>
                <w:rFonts w:cs="黑体"/>
                <w:sz w:val="21"/>
                <w:szCs w:val="21"/>
              </w:rPr>
            </w:pPr>
            <w:r>
              <w:rPr>
                <w:rFonts w:cs="黑体" w:hint="eastAsia"/>
                <w:sz w:val="21"/>
                <w:szCs w:val="21"/>
              </w:rPr>
              <w:t>（一）直接费用</w:t>
            </w:r>
          </w:p>
          <w:p w14:paraId="3FCB8DFE">
            <w:pPr>
              <w:wordWrap w:val="0"/>
              <w:spacing w:line="340" w:lineRule="exact"/>
              <w:ind w:firstLine="420" w:firstLineChars="200"/>
              <w:rPr>
                <w:rFonts w:cs="仿宋_GB2312"/>
                <w:sz w:val="21"/>
                <w:szCs w:val="21"/>
              </w:rPr>
            </w:pPr>
            <w:r>
              <w:rPr>
                <w:rFonts w:cs="仿宋_GB2312" w:hint="eastAsia"/>
                <w:sz w:val="21"/>
                <w:szCs w:val="21"/>
              </w:rPr>
              <w:t>指在项目实施过程中发生的与之直接相关的费用，具体包括：</w:t>
            </w:r>
          </w:p>
          <w:p w14:paraId="7F132FD9">
            <w:pPr>
              <w:wordWrap w:val="0"/>
              <w:spacing w:line="340" w:lineRule="exact"/>
              <w:ind w:firstLine="420" w:firstLineChars="200"/>
              <w:rPr>
                <w:rFonts w:cs="仿宋_GB2312"/>
                <w:sz w:val="21"/>
                <w:szCs w:val="21"/>
              </w:rPr>
            </w:pPr>
            <w:r>
              <w:rPr>
                <w:rFonts w:cs="仿宋_GB2312" w:hint="eastAsia"/>
                <w:sz w:val="21"/>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1E1F8B39">
            <w:pPr>
              <w:wordWrap w:val="0"/>
              <w:spacing w:line="340" w:lineRule="exact"/>
              <w:ind w:firstLine="420" w:firstLineChars="200"/>
              <w:rPr>
                <w:rFonts w:cs="仿宋_GB2312"/>
                <w:sz w:val="21"/>
                <w:szCs w:val="21"/>
              </w:rPr>
            </w:pPr>
            <w:r>
              <w:rPr>
                <w:rFonts w:cs="仿宋_GB2312" w:hint="eastAsia"/>
                <w:sz w:val="21"/>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3B2CD90F">
            <w:pPr>
              <w:wordWrap w:val="0"/>
              <w:spacing w:line="340" w:lineRule="exact"/>
              <w:ind w:firstLine="420" w:firstLineChars="200"/>
              <w:rPr>
                <w:rFonts w:cs="仿宋_GB2312"/>
                <w:sz w:val="21"/>
                <w:szCs w:val="21"/>
              </w:rPr>
            </w:pPr>
            <w:r>
              <w:rPr>
                <w:rFonts w:cs="仿宋_GB2312" w:hint="eastAsia"/>
                <w:sz w:val="21"/>
                <w:szCs w:val="21"/>
              </w:rPr>
              <w:t>3.劳务费：指在项目实施过程中支付给参与项目研究的研究生、博士后、访问学者以及项目科研辅助人员等的劳务性费用，以及支付给临时聘请的咨询专家的费用等。</w:t>
            </w:r>
          </w:p>
          <w:p w14:paraId="428FD5A3">
            <w:pPr>
              <w:wordWrap w:val="0"/>
              <w:spacing w:line="340" w:lineRule="exact"/>
              <w:ind w:firstLine="420" w:firstLineChars="200"/>
              <w:rPr>
                <w:rFonts w:cs="仿宋_GB2312"/>
                <w:sz w:val="21"/>
                <w:szCs w:val="21"/>
              </w:rPr>
            </w:pPr>
            <w:r>
              <w:rPr>
                <w:rFonts w:cs="仿宋_GB2312" w:hint="eastAsia"/>
                <w:sz w:val="21"/>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2303A91B">
            <w:pPr>
              <w:wordWrap w:val="0"/>
              <w:spacing w:line="340" w:lineRule="exact"/>
              <w:ind w:firstLine="420" w:firstLineChars="200"/>
              <w:rPr>
                <w:rFonts w:cs="仿宋_GB2312"/>
                <w:sz w:val="21"/>
                <w:szCs w:val="21"/>
              </w:rPr>
            </w:pPr>
            <w:r>
              <w:rPr>
                <w:rFonts w:cs="仿宋_GB2312" w:hint="eastAsia"/>
                <w:sz w:val="21"/>
                <w:szCs w:val="21"/>
              </w:rPr>
              <w:t>专家咨询费不得支付给参与项目及其项目管理相关的工作人员。专家咨询费标准参照《中央财政科研项目专家咨询费管理办法》（财科教〔2017〕128号）规定，由项目申报单位结合实际自行确定。</w:t>
            </w:r>
          </w:p>
          <w:p w14:paraId="5E7B30F2">
            <w:pPr>
              <w:wordWrap w:val="0"/>
              <w:spacing w:line="340" w:lineRule="exact"/>
              <w:ind w:firstLine="420" w:firstLineChars="200"/>
              <w:rPr>
                <w:rFonts w:cs="黑体"/>
                <w:sz w:val="21"/>
                <w:szCs w:val="21"/>
              </w:rPr>
            </w:pPr>
            <w:r>
              <w:rPr>
                <w:rFonts w:cs="黑体" w:hint="eastAsia"/>
                <w:sz w:val="21"/>
                <w:szCs w:val="21"/>
              </w:rPr>
              <w:t>（二）间接费用</w:t>
            </w:r>
          </w:p>
          <w:p w14:paraId="3711A056">
            <w:pPr>
              <w:wordWrap w:val="0"/>
              <w:autoSpaceDE w:val="0"/>
              <w:autoSpaceDN w:val="0"/>
              <w:spacing w:line="340" w:lineRule="exact"/>
              <w:ind w:firstLine="403" w:firstLineChars="192"/>
              <w:rPr>
                <w:sz w:val="21"/>
                <w:szCs w:val="21"/>
              </w:rPr>
            </w:pPr>
            <w:r>
              <w:rPr>
                <w:rFonts w:hint="eastAsia"/>
                <w:sz w:val="21"/>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14:paraId="3A40D6B7">
            <w:pPr>
              <w:wordWrap w:val="0"/>
              <w:autoSpaceDE w:val="0"/>
              <w:autoSpaceDN w:val="0"/>
              <w:spacing w:line="340" w:lineRule="exact"/>
              <w:ind w:firstLine="403" w:firstLineChars="192"/>
              <w:rPr>
                <w:sz w:val="21"/>
                <w:szCs w:val="21"/>
              </w:rPr>
            </w:pPr>
            <w:r>
              <w:rPr>
                <w:rFonts w:hint="eastAsia"/>
                <w:sz w:val="21"/>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14:paraId="6479EB4B">
            <w:pPr>
              <w:wordWrap w:val="0"/>
              <w:autoSpaceDE w:val="0"/>
              <w:autoSpaceDN w:val="0"/>
              <w:spacing w:line="340" w:lineRule="exact"/>
              <w:ind w:firstLine="403" w:firstLineChars="192"/>
              <w:rPr>
                <w:sz w:val="21"/>
                <w:szCs w:val="21"/>
              </w:rPr>
            </w:pPr>
            <w:r>
              <w:rPr>
                <w:rFonts w:hint="eastAsia"/>
                <w:sz w:val="21"/>
                <w:szCs w:val="21"/>
              </w:rPr>
              <w:t>间接费用由项目承担单位统筹安排使用，可全部用于绩效支出，并向创新绩效突出的团队、个人和青年人才倾斜。</w:t>
            </w:r>
          </w:p>
          <w:p w14:paraId="34447AA8">
            <w:pPr>
              <w:wordWrap w:val="0"/>
              <w:autoSpaceDE w:val="0"/>
              <w:autoSpaceDN w:val="0"/>
              <w:spacing w:line="340" w:lineRule="exact"/>
              <w:ind w:firstLine="403" w:firstLineChars="192"/>
              <w:rPr>
                <w:sz w:val="21"/>
                <w:szCs w:val="21"/>
              </w:rPr>
            </w:pPr>
            <w:r>
              <w:rPr>
                <w:rFonts w:hint="eastAsia"/>
                <w:b/>
                <w:bCs/>
                <w:sz w:val="21"/>
                <w:szCs w:val="21"/>
              </w:rPr>
              <w:t>二、自筹资金与配套资金</w:t>
            </w:r>
          </w:p>
          <w:p w14:paraId="35F8FFBB">
            <w:pPr>
              <w:wordWrap w:val="0"/>
              <w:autoSpaceDE w:val="0"/>
              <w:autoSpaceDN w:val="0"/>
              <w:spacing w:line="340" w:lineRule="exact"/>
              <w:ind w:firstLine="403" w:firstLineChars="192"/>
            </w:pPr>
            <w:r>
              <w:rPr>
                <w:rFonts w:hint="eastAsia"/>
                <w:sz w:val="21"/>
                <w:szCs w:val="21"/>
              </w:rPr>
              <w:t>对自筹资金与配套资金主要用途、支出预算做简要说明。</w:t>
            </w:r>
          </w:p>
        </w:tc>
      </w:tr>
    </w:tbl>
    <w:p w14:paraId="7FDDD7BA">
      <w:pPr>
        <w:widowControl/>
        <w:wordWrap w:val="0"/>
        <w:jc w:val="left"/>
        <w:rPr>
          <w:sz w:val="10"/>
          <w:szCs w:val="10"/>
        </w:rPr>
      </w:pPr>
      <w:r>
        <w:rPr>
          <w:sz w:val="10"/>
          <w:szCs w:val="10"/>
        </w:rPr>
        <w:br w:type="page"/>
      </w:r>
    </w:p>
    <w:p w14:paraId="7CA9FE71">
      <w:pPr>
        <w:wordWrap w:val="0"/>
        <w:jc w:val="center"/>
        <w:rPr>
          <w:b/>
          <w:szCs w:val="36"/>
        </w:rPr>
      </w:pPr>
      <w:r>
        <w:rPr>
          <w:rFonts w:hint="eastAsia"/>
          <w:b/>
          <w:szCs w:val="36"/>
        </w:rPr>
        <w:t>项目预算表</w:t>
      </w:r>
    </w:p>
    <w:p w14:paraId="20932944">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722"/>
        <w:gridCol w:w="3852"/>
        <w:gridCol w:w="3890"/>
      </w:tblGrid>
      <w:tr w14:paraId="3255A4E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722" w:type="dxa"/>
            <w:vAlign w:val="center"/>
          </w:tcPr>
          <w:p w14:paraId="48A2E50D">
            <w:pPr>
              <w:wordWrap w:val="0"/>
              <w:jc w:val="center"/>
              <w:outlineLvl w:val="0"/>
              <w:rPr>
                <w:b/>
                <w:sz w:val="24"/>
              </w:rPr>
            </w:pPr>
            <w:r>
              <w:rPr>
                <w:rFonts w:hint="eastAsia"/>
                <w:b/>
                <w:sz w:val="24"/>
              </w:rPr>
              <w:t>序号</w:t>
            </w:r>
          </w:p>
        </w:tc>
        <w:tc>
          <w:tcPr>
            <w:tcW w:w="3852" w:type="dxa"/>
            <w:vAlign w:val="center"/>
          </w:tcPr>
          <w:p w14:paraId="2C3A0B46">
            <w:pPr>
              <w:wordWrap w:val="0"/>
              <w:jc w:val="center"/>
              <w:outlineLvl w:val="0"/>
              <w:rPr>
                <w:b/>
                <w:sz w:val="24"/>
              </w:rPr>
            </w:pPr>
            <w:r>
              <w:rPr>
                <w:rFonts w:hint="eastAsia"/>
                <w:b/>
                <w:sz w:val="24"/>
              </w:rPr>
              <w:t>预算科目名称</w:t>
            </w:r>
          </w:p>
        </w:tc>
        <w:tc>
          <w:tcPr>
            <w:tcW w:w="3890" w:type="dxa"/>
            <w:vAlign w:val="center"/>
          </w:tcPr>
          <w:p w14:paraId="49CF5751">
            <w:pPr>
              <w:wordWrap w:val="0"/>
              <w:jc w:val="center"/>
              <w:outlineLvl w:val="0"/>
              <w:rPr>
                <w:b/>
                <w:sz w:val="24"/>
              </w:rPr>
            </w:pPr>
            <w:r>
              <w:rPr>
                <w:rFonts w:hint="eastAsia"/>
                <w:b/>
                <w:sz w:val="24"/>
              </w:rPr>
              <w:t>金额</w:t>
            </w:r>
          </w:p>
        </w:tc>
      </w:tr>
      <w:tr w14:paraId="13272794">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AA50486">
            <w:pPr>
              <w:wordWrap w:val="0"/>
              <w:jc w:val="center"/>
              <w:outlineLvl w:val="0"/>
              <w:rPr>
                <w:sz w:val="24"/>
              </w:rPr>
            </w:pPr>
            <w:r>
              <w:rPr>
                <w:rFonts w:hint="eastAsia"/>
                <w:sz w:val="24"/>
              </w:rPr>
              <w:t>1</w:t>
            </w:r>
          </w:p>
        </w:tc>
        <w:tc>
          <w:tcPr>
            <w:tcW w:w="3852" w:type="dxa"/>
            <w:vAlign w:val="center"/>
          </w:tcPr>
          <w:p w14:paraId="47AB35C9">
            <w:pPr>
              <w:wordWrap w:val="0"/>
              <w:outlineLvl w:val="0"/>
              <w:rPr>
                <w:sz w:val="24"/>
              </w:rPr>
            </w:pPr>
            <w:r>
              <w:rPr>
                <w:rFonts w:hint="eastAsia"/>
                <w:b/>
                <w:bCs/>
                <w:sz w:val="24"/>
              </w:rPr>
              <w:t>一、省级财政资金</w:t>
            </w:r>
          </w:p>
        </w:tc>
        <w:tc>
          <w:tcPr>
            <w:tcW w:w="3890" w:type="dxa"/>
            <w:vAlign w:val="center"/>
          </w:tcPr>
          <w:p w14:paraId="0E3B4733">
            <w:pPr>
              <w:wordWrap w:val="0"/>
              <w:jc w:val="center"/>
              <w:outlineLvl w:val="0"/>
              <w:rPr>
                <w:rFonts w:ascii="宋体" w:eastAsia="宋体" w:hAnsi="宋体" w:cs="宋体"/>
                <w:sz w:val="24"/>
              </w:rPr>
            </w:pPr>
            <w:r>
              <w:rPr>
                <w:rFonts w:ascii="宋体" w:eastAsia="宋体" w:hAnsi="宋体" w:cs="宋体"/>
                <w:sz w:val="24"/>
              </w:rPr>
              <w:t>10.00</w:t>
            </w:r>
          </w:p>
        </w:tc>
      </w:tr>
      <w:tr w14:paraId="0F509B07">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60260725">
            <w:pPr>
              <w:wordWrap w:val="0"/>
              <w:jc w:val="center"/>
              <w:outlineLvl w:val="0"/>
              <w:rPr>
                <w:sz w:val="24"/>
              </w:rPr>
            </w:pPr>
            <w:r>
              <w:rPr>
                <w:rFonts w:hint="eastAsia"/>
                <w:sz w:val="24"/>
              </w:rPr>
              <w:t>2</w:t>
            </w:r>
          </w:p>
        </w:tc>
        <w:tc>
          <w:tcPr>
            <w:tcW w:w="3852" w:type="dxa"/>
            <w:vAlign w:val="center"/>
          </w:tcPr>
          <w:p w14:paraId="2DED00FE">
            <w:pPr>
              <w:wordWrap w:val="0"/>
              <w:outlineLvl w:val="0"/>
              <w:rPr>
                <w:sz w:val="24"/>
              </w:rPr>
            </w:pPr>
            <w:r>
              <w:rPr>
                <w:rFonts w:hint="eastAsia"/>
                <w:sz w:val="24"/>
              </w:rPr>
              <w:t>（一）直接费用</w:t>
            </w:r>
          </w:p>
        </w:tc>
        <w:tc>
          <w:tcPr>
            <w:tcW w:w="3890" w:type="dxa"/>
            <w:vAlign w:val="center"/>
          </w:tcPr>
          <w:p w14:paraId="784BCEFC">
            <w:pPr>
              <w:wordWrap w:val="0"/>
              <w:jc w:val="center"/>
              <w:outlineLvl w:val="0"/>
              <w:rPr>
                <w:rFonts w:ascii="宋体" w:eastAsia="宋体" w:hAnsi="宋体" w:cs="宋体"/>
                <w:sz w:val="24"/>
              </w:rPr>
            </w:pPr>
            <w:r>
              <w:rPr>
                <w:rFonts w:ascii="宋体" w:eastAsia="宋体" w:hAnsi="宋体" w:cs="宋体"/>
                <w:sz w:val="24"/>
              </w:rPr>
              <w:t>9.00</w:t>
            </w:r>
          </w:p>
        </w:tc>
      </w:tr>
      <w:tr w14:paraId="17AC61B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2580A3A">
            <w:pPr>
              <w:wordWrap w:val="0"/>
              <w:jc w:val="center"/>
              <w:outlineLvl w:val="0"/>
              <w:rPr>
                <w:sz w:val="24"/>
              </w:rPr>
            </w:pPr>
            <w:r>
              <w:rPr>
                <w:rFonts w:hint="eastAsia"/>
                <w:sz w:val="24"/>
              </w:rPr>
              <w:t>3</w:t>
            </w:r>
          </w:p>
        </w:tc>
        <w:tc>
          <w:tcPr>
            <w:tcW w:w="3852" w:type="dxa"/>
            <w:vAlign w:val="center"/>
          </w:tcPr>
          <w:p w14:paraId="268D0CC4">
            <w:pPr>
              <w:wordWrap w:val="0"/>
              <w:outlineLvl w:val="0"/>
              <w:rPr>
                <w:sz w:val="24"/>
              </w:rPr>
            </w:pPr>
            <w:r>
              <w:rPr>
                <w:rFonts w:hint="eastAsia"/>
                <w:sz w:val="24"/>
              </w:rPr>
              <w:t>1.设备费</w:t>
            </w:r>
          </w:p>
        </w:tc>
        <w:tc>
          <w:tcPr>
            <w:tcW w:w="3890" w:type="dxa"/>
            <w:vAlign w:val="center"/>
          </w:tcPr>
          <w:p w14:paraId="0C2F8FCD">
            <w:pPr>
              <w:wordWrap w:val="0"/>
              <w:jc w:val="center"/>
              <w:outlineLvl w:val="0"/>
              <w:rPr>
                <w:rFonts w:ascii="宋体" w:eastAsia="宋体" w:hAnsi="宋体" w:cs="宋体"/>
                <w:sz w:val="24"/>
              </w:rPr>
            </w:pPr>
            <w:r>
              <w:rPr>
                <w:rFonts w:ascii="宋体" w:eastAsia="宋体" w:hAnsi="宋体" w:cs="宋体"/>
                <w:sz w:val="24"/>
              </w:rPr>
              <w:t>5.00</w:t>
            </w:r>
          </w:p>
        </w:tc>
      </w:tr>
      <w:tr w14:paraId="6360B8BC">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4B2DBD2A">
            <w:pPr>
              <w:wordWrap w:val="0"/>
              <w:jc w:val="center"/>
              <w:outlineLvl w:val="0"/>
              <w:rPr>
                <w:sz w:val="24"/>
              </w:rPr>
            </w:pPr>
            <w:r>
              <w:rPr>
                <w:rFonts w:hint="eastAsia"/>
                <w:sz w:val="24"/>
              </w:rPr>
              <w:t>4</w:t>
            </w:r>
          </w:p>
        </w:tc>
        <w:tc>
          <w:tcPr>
            <w:tcW w:w="3852" w:type="dxa"/>
            <w:vAlign w:val="center"/>
          </w:tcPr>
          <w:p w14:paraId="34BECE9F">
            <w:pPr>
              <w:wordWrap w:val="0"/>
              <w:outlineLvl w:val="0"/>
              <w:rPr>
                <w:sz w:val="24"/>
              </w:rPr>
            </w:pPr>
            <w:r>
              <w:rPr>
                <w:rFonts w:hint="eastAsia"/>
                <w:sz w:val="24"/>
              </w:rPr>
              <w:t>其中：购置设备费</w:t>
            </w:r>
          </w:p>
        </w:tc>
        <w:tc>
          <w:tcPr>
            <w:tcW w:w="3890" w:type="dxa"/>
            <w:vAlign w:val="center"/>
          </w:tcPr>
          <w:p w14:paraId="170985DA">
            <w:pPr>
              <w:wordWrap w:val="0"/>
              <w:jc w:val="center"/>
              <w:outlineLvl w:val="0"/>
              <w:rPr>
                <w:rFonts w:ascii="宋体" w:eastAsia="宋体" w:hAnsi="宋体" w:cs="宋体"/>
                <w:sz w:val="24"/>
              </w:rPr>
            </w:pPr>
            <w:r>
              <w:rPr>
                <w:rFonts w:ascii="宋体" w:eastAsia="宋体" w:hAnsi="宋体" w:cs="宋体"/>
                <w:sz w:val="24"/>
              </w:rPr>
              <w:t>0.00</w:t>
            </w:r>
          </w:p>
        </w:tc>
      </w:tr>
      <w:tr w14:paraId="3677B9C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09BFB83">
            <w:pPr>
              <w:wordWrap w:val="0"/>
              <w:jc w:val="center"/>
              <w:outlineLvl w:val="0"/>
              <w:rPr>
                <w:sz w:val="24"/>
              </w:rPr>
            </w:pPr>
            <w:r>
              <w:rPr>
                <w:rFonts w:hint="eastAsia"/>
                <w:sz w:val="24"/>
              </w:rPr>
              <w:t>5</w:t>
            </w:r>
          </w:p>
        </w:tc>
        <w:tc>
          <w:tcPr>
            <w:tcW w:w="3852" w:type="dxa"/>
            <w:vAlign w:val="center"/>
          </w:tcPr>
          <w:p w14:paraId="4B0C83B1">
            <w:pPr>
              <w:wordWrap w:val="0"/>
              <w:outlineLvl w:val="0"/>
              <w:rPr>
                <w:sz w:val="24"/>
              </w:rPr>
            </w:pPr>
            <w:r>
              <w:rPr>
                <w:rFonts w:hint="eastAsia"/>
                <w:sz w:val="24"/>
              </w:rPr>
              <w:t>2.业务费</w:t>
            </w:r>
          </w:p>
        </w:tc>
        <w:tc>
          <w:tcPr>
            <w:tcW w:w="3890" w:type="dxa"/>
            <w:vAlign w:val="center"/>
          </w:tcPr>
          <w:p w14:paraId="3A24F27F">
            <w:pPr>
              <w:wordWrap w:val="0"/>
              <w:jc w:val="center"/>
              <w:outlineLvl w:val="0"/>
              <w:rPr>
                <w:rFonts w:ascii="宋体" w:eastAsia="宋体" w:hAnsi="宋体" w:cs="宋体"/>
                <w:sz w:val="24"/>
              </w:rPr>
            </w:pPr>
            <w:r>
              <w:rPr>
                <w:rFonts w:ascii="宋体" w:eastAsia="宋体" w:hAnsi="宋体" w:cs="宋体"/>
                <w:sz w:val="24"/>
              </w:rPr>
              <w:t>2.00</w:t>
            </w:r>
          </w:p>
        </w:tc>
      </w:tr>
      <w:tr w14:paraId="6CC6FD3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A1E86EC">
            <w:pPr>
              <w:wordWrap w:val="0"/>
              <w:jc w:val="center"/>
              <w:outlineLvl w:val="0"/>
              <w:rPr>
                <w:sz w:val="24"/>
              </w:rPr>
            </w:pPr>
            <w:r>
              <w:rPr>
                <w:rFonts w:hint="eastAsia"/>
                <w:sz w:val="24"/>
              </w:rPr>
              <w:t>6</w:t>
            </w:r>
          </w:p>
        </w:tc>
        <w:tc>
          <w:tcPr>
            <w:tcW w:w="3852" w:type="dxa"/>
            <w:vAlign w:val="center"/>
          </w:tcPr>
          <w:p w14:paraId="702AC2BB">
            <w:pPr>
              <w:wordWrap w:val="0"/>
              <w:outlineLvl w:val="0"/>
              <w:rPr>
                <w:sz w:val="24"/>
              </w:rPr>
            </w:pPr>
            <w:r>
              <w:rPr>
                <w:rFonts w:hint="eastAsia"/>
                <w:sz w:val="24"/>
              </w:rPr>
              <w:t>3.劳务费</w:t>
            </w:r>
          </w:p>
        </w:tc>
        <w:tc>
          <w:tcPr>
            <w:tcW w:w="3890" w:type="dxa"/>
            <w:vAlign w:val="center"/>
          </w:tcPr>
          <w:p w14:paraId="337D6636">
            <w:pPr>
              <w:wordWrap w:val="0"/>
              <w:jc w:val="center"/>
              <w:outlineLvl w:val="0"/>
              <w:rPr>
                <w:rFonts w:ascii="宋体" w:eastAsia="宋体" w:hAnsi="宋体" w:cs="宋体"/>
                <w:sz w:val="24"/>
              </w:rPr>
            </w:pPr>
            <w:r>
              <w:rPr>
                <w:rFonts w:ascii="宋体" w:eastAsia="宋体" w:hAnsi="宋体" w:cs="宋体"/>
                <w:sz w:val="24"/>
              </w:rPr>
              <w:t>2.00</w:t>
            </w:r>
          </w:p>
        </w:tc>
      </w:tr>
      <w:tr w14:paraId="59D9B32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28ECC10F">
            <w:pPr>
              <w:wordWrap w:val="0"/>
              <w:jc w:val="center"/>
              <w:outlineLvl w:val="0"/>
              <w:rPr>
                <w:sz w:val="24"/>
              </w:rPr>
            </w:pPr>
            <w:r>
              <w:rPr>
                <w:rFonts w:hint="eastAsia"/>
                <w:sz w:val="24"/>
              </w:rPr>
              <w:t>7</w:t>
            </w:r>
          </w:p>
        </w:tc>
        <w:tc>
          <w:tcPr>
            <w:tcW w:w="3852" w:type="dxa"/>
            <w:vAlign w:val="center"/>
          </w:tcPr>
          <w:p w14:paraId="1DB71805">
            <w:pPr>
              <w:wordWrap w:val="0"/>
              <w:outlineLvl w:val="0"/>
              <w:rPr>
                <w:sz w:val="24"/>
              </w:rPr>
            </w:pPr>
            <w:r>
              <w:rPr>
                <w:rFonts w:hint="eastAsia"/>
                <w:sz w:val="24"/>
              </w:rPr>
              <w:t>（二）间接费用</w:t>
            </w:r>
          </w:p>
        </w:tc>
        <w:tc>
          <w:tcPr>
            <w:tcW w:w="3890" w:type="dxa"/>
            <w:vAlign w:val="center"/>
          </w:tcPr>
          <w:p w14:paraId="14213ACE">
            <w:pPr>
              <w:wordWrap w:val="0"/>
              <w:jc w:val="center"/>
              <w:outlineLvl w:val="0"/>
              <w:rPr>
                <w:rFonts w:ascii="宋体" w:eastAsia="宋体" w:hAnsi="宋体" w:cs="宋体"/>
                <w:sz w:val="24"/>
              </w:rPr>
            </w:pPr>
            <w:r>
              <w:rPr>
                <w:rFonts w:ascii="宋体" w:eastAsia="宋体" w:hAnsi="宋体" w:cs="宋体"/>
                <w:sz w:val="24"/>
              </w:rPr>
              <w:t>1.00</w:t>
            </w:r>
          </w:p>
        </w:tc>
      </w:tr>
      <w:tr w14:paraId="5E863712">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0FBA8922">
            <w:pPr>
              <w:wordWrap w:val="0"/>
              <w:jc w:val="center"/>
              <w:outlineLvl w:val="0"/>
              <w:rPr>
                <w:sz w:val="24"/>
              </w:rPr>
            </w:pPr>
            <w:r>
              <w:rPr>
                <w:rFonts w:hint="eastAsia"/>
                <w:sz w:val="24"/>
              </w:rPr>
              <w:t>8</w:t>
            </w:r>
          </w:p>
        </w:tc>
        <w:tc>
          <w:tcPr>
            <w:tcW w:w="3852" w:type="dxa"/>
            <w:vAlign w:val="center"/>
          </w:tcPr>
          <w:p w14:paraId="022B860B">
            <w:pPr>
              <w:wordWrap w:val="0"/>
              <w:outlineLvl w:val="0"/>
              <w:rPr>
                <w:sz w:val="24"/>
              </w:rPr>
            </w:pPr>
            <w:r>
              <w:rPr>
                <w:rFonts w:hint="eastAsia"/>
                <w:color w:val="000000"/>
                <w:sz w:val="24"/>
              </w:rPr>
              <w:t>其中：绩效支出</w:t>
            </w:r>
          </w:p>
        </w:tc>
        <w:tc>
          <w:tcPr>
            <w:tcW w:w="3890" w:type="dxa"/>
            <w:vAlign w:val="center"/>
          </w:tcPr>
          <w:p w14:paraId="5AC1F94F">
            <w:pPr>
              <w:wordWrap w:val="0"/>
              <w:jc w:val="center"/>
              <w:outlineLvl w:val="0"/>
              <w:rPr>
                <w:rFonts w:ascii="宋体" w:eastAsia="宋体" w:hAnsi="宋体" w:cs="宋体"/>
                <w:sz w:val="24"/>
              </w:rPr>
            </w:pPr>
            <w:r>
              <w:rPr>
                <w:rFonts w:ascii="宋体" w:eastAsia="宋体" w:hAnsi="宋体" w:cs="宋体"/>
                <w:sz w:val="24"/>
              </w:rPr>
              <w:t>0.50</w:t>
            </w:r>
          </w:p>
        </w:tc>
      </w:tr>
      <w:tr w14:paraId="2EBC84F5">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5DFBA98B">
            <w:pPr>
              <w:wordWrap w:val="0"/>
              <w:jc w:val="center"/>
              <w:outlineLvl w:val="0"/>
              <w:rPr>
                <w:sz w:val="24"/>
              </w:rPr>
            </w:pPr>
            <w:r>
              <w:rPr>
                <w:rFonts w:hint="eastAsia"/>
                <w:sz w:val="24"/>
              </w:rPr>
              <w:t>9</w:t>
            </w:r>
          </w:p>
        </w:tc>
        <w:tc>
          <w:tcPr>
            <w:tcW w:w="3852" w:type="dxa"/>
            <w:vAlign w:val="center"/>
          </w:tcPr>
          <w:p w14:paraId="1AA42AF1">
            <w:pPr>
              <w:wordWrap w:val="0"/>
              <w:outlineLvl w:val="0"/>
              <w:rPr>
                <w:color w:val="000000"/>
                <w:sz w:val="24"/>
              </w:rPr>
            </w:pPr>
            <w:r>
              <w:rPr>
                <w:rFonts w:hint="eastAsia"/>
                <w:b/>
                <w:bCs/>
                <w:sz w:val="24"/>
              </w:rPr>
              <w:t>二、自筹资金</w:t>
            </w:r>
          </w:p>
        </w:tc>
        <w:tc>
          <w:tcPr>
            <w:tcW w:w="3890" w:type="dxa"/>
            <w:vAlign w:val="center"/>
          </w:tcPr>
          <w:p w14:paraId="2710132E">
            <w:pPr>
              <w:wordWrap w:val="0"/>
              <w:jc w:val="center"/>
              <w:outlineLvl w:val="0"/>
              <w:rPr>
                <w:rFonts w:ascii="宋体" w:eastAsia="宋体" w:hAnsi="宋体" w:cs="宋体"/>
                <w:sz w:val="24"/>
              </w:rPr>
            </w:pPr>
            <w:r>
              <w:rPr>
                <w:rFonts w:ascii="宋体" w:eastAsia="宋体" w:hAnsi="宋体" w:cs="宋体"/>
                <w:sz w:val="24"/>
              </w:rPr>
              <w:t>0.00</w:t>
            </w:r>
          </w:p>
        </w:tc>
      </w:tr>
      <w:tr w14:paraId="1BC53C4D">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11457C28">
            <w:pPr>
              <w:wordWrap w:val="0"/>
              <w:jc w:val="center"/>
              <w:outlineLvl w:val="0"/>
              <w:rPr>
                <w:sz w:val="24"/>
              </w:rPr>
            </w:pPr>
            <w:r>
              <w:rPr>
                <w:rFonts w:hint="eastAsia"/>
                <w:sz w:val="24"/>
              </w:rPr>
              <w:t>1</w:t>
            </w:r>
            <w:r>
              <w:rPr>
                <w:sz w:val="24"/>
              </w:rPr>
              <w:t>0</w:t>
            </w:r>
          </w:p>
        </w:tc>
        <w:tc>
          <w:tcPr>
            <w:tcW w:w="3852" w:type="dxa"/>
            <w:vAlign w:val="center"/>
          </w:tcPr>
          <w:p w14:paraId="31B8B325">
            <w:pPr>
              <w:wordWrap w:val="0"/>
              <w:outlineLvl w:val="0"/>
              <w:rPr>
                <w:b/>
                <w:bCs/>
                <w:sz w:val="24"/>
              </w:rPr>
            </w:pPr>
            <w:r>
              <w:rPr>
                <w:rFonts w:hint="eastAsia"/>
                <w:b/>
                <w:bCs/>
                <w:sz w:val="24"/>
              </w:rPr>
              <w:t>三、配套资金</w:t>
            </w:r>
          </w:p>
        </w:tc>
        <w:tc>
          <w:tcPr>
            <w:tcW w:w="3890" w:type="dxa"/>
            <w:vAlign w:val="center"/>
          </w:tcPr>
          <w:p w14:paraId="15BD5727">
            <w:pPr>
              <w:wordWrap w:val="0"/>
              <w:jc w:val="center"/>
              <w:outlineLvl w:val="0"/>
              <w:rPr>
                <w:rFonts w:ascii="宋体" w:eastAsia="宋体" w:hAnsi="宋体" w:cs="宋体"/>
                <w:sz w:val="24"/>
              </w:rPr>
            </w:pPr>
            <w:r>
              <w:rPr>
                <w:rFonts w:ascii="宋体" w:eastAsia="宋体" w:hAnsi="宋体" w:cs="宋体"/>
                <w:sz w:val="24"/>
              </w:rPr>
              <w:t>0.00</w:t>
            </w:r>
          </w:p>
        </w:tc>
      </w:tr>
      <w:tr w14:paraId="398E1FC9">
        <w:tblPrEx>
          <w:tblW w:w="0" w:type="auto"/>
          <w:jc w:val="center"/>
          <w:tblLayout w:type="fixed"/>
          <w:tblCellMar>
            <w:top w:w="0" w:type="dxa"/>
            <w:left w:w="108" w:type="dxa"/>
            <w:bottom w:w="0" w:type="dxa"/>
            <w:right w:w="108" w:type="dxa"/>
          </w:tblCellMar>
        </w:tblPrEx>
        <w:trPr>
          <w:trHeight w:hRule="exact" w:val="907"/>
          <w:jc w:val="center"/>
        </w:trPr>
        <w:tc>
          <w:tcPr>
            <w:tcW w:w="1722" w:type="dxa"/>
            <w:vAlign w:val="center"/>
          </w:tcPr>
          <w:p w14:paraId="78A7143C">
            <w:pPr>
              <w:wordWrap w:val="0"/>
              <w:jc w:val="center"/>
              <w:outlineLvl w:val="0"/>
              <w:rPr>
                <w:sz w:val="24"/>
              </w:rPr>
            </w:pPr>
            <w:r>
              <w:rPr>
                <w:rFonts w:hint="eastAsia"/>
                <w:sz w:val="24"/>
              </w:rPr>
              <w:t>1</w:t>
            </w:r>
            <w:r>
              <w:rPr>
                <w:sz w:val="24"/>
              </w:rPr>
              <w:t>1</w:t>
            </w:r>
          </w:p>
        </w:tc>
        <w:tc>
          <w:tcPr>
            <w:tcW w:w="3852" w:type="dxa"/>
            <w:vAlign w:val="center"/>
          </w:tcPr>
          <w:p w14:paraId="3CC03FD4">
            <w:pPr>
              <w:wordWrap w:val="0"/>
              <w:jc w:val="center"/>
              <w:outlineLvl w:val="0"/>
              <w:rPr>
                <w:b/>
                <w:bCs/>
                <w:sz w:val="24"/>
              </w:rPr>
            </w:pPr>
            <w:r>
              <w:rPr>
                <w:rFonts w:hint="eastAsia"/>
                <w:b/>
                <w:bCs/>
                <w:sz w:val="24"/>
              </w:rPr>
              <w:t>合 计</w:t>
            </w:r>
          </w:p>
        </w:tc>
        <w:tc>
          <w:tcPr>
            <w:tcW w:w="3890" w:type="dxa"/>
            <w:vAlign w:val="center"/>
          </w:tcPr>
          <w:p w14:paraId="365D6F93">
            <w:pPr>
              <w:wordWrap w:val="0"/>
              <w:jc w:val="center"/>
              <w:outlineLvl w:val="0"/>
              <w:rPr>
                <w:rFonts w:ascii="宋体" w:eastAsia="宋体" w:hAnsi="宋体" w:cs="宋体"/>
                <w:sz w:val="24"/>
              </w:rPr>
            </w:pPr>
            <w:r>
              <w:rPr>
                <w:rFonts w:ascii="宋体" w:eastAsia="宋体" w:hAnsi="宋体" w:cs="宋体"/>
                <w:sz w:val="24"/>
              </w:rPr>
              <w:t>10.00</w:t>
            </w:r>
          </w:p>
        </w:tc>
      </w:tr>
    </w:tbl>
    <w:p w14:paraId="1C664381">
      <w:pPr>
        <w:wordWrap w:val="0"/>
        <w:spacing w:line="360" w:lineRule="auto"/>
        <w:ind w:right="567"/>
        <w:outlineLvl w:val="0"/>
        <w:rPr>
          <w:sz w:val="24"/>
        </w:rPr>
      </w:pPr>
    </w:p>
    <w:p w14:paraId="1A386B68">
      <w:pPr>
        <w:wordWrap w:val="0"/>
        <w:rPr>
          <w:sz w:val="21"/>
        </w:rPr>
      </w:pPr>
      <w:r>
        <w:rPr>
          <w:rFonts w:hint="eastAsia"/>
          <w:sz w:val="21"/>
        </w:rPr>
        <w:t>注：1.间接费用无需编制预算说明；2.绩效支出在间接费用中无比例限制。</w:t>
      </w:r>
    </w:p>
    <w:p w14:paraId="017D2976">
      <w:pPr>
        <w:tabs>
          <w:tab w:val="left" w:pos="1665"/>
        </w:tabs>
        <w:wordWrap w:val="0"/>
        <w:jc w:val="center"/>
        <w:rPr>
          <w:rFonts w:cs="Tahoma"/>
          <w:sz w:val="21"/>
          <w:szCs w:val="21"/>
        </w:rPr>
      </w:pPr>
      <w:r>
        <w:rPr>
          <w:sz w:val="10"/>
          <w:szCs w:val="10"/>
        </w:rPr>
        <w:br w:type="page"/>
      </w:r>
    </w:p>
    <w:tbl>
      <w:tblPr>
        <w:tblStyle w:val="TableNormal"/>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468"/>
      </w:tblGrid>
      <w:tr w14:paraId="1F7680F3">
        <w:tblPrEx>
          <w:tblW w:w="10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10468" w:type="dxa"/>
            <w:tcBorders>
              <w:top w:val="single" w:sz="4" w:space="0" w:color="auto"/>
              <w:left w:val="single" w:sz="4" w:space="0" w:color="auto"/>
              <w:bottom w:val="single" w:sz="4" w:space="0" w:color="auto"/>
              <w:right w:val="single" w:sz="4" w:space="0" w:color="auto"/>
            </w:tcBorders>
          </w:tcPr>
          <w:p w14:paraId="39AC3B94">
            <w:pPr>
              <w:wordWrap w:val="0"/>
              <w:spacing w:line="440" w:lineRule="exact"/>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77B9FCB2">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203DA39A">
            <w:pPr>
              <w:widowControl/>
              <w:spacing w:before="0" w:after="0"/>
              <w:jc w:val="left"/>
              <w:rPr>
                <w:rFonts w:ascii="宋体" w:hAnsi="宋体" w:cs="宋体"/>
                <w:kern w:val="0"/>
                <w:sz w:val="24"/>
              </w:rPr>
            </w:pPr>
            <w:bookmarkStart w:id="71" w:name="qtzc"/>
            <w:r>
              <w:rPr>
                <w:rFonts w:ascii="宋体" w:hAnsi="宋体" w:cs="宋体"/>
                <w:color w:val="333333"/>
                <w:kern w:val="0"/>
                <w:sz w:val="24"/>
              </w:rPr>
              <w:t xml:space="preserve">1. 设备和仪器成本：这些包括机器人本身、传感器、工具和其他技术设备的成本。在预算中， </w:t>
            </w:r>
            <w:r>
              <w:rPr>
                <w:rFonts w:ascii="宋体" w:hAnsi="宋体" w:cs="宋体"/>
                <w:color w:val="333333"/>
                <w:kern w:val="0"/>
                <w:sz w:val="24"/>
              </w:rPr>
              <w:t>应该考虑购买、维护、更新和升级这些设备所需的费用。 </w:t>
            </w:r>
          </w:p>
          <w:p>
            <w:pPr>
              <w:widowControl/>
              <w:spacing w:before="0" w:after="0"/>
              <w:jc w:val="left"/>
              <w:rPr>
                <w:rFonts w:ascii="宋体" w:hAnsi="宋体" w:cs="宋体"/>
                <w:kern w:val="0"/>
                <w:sz w:val="24"/>
              </w:rPr>
            </w:pPr>
            <w:r>
              <w:rPr>
                <w:rFonts w:ascii="宋体" w:hAnsi="宋体" w:cs="宋体"/>
                <w:color w:val="333333"/>
                <w:kern w:val="0"/>
                <w:sz w:val="24"/>
              </w:rPr>
              <w:t xml:space="preserve">2. 劳动力成本：这包括所有需要参与项目的工程师、技术人员、实验室人员和其他专业人士的 </w:t>
            </w:r>
            <w:r>
              <w:rPr>
                <w:rFonts w:ascii="宋体" w:hAnsi="宋体" w:cs="宋体"/>
                <w:color w:val="333333"/>
                <w:kern w:val="0"/>
                <w:sz w:val="24"/>
              </w:rPr>
              <w:t>薪资和福利等支出。这可能是项目中最大的费用来源。</w:t>
            </w:r>
          </w:p>
          <w:p>
            <w:pPr>
              <w:widowControl/>
              <w:spacing w:before="0" w:after="0"/>
              <w:jc w:val="left"/>
              <w:rPr>
                <w:rFonts w:ascii="宋体" w:hAnsi="宋体" w:cs="宋体"/>
                <w:kern w:val="0"/>
                <w:sz w:val="24"/>
              </w:rPr>
            </w:pPr>
            <w:r>
              <w:rPr>
                <w:rFonts w:ascii="宋体" w:hAnsi="宋体" w:cs="宋体"/>
                <w:color w:val="333333"/>
                <w:kern w:val="0"/>
                <w:sz w:val="24"/>
              </w:rPr>
              <w:t xml:space="preserve">3. 材料和供应成本：这包括了所有材料和配件的成本，如零件、电线、电子元件、润滑剂等等。 </w:t>
            </w:r>
            <w:r>
              <w:rPr>
                <w:rFonts w:ascii="宋体" w:hAnsi="宋体" w:cs="宋体"/>
                <w:color w:val="333333"/>
                <w:kern w:val="0"/>
                <w:sz w:val="24"/>
              </w:rPr>
              <w:t>此外，还需要考虑供应商选择和识别成本、采购成本以及运输成本等。</w:t>
            </w:r>
          </w:p>
          <w:p>
            <w:pPr>
              <w:wordWrap w:val="0"/>
              <w:spacing w:line="440" w:lineRule="exact"/>
              <w:ind w:firstLine="480" w:firstLineChars="200"/>
              <w:rPr>
                <w:sz w:val="24"/>
                <w:highlight w:val="yellow"/>
              </w:rPr>
            </w:pPr>
            <w:bookmarkEnd w:id="71"/>
          </w:p>
        </w:tc>
      </w:tr>
      <w:tr w14:paraId="2DF38843">
        <w:tblPrEx>
          <w:tblW w:w="10468" w:type="dxa"/>
          <w:jc w:val="center"/>
          <w:tblLayout w:type="fixed"/>
          <w:tblCellMar>
            <w:top w:w="0" w:type="dxa"/>
            <w:left w:w="108" w:type="dxa"/>
            <w:bottom w:w="0" w:type="dxa"/>
            <w:right w:w="108" w:type="dxa"/>
          </w:tblCellMar>
        </w:tblPrEx>
        <w:trPr>
          <w:trHeight w:val="469"/>
          <w:jc w:val="center"/>
        </w:trPr>
        <w:tc>
          <w:tcPr>
            <w:tcW w:w="10468" w:type="dxa"/>
            <w:tcBorders>
              <w:top w:val="single" w:sz="4" w:space="0" w:color="auto"/>
              <w:left w:val="single" w:sz="4" w:space="0" w:color="auto"/>
              <w:bottom w:val="single" w:sz="4" w:space="0" w:color="auto"/>
              <w:right w:val="single" w:sz="4" w:space="0" w:color="auto"/>
            </w:tcBorders>
          </w:tcPr>
          <w:p w14:paraId="352029E2">
            <w:pPr>
              <w:wordWrap w:val="0"/>
              <w:spacing w:line="440" w:lineRule="exact"/>
              <w:rPr>
                <w:b/>
                <w:szCs w:val="28"/>
              </w:rPr>
            </w:pPr>
            <w:r>
              <w:rPr>
                <w:rFonts w:hint="eastAsia"/>
                <w:b/>
                <w:szCs w:val="28"/>
              </w:rPr>
              <w:t>单价</w:t>
            </w:r>
            <w:r>
              <w:rPr>
                <w:b/>
                <w:szCs w:val="28"/>
              </w:rPr>
              <w:t>50</w:t>
            </w:r>
            <w:r>
              <w:rPr>
                <w:rFonts w:hint="eastAsia"/>
                <w:b/>
                <w:szCs w:val="28"/>
              </w:rPr>
              <w:t>万元以上的设备详细说明（无相关情况，本栏填“无”）</w:t>
            </w:r>
          </w:p>
        </w:tc>
      </w:tr>
      <w:tr w14:paraId="2DDD8946">
        <w:tblPrEx>
          <w:tblW w:w="10468" w:type="dxa"/>
          <w:jc w:val="center"/>
          <w:tblLayout w:type="fixed"/>
          <w:tblCellMar>
            <w:top w:w="0" w:type="dxa"/>
            <w:left w:w="108" w:type="dxa"/>
            <w:bottom w:w="0" w:type="dxa"/>
            <w:right w:w="108" w:type="dxa"/>
          </w:tblCellMar>
        </w:tblPrEx>
        <w:trPr>
          <w:jc w:val="center"/>
        </w:trPr>
        <w:tc>
          <w:tcPr>
            <w:tcW w:w="10468" w:type="dxa"/>
            <w:tcBorders>
              <w:top w:val="single" w:sz="4" w:space="0" w:color="auto"/>
              <w:left w:val="single" w:sz="4" w:space="0" w:color="auto"/>
              <w:bottom w:val="single" w:sz="4" w:space="0" w:color="auto"/>
              <w:right w:val="single" w:sz="4" w:space="0" w:color="auto"/>
            </w:tcBorders>
          </w:tcPr>
          <w:p w14:paraId="72BF3EEA">
            <w:pPr>
              <w:widowControl/>
              <w:spacing w:before="0" w:after="0"/>
              <w:jc w:val="left"/>
              <w:rPr>
                <w:rFonts w:ascii="宋体" w:hAnsi="宋体" w:cs="宋体"/>
                <w:kern w:val="0"/>
                <w:sz w:val="24"/>
              </w:rPr>
            </w:pPr>
            <w:bookmarkStart w:id="72" w:name="sbxxsm"/>
            <w:r>
              <w:rPr>
                <w:rFonts w:ascii="宋体" w:hAnsi="宋体" w:cs="宋体"/>
                <w:kern w:val="0"/>
                <w:sz w:val="24"/>
              </w:rPr>
              <w:t>无</w:t>
            </w:r>
          </w:p>
          <w:p>
            <w:pPr>
              <w:wordWrap w:val="0"/>
              <w:spacing w:line="440" w:lineRule="exact"/>
              <w:ind w:firstLine="480" w:firstLineChars="200"/>
              <w:rPr>
                <w:sz w:val="24"/>
              </w:rPr>
            </w:pPr>
            <w:bookmarkEnd w:id="72"/>
          </w:p>
        </w:tc>
      </w:tr>
    </w:tbl>
    <w:p w14:paraId="26E81C6C">
      <w:pPr>
        <w:tabs>
          <w:tab w:val="left" w:pos="1665"/>
        </w:tabs>
        <w:wordWrap w:val="0"/>
        <w:spacing w:line="100" w:lineRule="exact"/>
        <w:jc w:val="center"/>
        <w:rPr>
          <w:rFonts w:cs="Tahoma"/>
          <w:sz w:val="21"/>
          <w:szCs w:val="21"/>
        </w:rPr>
      </w:pPr>
    </w:p>
    <w:p w14:paraId="3197147B">
      <w:pPr>
        <w:wordWrap w:val="0"/>
        <w:spacing w:line="100" w:lineRule="exact"/>
        <w:rPr>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851" w:footer="851" w:gutter="0"/>
          <w:cols w:num="1" w:space="425"/>
          <w:docGrid w:linePitch="381" w:charSpace="0"/>
        </w:sectPr>
      </w:pPr>
    </w:p>
    <w:p w14:paraId="0BF983D6">
      <w:pPr>
        <w:wordWrap w:val="0"/>
        <w:spacing w:line="20" w:lineRule="exact"/>
        <w:jc w:val="center"/>
        <w:rPr>
          <w:b/>
          <w:sz w:val="32"/>
        </w:rPr>
      </w:pPr>
    </w:p>
    <w:tbl>
      <w:tblPr>
        <w:tblStyle w:val="TableNormal"/>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3174"/>
        <w:gridCol w:w="1368"/>
        <w:gridCol w:w="4326"/>
        <w:gridCol w:w="1275"/>
        <w:gridCol w:w="1016"/>
        <w:gridCol w:w="814"/>
        <w:gridCol w:w="1134"/>
        <w:gridCol w:w="886"/>
        <w:gridCol w:w="957"/>
      </w:tblGrid>
      <w:tr w14:paraId="7794D4C4">
        <w:tblPrEx>
          <w:tblW w:w="156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jc w:val="center"/>
        </w:trPr>
        <w:tc>
          <w:tcPr>
            <w:tcW w:w="15694" w:type="dxa"/>
            <w:gridSpan w:val="10"/>
            <w:tcBorders>
              <w:top w:val="single" w:sz="4" w:space="0" w:color="auto"/>
              <w:left w:val="single" w:sz="4" w:space="0" w:color="auto"/>
              <w:bottom w:val="single" w:sz="4" w:space="0" w:color="auto"/>
              <w:right w:val="single" w:sz="4" w:space="0" w:color="auto"/>
            </w:tcBorders>
            <w:vAlign w:val="center"/>
          </w:tcPr>
          <w:p w14:paraId="7E43515A">
            <w:pPr>
              <w:tabs>
                <w:tab w:val="left" w:pos="2520"/>
                <w:tab w:val="center" w:pos="4144"/>
              </w:tabs>
              <w:wordWrap w:val="0"/>
              <w:jc w:val="left"/>
              <w:rPr>
                <w:sz w:val="24"/>
              </w:rPr>
            </w:pPr>
            <w:r>
              <w:rPr>
                <w:rFonts w:hint="eastAsia"/>
                <w:b/>
              </w:rPr>
              <w:t>申报单位、合作单位经费预算明细表</w:t>
            </w:r>
            <w:r>
              <w:rPr>
                <w:rFonts w:hint="eastAsia"/>
                <w:sz w:val="24"/>
              </w:rPr>
              <w:t xml:space="preserve">                                                    金额单位：万元</w:t>
            </w:r>
          </w:p>
        </w:tc>
      </w:tr>
      <w:tr w14:paraId="2EB1F843">
        <w:tblPrEx>
          <w:tblW w:w="15694" w:type="dxa"/>
          <w:jc w:val="center"/>
          <w:tblCellMar>
            <w:top w:w="0" w:type="dxa"/>
            <w:left w:w="57" w:type="dxa"/>
            <w:bottom w:w="0" w:type="dxa"/>
            <w:right w:w="57" w:type="dxa"/>
          </w:tblCellMar>
        </w:tblPrEx>
        <w:trPr>
          <w:cantSplit/>
          <w:trHeight w:hRule="exact" w:val="474"/>
          <w:jc w:val="center"/>
        </w:trPr>
        <w:tc>
          <w:tcPr>
            <w:tcW w:w="744" w:type="dxa"/>
            <w:vMerge w:val="restart"/>
            <w:tcBorders>
              <w:top w:val="single" w:sz="4" w:space="0" w:color="auto"/>
              <w:left w:val="single" w:sz="4" w:space="0" w:color="auto"/>
              <w:right w:val="single" w:sz="4" w:space="0" w:color="auto"/>
            </w:tcBorders>
            <w:vAlign w:val="center"/>
          </w:tcPr>
          <w:p w14:paraId="23B352C6">
            <w:pPr>
              <w:wordWrap w:val="0"/>
              <w:jc w:val="center"/>
              <w:rPr>
                <w:sz w:val="24"/>
              </w:rPr>
            </w:pPr>
            <w:r>
              <w:rPr>
                <w:rFonts w:hint="eastAsia"/>
                <w:sz w:val="24"/>
              </w:rPr>
              <w:t>序号</w:t>
            </w:r>
          </w:p>
        </w:tc>
        <w:tc>
          <w:tcPr>
            <w:tcW w:w="3174" w:type="dxa"/>
            <w:vMerge w:val="restart"/>
            <w:tcBorders>
              <w:top w:val="single" w:sz="4" w:space="0" w:color="auto"/>
              <w:left w:val="single" w:sz="4" w:space="0" w:color="auto"/>
              <w:right w:val="single" w:sz="4" w:space="0" w:color="auto"/>
            </w:tcBorders>
            <w:vAlign w:val="center"/>
          </w:tcPr>
          <w:p w14:paraId="317B3B3D">
            <w:pPr>
              <w:wordWrap w:val="0"/>
              <w:jc w:val="center"/>
              <w:rPr>
                <w:sz w:val="24"/>
              </w:rPr>
            </w:pPr>
            <w:r>
              <w:rPr>
                <w:rFonts w:hint="eastAsia"/>
                <w:sz w:val="24"/>
              </w:rPr>
              <w:t>单位名称</w:t>
            </w:r>
          </w:p>
        </w:tc>
        <w:tc>
          <w:tcPr>
            <w:tcW w:w="1368" w:type="dxa"/>
            <w:vMerge w:val="restart"/>
            <w:tcBorders>
              <w:top w:val="single" w:sz="4" w:space="0" w:color="auto"/>
              <w:left w:val="single" w:sz="4" w:space="0" w:color="auto"/>
              <w:right w:val="single" w:sz="4" w:space="0" w:color="auto"/>
            </w:tcBorders>
            <w:vAlign w:val="center"/>
          </w:tcPr>
          <w:p w14:paraId="5F9C6DAC">
            <w:pPr>
              <w:wordWrap w:val="0"/>
              <w:jc w:val="center"/>
              <w:rPr>
                <w:sz w:val="24"/>
              </w:rPr>
            </w:pPr>
            <w:r>
              <w:rPr>
                <w:rFonts w:hint="eastAsia"/>
                <w:sz w:val="24"/>
              </w:rPr>
              <w:t>单位类型</w:t>
            </w:r>
          </w:p>
        </w:tc>
        <w:tc>
          <w:tcPr>
            <w:tcW w:w="4326" w:type="dxa"/>
            <w:vMerge w:val="restart"/>
            <w:tcBorders>
              <w:top w:val="single" w:sz="4" w:space="0" w:color="auto"/>
              <w:left w:val="single" w:sz="4" w:space="0" w:color="auto"/>
              <w:right w:val="single" w:sz="4" w:space="0" w:color="auto"/>
            </w:tcBorders>
            <w:vAlign w:val="center"/>
          </w:tcPr>
          <w:p w14:paraId="0F284983">
            <w:pPr>
              <w:wordWrap w:val="0"/>
              <w:jc w:val="center"/>
              <w:rPr>
                <w:sz w:val="24"/>
              </w:rPr>
            </w:pPr>
            <w:r>
              <w:rPr>
                <w:rFonts w:hint="eastAsia"/>
                <w:sz w:val="24"/>
              </w:rPr>
              <w:t>任务分工</w:t>
            </w:r>
          </w:p>
        </w:tc>
        <w:tc>
          <w:tcPr>
            <w:tcW w:w="1275" w:type="dxa"/>
            <w:vMerge w:val="restart"/>
            <w:tcBorders>
              <w:top w:val="single" w:sz="4" w:space="0" w:color="auto"/>
              <w:left w:val="single" w:sz="4" w:space="0" w:color="auto"/>
              <w:right w:val="single" w:sz="4" w:space="0" w:color="auto"/>
            </w:tcBorders>
            <w:vAlign w:val="center"/>
          </w:tcPr>
          <w:p w14:paraId="1798DAE5">
            <w:pPr>
              <w:wordWrap w:val="0"/>
              <w:jc w:val="center"/>
              <w:rPr>
                <w:sz w:val="24"/>
              </w:rPr>
            </w:pPr>
            <w:r>
              <w:rPr>
                <w:rFonts w:hint="eastAsia"/>
                <w:sz w:val="24"/>
              </w:rPr>
              <w:t>研究任务</w:t>
            </w:r>
          </w:p>
          <w:p w14:paraId="5E122E6C">
            <w:pPr>
              <w:wordWrap w:val="0"/>
              <w:jc w:val="center"/>
              <w:rPr>
                <w:sz w:val="24"/>
              </w:rPr>
            </w:pPr>
            <w:r>
              <w:rPr>
                <w:rFonts w:hint="eastAsia"/>
                <w:sz w:val="24"/>
              </w:rPr>
              <w:t>负责人</w:t>
            </w:r>
          </w:p>
        </w:tc>
        <w:tc>
          <w:tcPr>
            <w:tcW w:w="1016" w:type="dxa"/>
            <w:vMerge w:val="restart"/>
            <w:tcBorders>
              <w:top w:val="single" w:sz="4" w:space="0" w:color="auto"/>
              <w:left w:val="single" w:sz="4" w:space="0" w:color="auto"/>
              <w:right w:val="single" w:sz="4" w:space="0" w:color="auto"/>
            </w:tcBorders>
            <w:vAlign w:val="center"/>
          </w:tcPr>
          <w:p w14:paraId="7A8BDE04">
            <w:pPr>
              <w:wordWrap w:val="0"/>
              <w:jc w:val="center"/>
              <w:rPr>
                <w:sz w:val="24"/>
              </w:rPr>
            </w:pPr>
            <w:r>
              <w:rPr>
                <w:rFonts w:hint="eastAsia"/>
                <w:sz w:val="24"/>
              </w:rPr>
              <w:t>合计</w:t>
            </w:r>
          </w:p>
        </w:tc>
        <w:tc>
          <w:tcPr>
            <w:tcW w:w="1948" w:type="dxa"/>
            <w:gridSpan w:val="2"/>
            <w:tcBorders>
              <w:top w:val="single" w:sz="4" w:space="0" w:color="auto"/>
              <w:left w:val="single" w:sz="4" w:space="0" w:color="auto"/>
              <w:bottom w:val="single" w:sz="4" w:space="0" w:color="auto"/>
              <w:right w:val="single" w:sz="4" w:space="0" w:color="auto"/>
            </w:tcBorders>
            <w:vAlign w:val="center"/>
          </w:tcPr>
          <w:p w14:paraId="62D13829">
            <w:pPr>
              <w:wordWrap w:val="0"/>
              <w:jc w:val="center"/>
              <w:rPr>
                <w:sz w:val="24"/>
              </w:rPr>
            </w:pPr>
            <w:r>
              <w:rPr>
                <w:rFonts w:hint="eastAsia"/>
                <w:sz w:val="24"/>
              </w:rPr>
              <w:t>专项经费</w:t>
            </w:r>
          </w:p>
        </w:tc>
        <w:tc>
          <w:tcPr>
            <w:tcW w:w="886" w:type="dxa"/>
            <w:vMerge w:val="restart"/>
            <w:tcBorders>
              <w:top w:val="single" w:sz="4" w:space="0" w:color="auto"/>
              <w:left w:val="single" w:sz="4" w:space="0" w:color="auto"/>
              <w:right w:val="single" w:sz="4" w:space="0" w:color="auto"/>
            </w:tcBorders>
            <w:vAlign w:val="center"/>
          </w:tcPr>
          <w:p w14:paraId="0F646EB7">
            <w:pPr>
              <w:tabs>
                <w:tab w:val="left" w:pos="2520"/>
                <w:tab w:val="center" w:pos="4144"/>
              </w:tabs>
              <w:wordWrap w:val="0"/>
              <w:jc w:val="center"/>
              <w:rPr>
                <w:sz w:val="24"/>
              </w:rPr>
            </w:pPr>
            <w:r>
              <w:rPr>
                <w:rFonts w:hint="eastAsia"/>
                <w:sz w:val="24"/>
              </w:rPr>
              <w:t>自筹</w:t>
            </w:r>
          </w:p>
          <w:p w14:paraId="1AF81296">
            <w:pPr>
              <w:tabs>
                <w:tab w:val="left" w:pos="2520"/>
                <w:tab w:val="center" w:pos="4144"/>
              </w:tabs>
              <w:wordWrap w:val="0"/>
              <w:jc w:val="center"/>
              <w:rPr>
                <w:sz w:val="24"/>
              </w:rPr>
            </w:pPr>
            <w:r>
              <w:rPr>
                <w:rFonts w:hint="eastAsia"/>
                <w:sz w:val="24"/>
              </w:rPr>
              <w:t>经费</w:t>
            </w:r>
          </w:p>
        </w:tc>
        <w:tc>
          <w:tcPr>
            <w:tcW w:w="957" w:type="dxa"/>
            <w:vMerge w:val="restart"/>
            <w:tcBorders>
              <w:top w:val="single" w:sz="4" w:space="0" w:color="auto"/>
              <w:left w:val="single" w:sz="4" w:space="0" w:color="auto"/>
              <w:right w:val="single" w:sz="4" w:space="0" w:color="auto"/>
            </w:tcBorders>
            <w:vAlign w:val="center"/>
          </w:tcPr>
          <w:p w14:paraId="39EDCF7F">
            <w:pPr>
              <w:tabs>
                <w:tab w:val="left" w:pos="2520"/>
                <w:tab w:val="center" w:pos="4144"/>
              </w:tabs>
              <w:wordWrap w:val="0"/>
              <w:jc w:val="center"/>
              <w:rPr>
                <w:sz w:val="24"/>
              </w:rPr>
            </w:pPr>
            <w:r>
              <w:rPr>
                <w:rFonts w:hint="eastAsia"/>
                <w:sz w:val="24"/>
              </w:rPr>
              <w:t>配套</w:t>
            </w:r>
          </w:p>
          <w:p w14:paraId="733E0E28">
            <w:pPr>
              <w:tabs>
                <w:tab w:val="left" w:pos="2520"/>
                <w:tab w:val="center" w:pos="4144"/>
              </w:tabs>
              <w:wordWrap w:val="0"/>
              <w:jc w:val="center"/>
              <w:rPr>
                <w:sz w:val="24"/>
              </w:rPr>
            </w:pPr>
            <w:r>
              <w:rPr>
                <w:rFonts w:hint="eastAsia"/>
                <w:sz w:val="24"/>
              </w:rPr>
              <w:t>经费</w:t>
            </w:r>
          </w:p>
        </w:tc>
      </w:tr>
      <w:tr w14:paraId="2E2930AD">
        <w:tblPrEx>
          <w:tblW w:w="15694" w:type="dxa"/>
          <w:jc w:val="center"/>
          <w:tblCellMar>
            <w:top w:w="0" w:type="dxa"/>
            <w:left w:w="57" w:type="dxa"/>
            <w:bottom w:w="0" w:type="dxa"/>
            <w:right w:w="57" w:type="dxa"/>
          </w:tblCellMar>
        </w:tblPrEx>
        <w:trPr>
          <w:cantSplit/>
          <w:trHeight w:hRule="exact" w:val="728"/>
          <w:jc w:val="center"/>
        </w:trPr>
        <w:tc>
          <w:tcPr>
            <w:tcW w:w="744" w:type="dxa"/>
            <w:vMerge/>
            <w:tcBorders>
              <w:left w:val="single" w:sz="4" w:space="0" w:color="auto"/>
              <w:bottom w:val="single" w:sz="4" w:space="0" w:color="auto"/>
              <w:right w:val="single" w:sz="4" w:space="0" w:color="auto"/>
            </w:tcBorders>
            <w:vAlign w:val="center"/>
          </w:tcPr>
          <w:p w14:paraId="7C8DF32F">
            <w:pPr>
              <w:wordWrap w:val="0"/>
              <w:jc w:val="center"/>
              <w:rPr>
                <w:sz w:val="24"/>
              </w:rPr>
            </w:pPr>
          </w:p>
        </w:tc>
        <w:tc>
          <w:tcPr>
            <w:tcW w:w="3174" w:type="dxa"/>
            <w:vMerge/>
            <w:tcBorders>
              <w:left w:val="single" w:sz="4" w:space="0" w:color="auto"/>
              <w:bottom w:val="single" w:sz="4" w:space="0" w:color="auto"/>
              <w:right w:val="single" w:sz="4" w:space="0" w:color="auto"/>
            </w:tcBorders>
            <w:vAlign w:val="center"/>
          </w:tcPr>
          <w:p w14:paraId="6CB751E6">
            <w:pPr>
              <w:wordWrap w:val="0"/>
              <w:jc w:val="center"/>
              <w:rPr>
                <w:sz w:val="24"/>
              </w:rPr>
            </w:pPr>
          </w:p>
        </w:tc>
        <w:tc>
          <w:tcPr>
            <w:tcW w:w="1368" w:type="dxa"/>
            <w:vMerge/>
            <w:tcBorders>
              <w:left w:val="single" w:sz="4" w:space="0" w:color="auto"/>
              <w:bottom w:val="single" w:sz="4" w:space="0" w:color="auto"/>
              <w:right w:val="single" w:sz="4" w:space="0" w:color="auto"/>
            </w:tcBorders>
            <w:vAlign w:val="center"/>
          </w:tcPr>
          <w:p w14:paraId="4FCDE043">
            <w:pPr>
              <w:wordWrap w:val="0"/>
              <w:jc w:val="center"/>
              <w:rPr>
                <w:sz w:val="24"/>
              </w:rPr>
            </w:pPr>
          </w:p>
        </w:tc>
        <w:tc>
          <w:tcPr>
            <w:tcW w:w="4326" w:type="dxa"/>
            <w:vMerge/>
            <w:tcBorders>
              <w:left w:val="single" w:sz="4" w:space="0" w:color="auto"/>
              <w:bottom w:val="single" w:sz="4" w:space="0" w:color="auto"/>
              <w:right w:val="single" w:sz="4" w:space="0" w:color="auto"/>
            </w:tcBorders>
            <w:vAlign w:val="center"/>
          </w:tcPr>
          <w:p w14:paraId="28213FFC">
            <w:pPr>
              <w:wordWrap w:val="0"/>
              <w:jc w:val="center"/>
              <w:rPr>
                <w:sz w:val="24"/>
              </w:rPr>
            </w:pPr>
          </w:p>
        </w:tc>
        <w:tc>
          <w:tcPr>
            <w:tcW w:w="1275" w:type="dxa"/>
            <w:vMerge/>
            <w:tcBorders>
              <w:left w:val="single" w:sz="4" w:space="0" w:color="auto"/>
              <w:bottom w:val="single" w:sz="4" w:space="0" w:color="auto"/>
              <w:right w:val="single" w:sz="4" w:space="0" w:color="auto"/>
            </w:tcBorders>
            <w:vAlign w:val="center"/>
          </w:tcPr>
          <w:p w14:paraId="1EA071A1">
            <w:pPr>
              <w:wordWrap w:val="0"/>
              <w:jc w:val="center"/>
              <w:rPr>
                <w:sz w:val="24"/>
              </w:rPr>
            </w:pPr>
          </w:p>
        </w:tc>
        <w:tc>
          <w:tcPr>
            <w:tcW w:w="1016" w:type="dxa"/>
            <w:vMerge/>
            <w:tcBorders>
              <w:left w:val="single" w:sz="4" w:space="0" w:color="auto"/>
              <w:bottom w:val="single" w:sz="4" w:space="0" w:color="auto"/>
              <w:right w:val="single" w:sz="4" w:space="0" w:color="auto"/>
            </w:tcBorders>
            <w:vAlign w:val="center"/>
          </w:tcPr>
          <w:p w14:paraId="0C33E11E">
            <w:pPr>
              <w:wordWrap w:val="0"/>
              <w:jc w:val="center"/>
              <w:rPr>
                <w:sz w:val="24"/>
              </w:rPr>
            </w:pPr>
          </w:p>
        </w:tc>
        <w:tc>
          <w:tcPr>
            <w:tcW w:w="814" w:type="dxa"/>
            <w:tcBorders>
              <w:top w:val="single" w:sz="4" w:space="0" w:color="auto"/>
              <w:left w:val="single" w:sz="4" w:space="0" w:color="auto"/>
              <w:bottom w:val="single" w:sz="4" w:space="0" w:color="auto"/>
              <w:right w:val="single" w:sz="4" w:space="0" w:color="auto"/>
            </w:tcBorders>
            <w:vAlign w:val="center"/>
          </w:tcPr>
          <w:p w14:paraId="3D4FF525">
            <w:pPr>
              <w:wordWrap w:val="0"/>
              <w:jc w:val="center"/>
              <w:rPr>
                <w:sz w:val="24"/>
              </w:rPr>
            </w:pPr>
            <w:r>
              <w:rPr>
                <w:rFonts w:hint="eastAsia"/>
                <w:sz w:val="24"/>
              </w:rPr>
              <w:t>小计</w:t>
            </w:r>
          </w:p>
        </w:tc>
        <w:tc>
          <w:tcPr>
            <w:tcW w:w="1134" w:type="dxa"/>
            <w:tcBorders>
              <w:top w:val="single" w:sz="4" w:space="0" w:color="auto"/>
              <w:left w:val="single" w:sz="4" w:space="0" w:color="auto"/>
              <w:bottom w:val="single" w:sz="4" w:space="0" w:color="auto"/>
              <w:right w:val="single" w:sz="4" w:space="0" w:color="auto"/>
            </w:tcBorders>
            <w:vAlign w:val="center"/>
          </w:tcPr>
          <w:p w14:paraId="770037D2">
            <w:pPr>
              <w:wordWrap w:val="0"/>
              <w:jc w:val="center"/>
              <w:rPr>
                <w:sz w:val="24"/>
              </w:rPr>
            </w:pPr>
            <w:r>
              <w:rPr>
                <w:rFonts w:hint="eastAsia"/>
                <w:sz w:val="24"/>
              </w:rPr>
              <w:t>其中：</w:t>
            </w:r>
          </w:p>
          <w:p w14:paraId="211F38D5">
            <w:pPr>
              <w:wordWrap w:val="0"/>
              <w:jc w:val="center"/>
              <w:rPr>
                <w:sz w:val="24"/>
              </w:rPr>
            </w:pPr>
            <w:r>
              <w:rPr>
                <w:rFonts w:hint="eastAsia"/>
                <w:sz w:val="24"/>
              </w:rPr>
              <w:t>间接费用</w:t>
            </w:r>
          </w:p>
        </w:tc>
        <w:tc>
          <w:tcPr>
            <w:tcW w:w="886" w:type="dxa"/>
            <w:vMerge/>
            <w:tcBorders>
              <w:left w:val="single" w:sz="4" w:space="0" w:color="auto"/>
              <w:bottom w:val="single" w:sz="4" w:space="0" w:color="auto"/>
              <w:right w:val="single" w:sz="4" w:space="0" w:color="auto"/>
            </w:tcBorders>
            <w:vAlign w:val="center"/>
          </w:tcPr>
          <w:p w14:paraId="45D40817">
            <w:pPr>
              <w:tabs>
                <w:tab w:val="left" w:pos="2520"/>
                <w:tab w:val="center" w:pos="4144"/>
              </w:tabs>
              <w:wordWrap w:val="0"/>
              <w:jc w:val="center"/>
              <w:rPr>
                <w:sz w:val="24"/>
              </w:rPr>
            </w:pPr>
          </w:p>
        </w:tc>
        <w:tc>
          <w:tcPr>
            <w:tcW w:w="957" w:type="dxa"/>
            <w:vMerge/>
            <w:tcBorders>
              <w:left w:val="single" w:sz="4" w:space="0" w:color="auto"/>
              <w:bottom w:val="single" w:sz="4" w:space="0" w:color="auto"/>
              <w:right w:val="single" w:sz="4" w:space="0" w:color="auto"/>
            </w:tcBorders>
            <w:vAlign w:val="center"/>
          </w:tcPr>
          <w:p w14:paraId="7247237C">
            <w:pPr>
              <w:tabs>
                <w:tab w:val="left" w:pos="2520"/>
                <w:tab w:val="center" w:pos="4144"/>
              </w:tabs>
              <w:wordWrap w:val="0"/>
              <w:jc w:val="center"/>
              <w:rPr>
                <w:sz w:val="24"/>
              </w:rPr>
            </w:pPr>
          </w:p>
        </w:tc>
      </w:tr>
      <w:tr w14:paraId="0543D874">
        <w:tblPrEx>
          <w:tblW w:w="15694" w:type="dxa"/>
          <w:jc w:val="center"/>
          <w:tblCellMar>
            <w:top w:w="0" w:type="dxa"/>
            <w:left w:w="57" w:type="dxa"/>
            <w:bottom w:w="0" w:type="dxa"/>
            <w:right w:w="57" w:type="dxa"/>
          </w:tblCellMar>
        </w:tblPrEx>
        <w:trPr>
          <w:cantSplit/>
          <w:trHeight w:val="598"/>
          <w:jc w:val="center"/>
        </w:trPr>
        <w:tc>
          <w:tcPr>
            <w:tcW w:w="744" w:type="dxa"/>
            <w:tcBorders>
              <w:top w:val="single" w:sz="4" w:space="0" w:color="auto"/>
              <w:left w:val="single" w:sz="4" w:space="0" w:color="auto"/>
              <w:bottom w:val="single" w:sz="4" w:space="0" w:color="auto"/>
              <w:right w:val="single" w:sz="4" w:space="0" w:color="auto"/>
            </w:tcBorders>
            <w:vAlign w:val="center"/>
          </w:tcPr>
          <w:p w14:paraId="7D3D3496">
            <w:pPr>
              <w:wordWrap w:val="0"/>
              <w:jc w:val="center"/>
              <w:rPr>
                <w:rFonts w:ascii="宋体" w:eastAsia="宋体" w:hAnsi="宋体" w:cs="宋体"/>
                <w:sz w:val="24"/>
              </w:rPr>
            </w:pPr>
            <w:r>
              <w:rPr>
                <w:rFonts w:ascii="宋体" w:eastAsia="宋体" w:hAnsi="宋体" w:cs="宋体"/>
                <w:sz w:val="24"/>
              </w:rPr>
              <w:t>1</w:t>
            </w:r>
          </w:p>
        </w:tc>
        <w:tc>
          <w:tcPr>
            <w:tcW w:w="3174" w:type="dxa"/>
            <w:tcBorders>
              <w:top w:val="single" w:sz="4" w:space="0" w:color="auto"/>
              <w:left w:val="single" w:sz="4" w:space="0" w:color="auto"/>
              <w:bottom w:val="single" w:sz="4" w:space="0" w:color="auto"/>
              <w:right w:val="single" w:sz="4" w:space="0" w:color="auto"/>
            </w:tcBorders>
            <w:vAlign w:val="center"/>
          </w:tcPr>
          <w:p w14:paraId="3017533B">
            <w:pPr>
              <w:wordWrap w:val="0"/>
              <w:jc w:val="left"/>
              <w:rPr>
                <w:rFonts w:ascii="宋体" w:eastAsia="宋体" w:hAnsi="宋体" w:cs="宋体"/>
                <w:sz w:val="24"/>
              </w:rPr>
            </w:pPr>
            <w:r>
              <w:rPr>
                <w:rFonts w:ascii="宋体" w:eastAsia="宋体" w:hAnsi="宋体" w:cs="宋体"/>
                <w:sz w:val="24"/>
              </w:rPr>
              <w:t>华北科技学院</w:t>
            </w:r>
          </w:p>
        </w:tc>
        <w:tc>
          <w:tcPr>
            <w:tcW w:w="1368" w:type="dxa"/>
            <w:tcBorders>
              <w:top w:val="single" w:sz="4" w:space="0" w:color="auto"/>
              <w:left w:val="single" w:sz="4" w:space="0" w:color="auto"/>
              <w:bottom w:val="single" w:sz="4" w:space="0" w:color="auto"/>
              <w:right w:val="single" w:sz="4" w:space="0" w:color="auto"/>
            </w:tcBorders>
            <w:vAlign w:val="center"/>
          </w:tcPr>
          <w:p w14:paraId="09E0D847">
            <w:pPr>
              <w:wordWrap w:val="0"/>
              <w:jc w:val="center"/>
              <w:rPr>
                <w:rFonts w:ascii="宋体" w:eastAsia="宋体" w:hAnsi="宋体" w:cs="宋体"/>
                <w:sz w:val="24"/>
              </w:rPr>
            </w:pPr>
            <w:r>
              <w:rPr>
                <w:rFonts w:ascii="宋体" w:eastAsia="宋体" w:hAnsi="宋体" w:cs="宋体"/>
                <w:sz w:val="24"/>
              </w:rPr>
              <w:t>申报单位</w:t>
            </w:r>
          </w:p>
        </w:tc>
        <w:tc>
          <w:tcPr>
            <w:tcW w:w="4326" w:type="dxa"/>
            <w:tcBorders>
              <w:top w:val="single" w:sz="4" w:space="0" w:color="auto"/>
              <w:left w:val="single" w:sz="4" w:space="0" w:color="auto"/>
              <w:bottom w:val="single" w:sz="4" w:space="0" w:color="auto"/>
              <w:right w:val="single" w:sz="4" w:space="0" w:color="auto"/>
            </w:tcBorders>
            <w:vAlign w:val="center"/>
          </w:tcPr>
          <w:p w14:paraId="11D5C71B">
            <w:pPr>
              <w:wordWrap w:val="0"/>
              <w:jc w:val="left"/>
              <w:rPr>
                <w:rFonts w:ascii="宋体" w:eastAsia="宋体" w:hAnsi="宋体" w:cs="宋体"/>
                <w:sz w:val="24"/>
              </w:rPr>
            </w:pPr>
            <w:r>
              <w:rPr>
                <w:rFonts w:ascii="宋体" w:eastAsia="宋体" w:hAnsi="宋体" w:cs="宋体"/>
                <w:sz w:val="24"/>
              </w:rPr>
              <w:t>总体规划</w:t>
            </w:r>
          </w:p>
        </w:tc>
        <w:tc>
          <w:tcPr>
            <w:tcW w:w="1275" w:type="dxa"/>
            <w:tcBorders>
              <w:top w:val="single" w:sz="4" w:space="0" w:color="auto"/>
              <w:left w:val="single" w:sz="4" w:space="0" w:color="auto"/>
              <w:bottom w:val="single" w:sz="4" w:space="0" w:color="auto"/>
              <w:right w:val="single" w:sz="4" w:space="0" w:color="auto"/>
            </w:tcBorders>
            <w:vAlign w:val="center"/>
          </w:tcPr>
          <w:p w14:paraId="514409D6">
            <w:pPr>
              <w:wordWrap w:val="0"/>
              <w:jc w:val="center"/>
              <w:rPr>
                <w:rFonts w:ascii="宋体" w:eastAsia="宋体" w:hAnsi="宋体" w:cs="宋体"/>
                <w:sz w:val="24"/>
              </w:rPr>
            </w:pPr>
            <w:r>
              <w:rPr>
                <w:rFonts w:ascii="宋体" w:eastAsia="宋体" w:hAnsi="宋体" w:cs="宋体"/>
                <w:sz w:val="24"/>
              </w:rPr>
              <w:t>张玉洁</w:t>
            </w:r>
          </w:p>
        </w:tc>
        <w:tc>
          <w:tcPr>
            <w:tcW w:w="1016" w:type="dxa"/>
            <w:tcBorders>
              <w:top w:val="single" w:sz="4" w:space="0" w:color="auto"/>
              <w:left w:val="single" w:sz="4" w:space="0" w:color="auto"/>
              <w:bottom w:val="single" w:sz="4" w:space="0" w:color="auto"/>
              <w:right w:val="single" w:sz="4" w:space="0" w:color="auto"/>
            </w:tcBorders>
            <w:vAlign w:val="center"/>
          </w:tcPr>
          <w:p w14:paraId="3A3A24F8">
            <w:pPr>
              <w:wordWrap w:val="0"/>
              <w:jc w:val="center"/>
              <w:rPr>
                <w:rFonts w:ascii="宋体" w:eastAsia="宋体" w:hAnsi="宋体" w:cs="宋体"/>
                <w:sz w:val="24"/>
              </w:rPr>
            </w:pPr>
            <w:r>
              <w:rPr>
                <w:rFonts w:ascii="宋体" w:eastAsia="宋体" w:hAnsi="宋体" w:cs="宋体"/>
                <w:sz w:val="24"/>
              </w:rPr>
              <w:t>10.00</w:t>
            </w:r>
          </w:p>
        </w:tc>
        <w:tc>
          <w:tcPr>
            <w:tcW w:w="814" w:type="dxa"/>
            <w:tcBorders>
              <w:top w:val="single" w:sz="4" w:space="0" w:color="auto"/>
              <w:left w:val="single" w:sz="4" w:space="0" w:color="auto"/>
              <w:bottom w:val="single" w:sz="4" w:space="0" w:color="auto"/>
              <w:right w:val="single" w:sz="4" w:space="0" w:color="auto"/>
            </w:tcBorders>
            <w:vAlign w:val="center"/>
          </w:tcPr>
          <w:p w14:paraId="63A909D8">
            <w:pPr>
              <w:wordWrap w:val="0"/>
              <w:jc w:val="center"/>
              <w:rPr>
                <w:rFonts w:ascii="宋体" w:eastAsia="宋体" w:hAnsi="宋体" w:cs="宋体"/>
                <w:sz w:val="24"/>
              </w:rPr>
            </w:pPr>
            <w:r>
              <w:rPr>
                <w:rFonts w:ascii="宋体" w:eastAsia="宋体" w:hAnsi="宋体" w:cs="宋体"/>
                <w:sz w:val="24"/>
              </w:rPr>
              <w:t>10.00</w:t>
            </w:r>
          </w:p>
        </w:tc>
        <w:tc>
          <w:tcPr>
            <w:tcW w:w="1134" w:type="dxa"/>
            <w:tcBorders>
              <w:top w:val="single" w:sz="4" w:space="0" w:color="auto"/>
              <w:left w:val="single" w:sz="4" w:space="0" w:color="auto"/>
              <w:bottom w:val="single" w:sz="4" w:space="0" w:color="auto"/>
              <w:right w:val="single" w:sz="4" w:space="0" w:color="auto"/>
            </w:tcBorders>
            <w:vAlign w:val="center"/>
          </w:tcPr>
          <w:p w14:paraId="66EB95CF">
            <w:pPr>
              <w:wordWrap w:val="0"/>
              <w:jc w:val="center"/>
              <w:rPr>
                <w:rFonts w:ascii="宋体" w:eastAsia="宋体" w:hAnsi="宋体" w:cs="宋体"/>
                <w:sz w:val="24"/>
              </w:rPr>
            </w:pPr>
            <w:r>
              <w:rPr>
                <w:rFonts w:ascii="宋体" w:eastAsia="宋体" w:hAnsi="宋体" w:cs="宋体"/>
                <w:sz w:val="24"/>
              </w:rPr>
              <w:t>1.00</w:t>
            </w:r>
          </w:p>
        </w:tc>
        <w:tc>
          <w:tcPr>
            <w:tcW w:w="886" w:type="dxa"/>
            <w:tcBorders>
              <w:top w:val="single" w:sz="4" w:space="0" w:color="auto"/>
              <w:left w:val="single" w:sz="4" w:space="0" w:color="auto"/>
              <w:bottom w:val="single" w:sz="4" w:space="0" w:color="auto"/>
              <w:right w:val="single" w:sz="4" w:space="0" w:color="auto"/>
            </w:tcBorders>
            <w:vAlign w:val="center"/>
          </w:tcPr>
          <w:p w14:paraId="76DF0714">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957" w:type="dxa"/>
            <w:tcBorders>
              <w:top w:val="single" w:sz="4" w:space="0" w:color="auto"/>
              <w:left w:val="single" w:sz="4" w:space="0" w:color="auto"/>
              <w:bottom w:val="single" w:sz="4" w:space="0" w:color="auto"/>
              <w:right w:val="single" w:sz="4" w:space="0" w:color="auto"/>
            </w:tcBorders>
            <w:vAlign w:val="center"/>
          </w:tcPr>
          <w:p w14:paraId="651F8525">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16D37EDC">
      <w:pPr>
        <w:wordWrap w:val="0"/>
        <w:rPr>
          <w:sz w:val="10"/>
          <w:szCs w:val="10"/>
        </w:rPr>
        <w:sectPr>
          <w:pgSz w:w="16838" w:h="11906" w:orient="landscape"/>
          <w:pgMar w:top="1418" w:right="1418" w:bottom="1418" w:left="1418" w:header="851" w:footer="851" w:gutter="0"/>
          <w:cols w:num="1" w:space="425"/>
          <w:docGrid w:linePitch="381" w:charSpace="0"/>
        </w:sectPr>
      </w:pPr>
    </w:p>
    <w:p w14:paraId="4AB6718C">
      <w:pPr>
        <w:wordWrap w:val="0"/>
        <w:spacing w:line="360" w:lineRule="auto"/>
        <w:ind w:firstLine="560" w:firstLineChars="200"/>
        <w:jc w:val="center"/>
        <w:rPr>
          <w:b/>
          <w:szCs w:val="28"/>
          <w:highlight w:val="yellow"/>
        </w:rPr>
      </w:pPr>
      <w:r>
        <w:rPr>
          <w:rFonts w:hint="eastAsia"/>
          <w:b/>
          <w:szCs w:val="28"/>
        </w:rPr>
        <w:t>项目绩效评价考核目标及指标</w:t>
      </w:r>
    </w:p>
    <w:tbl>
      <w:tblPr>
        <w:tblStyle w:val="TableNormal"/>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4"/>
        <w:gridCol w:w="5647"/>
        <w:gridCol w:w="2463"/>
        <w:gridCol w:w="2410"/>
        <w:gridCol w:w="2126"/>
        <w:gridCol w:w="2182"/>
      </w:tblGrid>
      <w:tr w14:paraId="3C1251AF">
        <w:tblPrEx>
          <w:tblW w:w="15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1023"/>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542EE778">
            <w:pPr>
              <w:wordWrap w:val="0"/>
              <w:spacing w:line="320" w:lineRule="exact"/>
              <w:jc w:val="center"/>
              <w:rPr>
                <w:bCs/>
                <w:sz w:val="24"/>
              </w:rPr>
            </w:pPr>
            <w:r>
              <w:rPr>
                <w:rFonts w:hint="eastAsia"/>
                <w:bCs/>
                <w:sz w:val="24"/>
              </w:rPr>
              <w:t>总体</w:t>
            </w:r>
          </w:p>
          <w:p w14:paraId="2672B7BE">
            <w:pPr>
              <w:wordWrap w:val="0"/>
              <w:spacing w:line="320" w:lineRule="exact"/>
              <w:jc w:val="center"/>
              <w:rPr>
                <w:bCs/>
                <w:sz w:val="24"/>
              </w:rPr>
            </w:pPr>
            <w:r>
              <w:rPr>
                <w:rFonts w:hint="eastAsia"/>
                <w:bCs/>
                <w:sz w:val="24"/>
              </w:rPr>
              <w:t>目标</w:t>
            </w: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19FFC300">
            <w:pPr>
              <w:wordWrap w:val="0"/>
              <w:spacing w:line="240" w:lineRule="exact"/>
              <w:jc w:val="center"/>
              <w:rPr>
                <w:bCs/>
                <w:sz w:val="24"/>
              </w:rPr>
            </w:pPr>
            <w:r>
              <w:rPr>
                <w:rFonts w:hint="eastAsia"/>
                <w:bCs/>
                <w:sz w:val="24"/>
              </w:rPr>
              <w:t>实施期目标</w:t>
            </w:r>
          </w:p>
        </w:tc>
        <w:tc>
          <w:tcPr>
            <w:tcW w:w="2410" w:type="dxa"/>
            <w:tcBorders>
              <w:top w:val="single" w:sz="4" w:space="0" w:color="auto"/>
              <w:left w:val="single" w:sz="4" w:space="0" w:color="auto"/>
              <w:bottom w:val="single" w:sz="4" w:space="0" w:color="auto"/>
              <w:right w:val="single" w:sz="4" w:space="0" w:color="auto"/>
            </w:tcBorders>
            <w:vAlign w:val="center"/>
          </w:tcPr>
          <w:p w14:paraId="03E89BB7">
            <w:pPr>
              <w:wordWrap w:val="0"/>
              <w:spacing w:line="360" w:lineRule="exact"/>
              <w:jc w:val="center"/>
              <w:rPr>
                <w:bCs/>
                <w:sz w:val="24"/>
              </w:rPr>
            </w:pPr>
            <w:r>
              <w:rPr>
                <w:rFonts w:hint="eastAsia"/>
                <w:bCs/>
                <w:sz w:val="24"/>
              </w:rPr>
              <w:t>第一年度目标</w:t>
            </w:r>
          </w:p>
          <w:p w14:paraId="0DAA5E40">
            <w:pPr>
              <w:wordWrap w:val="0"/>
              <w:spacing w:line="360" w:lineRule="exact"/>
              <w:jc w:val="center"/>
              <w:rPr>
                <w:bCs/>
                <w:sz w:val="24"/>
              </w:rPr>
            </w:pPr>
            <w:r>
              <w:rPr>
                <w:rFonts w:hint="eastAsia"/>
                <w:bCs/>
                <w:sz w:val="24"/>
              </w:rPr>
              <w:t>（当前年度</w:t>
            </w:r>
            <w:r>
              <w:rPr>
                <w:bCs/>
                <w:sz w:val="24"/>
              </w:rPr>
              <w:t>）</w:t>
            </w:r>
          </w:p>
        </w:tc>
        <w:tc>
          <w:tcPr>
            <w:tcW w:w="2126" w:type="dxa"/>
            <w:tcBorders>
              <w:top w:val="single" w:sz="4" w:space="0" w:color="auto"/>
              <w:left w:val="single" w:sz="4" w:space="0" w:color="auto"/>
              <w:bottom w:val="single" w:sz="4" w:space="0" w:color="auto"/>
              <w:right w:val="single" w:sz="4" w:space="0" w:color="auto"/>
            </w:tcBorders>
            <w:vAlign w:val="center"/>
          </w:tcPr>
          <w:p w14:paraId="5BEE7B84">
            <w:pPr>
              <w:wordWrap w:val="0"/>
              <w:spacing w:line="360" w:lineRule="exact"/>
              <w:jc w:val="center"/>
              <w:rPr>
                <w:bCs/>
                <w:sz w:val="24"/>
              </w:rPr>
            </w:pPr>
            <w:r>
              <w:rPr>
                <w:rFonts w:hint="eastAsia"/>
                <w:bCs/>
                <w:sz w:val="24"/>
              </w:rPr>
              <w:t>第二年度目标</w:t>
            </w:r>
          </w:p>
          <w:p w14:paraId="67054E9E">
            <w:pPr>
              <w:wordWrap w:val="0"/>
              <w:spacing w:line="360" w:lineRule="exact"/>
              <w:jc w:val="center"/>
              <w:rPr>
                <w:bCs/>
                <w:sz w:val="24"/>
              </w:rPr>
            </w:pPr>
            <w:r>
              <w:rPr>
                <w:rFonts w:hint="eastAsia"/>
                <w:bCs/>
                <w:sz w:val="24"/>
              </w:rPr>
              <w:t>（当前年度</w:t>
            </w:r>
            <w:r>
              <w:rPr>
                <w:bCs/>
                <w:sz w:val="24"/>
              </w:rPr>
              <w:t>）</w:t>
            </w:r>
          </w:p>
        </w:tc>
        <w:tc>
          <w:tcPr>
            <w:tcW w:w="2182" w:type="dxa"/>
            <w:tcBorders>
              <w:top w:val="single" w:sz="4" w:space="0" w:color="auto"/>
              <w:left w:val="single" w:sz="4" w:space="0" w:color="auto"/>
              <w:bottom w:val="single" w:sz="4" w:space="0" w:color="auto"/>
              <w:right w:val="single" w:sz="4" w:space="0" w:color="auto"/>
            </w:tcBorders>
            <w:vAlign w:val="center"/>
          </w:tcPr>
          <w:p w14:paraId="51A5F12B">
            <w:pPr>
              <w:wordWrap w:val="0"/>
              <w:spacing w:line="360" w:lineRule="exact"/>
              <w:jc w:val="center"/>
              <w:rPr>
                <w:bCs/>
                <w:sz w:val="24"/>
              </w:rPr>
            </w:pPr>
            <w:r>
              <w:rPr>
                <w:rFonts w:hint="eastAsia"/>
                <w:bCs/>
                <w:sz w:val="24"/>
              </w:rPr>
              <w:t>第三年度目标</w:t>
            </w:r>
          </w:p>
          <w:p w14:paraId="6621DC6E">
            <w:pPr>
              <w:wordWrap w:val="0"/>
              <w:spacing w:line="360" w:lineRule="exact"/>
              <w:jc w:val="center"/>
              <w:rPr>
                <w:bCs/>
                <w:sz w:val="24"/>
              </w:rPr>
            </w:pPr>
            <w:r>
              <w:rPr>
                <w:rFonts w:hint="eastAsia"/>
                <w:bCs/>
                <w:sz w:val="24"/>
              </w:rPr>
              <w:t>（当前年度</w:t>
            </w:r>
            <w:r>
              <w:rPr>
                <w:bCs/>
                <w:sz w:val="24"/>
              </w:rPr>
              <w:t>）</w:t>
            </w:r>
          </w:p>
        </w:tc>
      </w:tr>
      <w:tr w14:paraId="57C22602">
        <w:tblPrEx>
          <w:tblW w:w="15762" w:type="dxa"/>
          <w:jc w:val="center"/>
          <w:tblLayout w:type="fixed"/>
          <w:tblCellMar>
            <w:top w:w="0" w:type="dxa"/>
            <w:left w:w="108" w:type="dxa"/>
            <w:bottom w:w="0" w:type="dxa"/>
            <w:right w:w="108" w:type="dxa"/>
          </w:tblCellMar>
        </w:tblPrEx>
        <w:trPr>
          <w:trHeight w:val="76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25D48BBB">
            <w:pPr>
              <w:wordWrap w:val="0"/>
              <w:rPr>
                <w:bCs/>
                <w:sz w:val="24"/>
              </w:rPr>
            </w:pPr>
          </w:p>
        </w:tc>
        <w:tc>
          <w:tcPr>
            <w:tcW w:w="8110" w:type="dxa"/>
            <w:gridSpan w:val="2"/>
            <w:tcBorders>
              <w:top w:val="single" w:sz="4" w:space="0" w:color="auto"/>
              <w:left w:val="single" w:sz="4" w:space="0" w:color="auto"/>
              <w:bottom w:val="single" w:sz="4" w:space="0" w:color="auto"/>
              <w:right w:val="single" w:sz="4" w:space="0" w:color="auto"/>
            </w:tcBorders>
            <w:vAlign w:val="center"/>
          </w:tcPr>
          <w:p w14:paraId="660140A6">
            <w:pPr>
              <w:wordWrap w:val="0"/>
              <w:spacing w:line="240" w:lineRule="exact"/>
              <w:rPr>
                <w:rFonts w:ascii="宋体" w:eastAsia="宋体" w:hAnsi="宋体" w:cs="宋体"/>
                <w:bCs/>
                <w:sz w:val="24"/>
              </w:rPr>
            </w:pPr>
            <w:r>
              <w:rPr>
                <w:rFonts w:ascii="宋体" w:eastAsia="宋体" w:hAnsi="宋体" w:cs="宋体"/>
                <w:bCs/>
                <w:sz w:val="24"/>
              </w:rPr>
              <w:t>本项目旨在突破制约高速、重载等极限工况下工业机器人运动控制精度的技术瓶颈，力争在动力学建模、运动学误差标定及高性能控制新方法方面取得突破，以期提升工业机器人的绝对定位精度和精度稳定性。</w:t>
            </w:r>
          </w:p>
        </w:tc>
        <w:tc>
          <w:tcPr>
            <w:tcW w:w="2410" w:type="dxa"/>
            <w:tcBorders>
              <w:top w:val="single" w:sz="4" w:space="0" w:color="auto"/>
              <w:left w:val="single" w:sz="4" w:space="0" w:color="auto"/>
              <w:bottom w:val="single" w:sz="4" w:space="0" w:color="auto"/>
              <w:right w:val="single" w:sz="4" w:space="0" w:color="auto"/>
            </w:tcBorders>
            <w:vAlign w:val="center"/>
          </w:tcPr>
          <w:p w14:paraId="591A1797">
            <w:pPr>
              <w:wordWrap w:val="0"/>
              <w:spacing w:line="240" w:lineRule="exact"/>
              <w:rPr>
                <w:rFonts w:ascii="宋体" w:eastAsia="宋体" w:hAnsi="宋体" w:cs="宋体"/>
                <w:bCs/>
                <w:sz w:val="24"/>
              </w:rPr>
            </w:pPr>
            <w:r>
              <w:rPr>
                <w:rFonts w:ascii="宋体" w:eastAsia="宋体" w:hAnsi="宋体" w:cs="宋体"/>
                <w:bCs/>
                <w:sz w:val="24"/>
              </w:rPr>
              <w:t>基于扩展虚拟柔性关节模型对机器人进行动力学建模，获得充分考虑各类刚柔耦合影响的机器人非线性灰箱模型，结合频域灰箱辨识算法对模型参数进行估计，改进动力学建模和参数估计方法。撰写相关论文和专利。</w:t>
            </w:r>
          </w:p>
        </w:tc>
        <w:tc>
          <w:tcPr>
            <w:tcW w:w="2126" w:type="dxa"/>
            <w:tcBorders>
              <w:top w:val="single" w:sz="4" w:space="0" w:color="auto"/>
              <w:left w:val="single" w:sz="4" w:space="0" w:color="auto"/>
              <w:bottom w:val="single" w:sz="4" w:space="0" w:color="auto"/>
              <w:right w:val="single" w:sz="4" w:space="0" w:color="auto"/>
            </w:tcBorders>
            <w:vAlign w:val="center"/>
          </w:tcPr>
          <w:p w14:paraId="5907DC49">
            <w:pPr>
              <w:wordWrap w:val="0"/>
              <w:spacing w:line="240" w:lineRule="exact"/>
              <w:rPr>
                <w:rFonts w:ascii="宋体" w:eastAsia="宋体" w:hAnsi="宋体" w:cs="宋体"/>
                <w:bCs/>
                <w:sz w:val="24"/>
              </w:rPr>
            </w:pPr>
            <w:r>
              <w:rPr>
                <w:rFonts w:ascii="宋体" w:eastAsia="宋体" w:hAnsi="宋体" w:cs="宋体"/>
                <w:bCs/>
                <w:sz w:val="24"/>
              </w:rPr>
              <w:t>深入分析各类几何和关节依赖误差机理，建立广义运动学误差模型，并研究切比雪夫函数阶数对最佳一致逼近估计结果的影响，改进模型参数辨识方法。完成全局动力学模型逆的前馈控制器设计。撰写相关论文和专利。</w:t>
            </w:r>
          </w:p>
        </w:tc>
        <w:tc>
          <w:tcPr>
            <w:tcW w:w="2182" w:type="dxa"/>
            <w:tcBorders>
              <w:top w:val="single" w:sz="4" w:space="0" w:color="auto"/>
              <w:left w:val="single" w:sz="4" w:space="0" w:color="auto"/>
              <w:bottom w:val="single" w:sz="4" w:space="0" w:color="auto"/>
              <w:right w:val="single" w:sz="4" w:space="0" w:color="auto"/>
            </w:tcBorders>
            <w:vAlign w:val="center"/>
          </w:tcPr>
          <w:p w14:paraId="1D9AD3F5">
            <w:pPr>
              <w:wordWrap w:val="0"/>
              <w:spacing w:line="240" w:lineRule="exact"/>
              <w:rPr>
                <w:rFonts w:ascii="宋体" w:eastAsia="宋体" w:hAnsi="宋体" w:cs="宋体"/>
                <w:bCs/>
                <w:sz w:val="24"/>
              </w:rPr>
            </w:pPr>
            <w:r>
              <w:rPr>
                <w:rFonts w:ascii="宋体" w:eastAsia="宋体" w:hAnsi="宋体" w:cs="宋体"/>
                <w:bCs/>
                <w:sz w:val="24"/>
              </w:rPr>
              <w:t>搭建高性能工业机器人控制关键技术实验验证平台，在此基础上进行动力学建模与运动学误差标定，并运用前述控制算法进行硬件在回路实时控制。依据国家标准对机器人性能进行测试，充分验证所提出方法的有效性。</w:t>
            </w:r>
          </w:p>
        </w:tc>
      </w:tr>
      <w:tr w14:paraId="774A2E1F">
        <w:tblPrEx>
          <w:tblW w:w="15762" w:type="dxa"/>
          <w:jc w:val="center"/>
          <w:tblLayout w:type="fixed"/>
          <w:tblCellMar>
            <w:top w:w="0" w:type="dxa"/>
            <w:left w:w="108" w:type="dxa"/>
            <w:bottom w:w="0" w:type="dxa"/>
            <w:right w:w="108" w:type="dxa"/>
          </w:tblCellMar>
        </w:tblPrEx>
        <w:trPr>
          <w:trHeight w:hRule="exact" w:val="874"/>
          <w:jc w:val="center"/>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4E3909EB">
            <w:pPr>
              <w:wordWrap w:val="0"/>
              <w:spacing w:line="320" w:lineRule="exact"/>
              <w:jc w:val="center"/>
              <w:rPr>
                <w:bCs/>
                <w:sz w:val="24"/>
              </w:rPr>
            </w:pPr>
            <w:r>
              <w:rPr>
                <w:rFonts w:hint="eastAsia"/>
                <w:bCs/>
                <w:sz w:val="24"/>
              </w:rPr>
              <w:t>绩效</w:t>
            </w:r>
          </w:p>
          <w:p w14:paraId="7D3E6B7D">
            <w:pPr>
              <w:wordWrap w:val="0"/>
              <w:spacing w:line="320" w:lineRule="exact"/>
              <w:jc w:val="center"/>
              <w:rPr>
                <w:bCs/>
                <w:sz w:val="24"/>
              </w:rPr>
            </w:pPr>
            <w:r>
              <w:rPr>
                <w:rFonts w:hint="eastAsia"/>
                <w:bCs/>
                <w:sz w:val="24"/>
              </w:rPr>
              <w:t>指标</w:t>
            </w:r>
          </w:p>
        </w:tc>
        <w:tc>
          <w:tcPr>
            <w:tcW w:w="5647" w:type="dxa"/>
            <w:tcBorders>
              <w:top w:val="single" w:sz="4" w:space="0" w:color="auto"/>
              <w:left w:val="single" w:sz="4" w:space="0" w:color="auto"/>
              <w:bottom w:val="single" w:sz="4" w:space="0" w:color="auto"/>
              <w:right w:val="single" w:sz="4" w:space="0" w:color="auto"/>
            </w:tcBorders>
            <w:vAlign w:val="center"/>
          </w:tcPr>
          <w:p w14:paraId="5EAE828F">
            <w:pPr>
              <w:wordWrap w:val="0"/>
              <w:spacing w:line="320" w:lineRule="exact"/>
              <w:jc w:val="center"/>
              <w:rPr>
                <w:bCs/>
                <w:sz w:val="24"/>
              </w:rPr>
            </w:pPr>
            <w:r>
              <w:rPr>
                <w:rFonts w:hint="eastAsia"/>
                <w:bCs/>
                <w:sz w:val="24"/>
              </w:rPr>
              <w:t>指标名称</w:t>
            </w:r>
          </w:p>
        </w:tc>
        <w:tc>
          <w:tcPr>
            <w:tcW w:w="2463" w:type="dxa"/>
            <w:tcBorders>
              <w:top w:val="single" w:sz="4" w:space="0" w:color="auto"/>
              <w:left w:val="single" w:sz="4" w:space="0" w:color="auto"/>
              <w:bottom w:val="single" w:sz="4" w:space="0" w:color="auto"/>
              <w:right w:val="single" w:sz="4" w:space="0" w:color="auto"/>
            </w:tcBorders>
            <w:vAlign w:val="center"/>
          </w:tcPr>
          <w:p w14:paraId="67D3945E">
            <w:pPr>
              <w:wordWrap w:val="0"/>
              <w:spacing w:line="320" w:lineRule="exact"/>
              <w:jc w:val="center"/>
              <w:rPr>
                <w:bCs/>
                <w:sz w:val="24"/>
              </w:rPr>
            </w:pPr>
            <w:r>
              <w:rPr>
                <w:rFonts w:hint="eastAsia"/>
                <w:bCs/>
                <w:sz w:val="24"/>
              </w:rPr>
              <w:t>指标值</w:t>
            </w:r>
          </w:p>
        </w:tc>
        <w:tc>
          <w:tcPr>
            <w:tcW w:w="2410" w:type="dxa"/>
            <w:tcBorders>
              <w:top w:val="single" w:sz="4" w:space="0" w:color="auto"/>
              <w:left w:val="single" w:sz="4" w:space="0" w:color="auto"/>
              <w:bottom w:val="single" w:sz="4" w:space="0" w:color="auto"/>
              <w:right w:val="single" w:sz="4" w:space="0" w:color="auto"/>
            </w:tcBorders>
            <w:vAlign w:val="center"/>
          </w:tcPr>
          <w:p w14:paraId="3AEFD3FC">
            <w:pPr>
              <w:wordWrap w:val="0"/>
              <w:spacing w:line="240" w:lineRule="exact"/>
              <w:jc w:val="center"/>
              <w:rPr>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DA42B5D">
            <w:pPr>
              <w:wordWrap w:val="0"/>
              <w:spacing w:line="240" w:lineRule="exact"/>
              <w:jc w:val="center"/>
              <w:rPr>
                <w:bCs/>
                <w:sz w:val="24"/>
              </w:rPr>
            </w:pPr>
          </w:p>
        </w:tc>
        <w:tc>
          <w:tcPr>
            <w:tcW w:w="2182" w:type="dxa"/>
            <w:tcBorders>
              <w:top w:val="single" w:sz="4" w:space="0" w:color="auto"/>
              <w:left w:val="single" w:sz="4" w:space="0" w:color="auto"/>
              <w:bottom w:val="single" w:sz="4" w:space="0" w:color="auto"/>
              <w:right w:val="single" w:sz="4" w:space="0" w:color="auto"/>
            </w:tcBorders>
            <w:vAlign w:val="center"/>
          </w:tcPr>
          <w:p w14:paraId="3E2046D5">
            <w:pPr>
              <w:wordWrap w:val="0"/>
              <w:spacing w:line="240" w:lineRule="exact"/>
              <w:jc w:val="center"/>
              <w:rPr>
                <w:bCs/>
                <w:sz w:val="24"/>
              </w:rPr>
            </w:pP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14:paraId="73D845CF">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14:paraId="4AFAFB6D">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463" w:type="dxa"/>
            <w:tcBorders>
              <w:top w:val="single" w:sz="4" w:space="0" w:color="auto"/>
              <w:left w:val="single" w:sz="4" w:space="0" w:color="auto"/>
              <w:bottom w:val="single" w:sz="4" w:space="0" w:color="auto"/>
              <w:right w:val="single" w:sz="4" w:space="0" w:color="auto"/>
            </w:tcBorders>
            <w:vAlign w:val="center"/>
          </w:tcPr>
          <w:p w14:paraId="198C6DBA">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410" w:type="dxa"/>
            <w:tcBorders>
              <w:top w:val="single" w:sz="4" w:space="0" w:color="auto"/>
              <w:left w:val="single" w:sz="4" w:space="0" w:color="auto"/>
              <w:bottom w:val="single" w:sz="4" w:space="0" w:color="auto"/>
              <w:right w:val="single" w:sz="4" w:space="0" w:color="auto"/>
            </w:tcBorders>
            <w:vAlign w:val="center"/>
          </w:tcPr>
          <w:p w14:paraId="3B5A25FA">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0C6FC483">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14:paraId="36D27D2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申请发明专利（件）</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软件著作权（项）</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培养高层次产业技术创新团队（个）</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44181769">
        <w:tblPrEx>
          <w:tblW w:w="15762" w:type="dxa"/>
          <w:jc w:val="center"/>
          <w:tblLayout w:type="fixed"/>
          <w:tblCellMar>
            <w:top w:w="0" w:type="dxa"/>
            <w:left w:w="108" w:type="dxa"/>
            <w:bottom w:w="0" w:type="dxa"/>
            <w:right w:w="108" w:type="dxa"/>
          </w:tblCellMar>
        </w:tblPrEx>
        <w:trPr>
          <w:trHeight w:val="539"/>
          <w:jc w:val="center"/>
        </w:trPr>
        <w:tc>
          <w:tcPr>
            <w:tcW w:w="934" w:type="dxa"/>
            <w:vMerge/>
            <w:tcBorders>
              <w:top w:val="single" w:sz="4" w:space="0" w:color="auto"/>
              <w:left w:val="single" w:sz="4" w:space="0" w:color="auto"/>
              <w:bottom w:val="single" w:sz="4" w:space="0" w:color="auto"/>
              <w:right w:val="single" w:sz="4" w:space="0" w:color="auto"/>
            </w:tcBorders>
            <w:vAlign w:val="center"/>
          </w:tcPr>
          <w:p>
            <w:pPr>
              <w:wordWrap w:val="0"/>
              <w:rPr>
                <w:bCs/>
                <w:sz w:val="24"/>
              </w:rPr>
            </w:pPr>
          </w:p>
        </w:tc>
        <w:tc>
          <w:tcPr>
            <w:tcW w:w="5647"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rPr>
                <w:rFonts w:ascii="宋体" w:eastAsia="宋体" w:hAnsi="宋体" w:cs="宋体"/>
                <w:bCs/>
                <w:sz w:val="24"/>
              </w:rPr>
            </w:pPr>
            <w:r>
              <w:rPr>
                <w:rFonts w:ascii="宋体" w:eastAsia="宋体" w:hAnsi="宋体" w:cs="宋体"/>
                <w:bCs/>
                <w:sz w:val="24"/>
              </w:rPr>
              <w:t>培养研究生（人）</w:t>
            </w:r>
          </w:p>
        </w:tc>
        <w:tc>
          <w:tcPr>
            <w:tcW w:w="246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2"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r>
    </w:tbl>
    <w:p w14:paraId="6B46F39B">
      <w:pPr>
        <w:wordWrap w:val="0"/>
        <w:spacing w:line="100" w:lineRule="exact"/>
        <w:jc w:val="center"/>
        <w:rPr>
          <w:sz w:val="32"/>
          <w:szCs w:val="32"/>
        </w:rPr>
      </w:pPr>
      <w:r>
        <w:rPr>
          <w:rFonts w:hint="eastAsia"/>
          <w:sz w:val="32"/>
          <w:szCs w:val="32"/>
        </w:rPr>
        <w:t xml:space="preserve"> </w:t>
      </w:r>
      <w:r>
        <w:rPr>
          <w:sz w:val="32"/>
          <w:szCs w:val="32"/>
        </w:rPr>
        <w:t xml:space="preserve">  </w:t>
      </w:r>
      <w:bookmarkStart w:id="73" w:name="rlyczy"/>
      <w:bookmarkEnd w:id="73"/>
      <w:r>
        <w:rPr>
          <w:sz w:val="32"/>
          <w:szCs w:val="32"/>
        </w:rPr>
        <w:t xml:space="preserve">  </w:t>
      </w:r>
      <w:bookmarkStart w:id="74" w:name="rlyczyfyf"/>
      <w:r>
        <w:rPr>
          <w:sz w:val="32"/>
          <w:szCs w:val="32"/>
        </w:rPr>
        <w:br w:type="page"/>
      </w:r>
      <w:bookmarkEnd w:id="74"/>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5" w:name="yes"/>
      <w:r w:rsidRPr="00A37D73">
        <w:rPr>
          <w:rFonts w:ascii="Wingdings 2" w:hAnsi="Wingdings 2" w:eastAsiaTheme="minorEastAsia" w:cs="宋体"/>
          <w:b/>
          <w:color w:val="000000"/>
          <w:sz w:val="24"/>
          <w:szCs w:val="24"/>
        </w:rPr>
        <w:sym w:font="Wingdings 2" w:char="F0A3"/>
      </w:r>
      <w:bookmarkEnd w:id="75"/>
      <w:r w:rsidRPr="00A37D73">
        <w:rPr>
          <w:rFonts w:asciiTheme="minorEastAsia" w:eastAsiaTheme="minorEastAsia" w:hAnsiTheme="minorEastAsia" w:cs="宋体" w:hint="eastAsia"/>
          <w:b/>
          <w:kern w:val="2"/>
          <w:sz w:val="24"/>
          <w:szCs w:val="24"/>
        </w:rPr>
        <w:t xml:space="preserve">是   </w:t>
      </w:r>
      <w:bookmarkStart w:id="76" w:name="no"/>
      <w:r w:rsidRPr="00A37D73">
        <w:rPr>
          <w:rFonts w:ascii="Wingdings 2" w:eastAsia="Wingdings 2" w:hAnsi="Wingdings 2" w:cs="Wingdings 2" w:hint="eastAsia"/>
          <w:b/>
          <w:kern w:val="2"/>
          <w:sz w:val="24"/>
          <w:szCs w:val="24"/>
        </w:rPr>
        <w:t>R</w:t>
      </w:r>
      <w:bookmarkEnd w:id="76"/>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7" w:name="title_0"/>
      <w:bookmarkEnd w:id="77"/>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ycjx"/>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qryzy"/>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0" w:name="gdrs"/>
            <w:r w:rsidRPr="001716E5">
              <w:rPr>
                <w:rFonts w:ascii="Wingdings 2" w:hAnsi="Wingdings 2" w:eastAsiaTheme="minorEastAsia" w:cs="宋体"/>
                <w:color w:val="000000"/>
                <w:sz w:val="21"/>
                <w:szCs w:val="21"/>
              </w:rPr>
              <w:sym w:font="Wingdings 2" w:char="F0A3"/>
            </w:r>
            <w:bookmarkEnd w:id="80"/>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1" w:name="hjb"/>
            <w:r w:rsidRPr="001716E5">
              <w:rPr>
                <w:rFonts w:ascii="Wingdings 2" w:hAnsi="Wingdings 2" w:eastAsiaTheme="minorEastAsia" w:cs="宋体"/>
                <w:color w:val="000000"/>
                <w:sz w:val="21"/>
                <w:szCs w:val="21"/>
              </w:rPr>
              <w:sym w:font="Wingdings 2" w:char="F0A3"/>
            </w:r>
            <w:bookmarkEnd w:id="81"/>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tsqt"/>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3" w:name="cjZl"/>
            <w:bookmarkEnd w:id="83"/>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4" w:name="cjSl"/>
            <w:bookmarkEnd w:id="84"/>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5" w:name="cjXmmc"/>
            <w:bookmarkEnd w:id="85"/>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6" w:name="cjdwmc"/>
            <w:bookmarkEnd w:id="86"/>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7" w:name="cjPzbasj"/>
            <w:bookmarkEnd w:id="87"/>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8" w:name="cjYczyjg"/>
            <w:bookmarkEnd w:id="88"/>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9" w:name="cjBz"/>
            <w:bookmarkEnd w:id="89"/>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0" w:name="bcDd"/>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1" w:name="bcSs"/>
            <w:bookmarkEnd w:id="9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2" w:name="bcPt"/>
            <w:bookmarkEnd w:id="9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3" w:name="bcZl"/>
            <w:bookmarkEnd w:id="9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4" w:name="bcSl"/>
            <w:bookmarkEnd w:id="9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5" w:name="bcXmmc"/>
            <w:bookmarkEnd w:id="95"/>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6" w:name="bcDwmc"/>
            <w:bookmarkEnd w:id="96"/>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7" w:name="bcPzbasj"/>
            <w:bookmarkEnd w:id="97"/>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8" w:name="bcYczyjg"/>
            <w:bookmarkEnd w:id="98"/>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9" w:name="bcBz"/>
            <w:bookmarkEnd w:id="99"/>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0" w:name="kfhd2"/>
            <w:r w:rsidRPr="001716E5">
              <w:rPr>
                <w:rFonts w:ascii="Wingdings 2" w:hAnsi="Wingdings 2" w:eastAsiaTheme="minorEastAsia" w:cs="宋体"/>
                <w:color w:val="000000"/>
                <w:sz w:val="21"/>
                <w:szCs w:val="21"/>
              </w:rPr>
              <w:sym w:font="Wingdings 2" w:char="F0A3"/>
            </w:r>
            <w:bookmarkEnd w:id="100"/>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1" w:name="lcsy2"/>
            <w:r w:rsidRPr="001716E5">
              <w:rPr>
                <w:rFonts w:ascii="Wingdings 2" w:hAnsi="Wingdings 2" w:eastAsiaTheme="minorEastAsia" w:cs="宋体"/>
                <w:color w:val="000000"/>
                <w:sz w:val="21"/>
                <w:szCs w:val="21"/>
              </w:rPr>
              <w:sym w:font="Wingdings 2" w:char="F0A3"/>
            </w:r>
            <w:bookmarkEnd w:id="101"/>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2" w:name="lyZl"/>
            <w:bookmarkEnd w:id="10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3" w:name="lySl"/>
            <w:bookmarkEnd w:id="103"/>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4" w:name="lyXmmc"/>
            <w:bookmarkEnd w:id="104"/>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5" w:name="lyDwmc"/>
            <w:bookmarkEnd w:id="105"/>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6" w:name="lyPzbasj"/>
            <w:bookmarkEnd w:id="106"/>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7" w:name="lyYczyjg"/>
            <w:bookmarkEnd w:id="107"/>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8" w:name="lyBz"/>
            <w:bookmarkEnd w:id="108"/>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9" w:name="kfhd1"/>
            <w:r w:rsidRPr="001716E5">
              <w:rPr>
                <w:rFonts w:ascii="Wingdings 2" w:hAnsi="Wingdings 2" w:eastAsiaTheme="minorEastAsia" w:cs="宋体"/>
                <w:color w:val="000000"/>
                <w:sz w:val="21"/>
                <w:szCs w:val="21"/>
              </w:rPr>
              <w:sym w:font="Wingdings 2" w:char="F0A3"/>
            </w:r>
            <w:bookmarkEnd w:id="109"/>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0" w:name="lcsy1"/>
            <w:r w:rsidRPr="001716E5">
              <w:rPr>
                <w:rFonts w:ascii="Wingdings 2" w:hAnsi="Wingdings 2" w:eastAsiaTheme="minorEastAsia" w:cs="宋体"/>
                <w:color w:val="000000"/>
                <w:sz w:val="21"/>
                <w:szCs w:val="21"/>
              </w:rPr>
              <w:sym w:font="Wingdings 2" w:char="F0A3"/>
            </w:r>
            <w:bookmarkEnd w:id="110"/>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1" w:name="gjhzxzxkZl"/>
            <w:bookmarkEnd w:id="11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2" w:name="gjhzxzxkSl"/>
            <w:bookmarkEnd w:id="112"/>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3" w:name="gjhzxzxkXmmc"/>
            <w:bookmarkEnd w:id="113"/>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4" w:name="gjhzxzxkDwmc"/>
            <w:bookmarkEnd w:id="114"/>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5" w:name="gjhzxzxkPzbasj"/>
            <w:bookmarkEnd w:id="115"/>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6" w:name="gjhzxzxkYczyjg"/>
            <w:bookmarkEnd w:id="116"/>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7" w:name="gjhzxzxkBz"/>
            <w:bookmarkEnd w:id="117"/>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8" w:name="kfhd"/>
            <w:r w:rsidRPr="001716E5">
              <w:rPr>
                <w:rFonts w:ascii="Wingdings 2" w:hAnsi="Wingdings 2" w:eastAsiaTheme="minorEastAsia" w:cs="宋体"/>
                <w:color w:val="000000"/>
                <w:sz w:val="21"/>
                <w:szCs w:val="21"/>
              </w:rPr>
              <w:sym w:font="Wingdings 2" w:char="F0A3"/>
            </w:r>
            <w:bookmarkEnd w:id="118"/>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9" w:name="lcsy"/>
            <w:r w:rsidRPr="001716E5">
              <w:rPr>
                <w:rFonts w:ascii="Wingdings 2" w:hAnsi="Wingdings 2" w:eastAsiaTheme="minorEastAsia" w:cs="宋体"/>
                <w:color w:val="000000"/>
                <w:sz w:val="21"/>
                <w:szCs w:val="21"/>
              </w:rPr>
              <w:sym w:font="Wingdings 2" w:char="F0A3"/>
            </w:r>
            <w:bookmarkEnd w:id="119"/>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0" w:name="gjhzbaZl"/>
            <w:bookmarkEnd w:id="12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1" w:name="gjhzbaSl"/>
            <w:bookmarkEnd w:id="12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2" w:name="gjhzbaXmmc"/>
            <w:bookmarkEnd w:id="122"/>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3" w:name="gjhzbaDwmc"/>
            <w:bookmarkEnd w:id="123"/>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4" w:name="gjhzbaPzbasj"/>
            <w:bookmarkEnd w:id="124"/>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5" w:name="gjhzbaYczyjg"/>
            <w:bookmarkEnd w:id="125"/>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6" w:name="gjhzbaBz"/>
            <w:bookmarkEnd w:id="126"/>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7" w:name="chujHzf"/>
            <w:bookmarkEnd w:id="12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8" w:name="chujYt"/>
            <w:bookmarkEnd w:id="12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9" w:name="chujZl"/>
            <w:bookmarkEnd w:id="12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0" w:name="chujSl"/>
            <w:bookmarkEnd w:id="13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1" w:name="chujXmmc"/>
            <w:bookmarkEnd w:id="131"/>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2" w:name="chujDwmc"/>
            <w:bookmarkEnd w:id="132"/>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3" w:name="chujPzbasj"/>
            <w:bookmarkEnd w:id="133"/>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4" w:name="chujYczyjg"/>
            <w:bookmarkEnd w:id="134"/>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5" w:name="chujBz"/>
            <w:bookmarkEnd w:id="135"/>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6" w:name="xxsyWfdwmc"/>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7" w:name="xxsyYjmd"/>
            <w:bookmarkEnd w:id="13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8" w:name="xxsyLy"/>
            <w:bookmarkEnd w:id="13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9" w:name="xxsyZl"/>
            <w:bookmarkEnd w:id="13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0" w:name="xxsySl"/>
            <w:bookmarkEnd w:id="14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1" w:name="xxsyXmmc"/>
            <w:bookmarkEnd w:id="141"/>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2" w:name="xxsyDwmc"/>
            <w:bookmarkEnd w:id="142"/>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3" w:name="xxsyPzbasj"/>
            <w:bookmarkEnd w:id="143"/>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4" w:name="xxsyYczyjg"/>
            <w:bookmarkEnd w:id="144"/>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5" w:name="xxsyBz"/>
            <w:bookmarkEnd w:id="145"/>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sectPr>
          <w:headerReference w:type="even" r:id="rId18"/>
          <w:headerReference w:type="default" r:id="rId19"/>
          <w:footerReference w:type="even" r:id="rId20"/>
          <w:footerReference w:type="default" r:id="rId21"/>
          <w:headerReference w:type="first" r:id="rId22"/>
          <w:footerReference w:type="first" r:id="rId23"/>
          <w:pgSz w:w="16838" w:h="11906" w:orient="landscape"/>
          <w:pgMar w:top="1418" w:right="1418" w:bottom="1418" w:left="1418" w:header="851" w:footer="851" w:gutter="0"/>
          <w:cols w:num="1" w:space="425"/>
          <w:docGrid w:linePitch="381" w:charSpace="0"/>
        </w:sect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14:paraId="1BFC60B2">
      <w:pPr>
        <w:wordWrap w:val="0"/>
        <w:spacing w:line="360" w:lineRule="auto"/>
        <w:jc w:val="center"/>
        <w:rPr>
          <w:b/>
          <w:szCs w:val="28"/>
        </w:rPr>
      </w:pPr>
      <w:r>
        <w:rPr>
          <w:rFonts w:hint="eastAsia"/>
          <w:b/>
          <w:szCs w:val="28"/>
        </w:rPr>
        <w:t>指南要求符合申报条件的附件信息</w:t>
      </w:r>
    </w:p>
    <w:tbl>
      <w:tblPr>
        <w:tblStyle w:val="TableNormal"/>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64"/>
        <w:gridCol w:w="2835"/>
        <w:gridCol w:w="6998"/>
      </w:tblGrid>
      <w:tr w14:paraId="3DFAA77D">
        <w:tblPrEx>
          <w:tblW w:w="105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597" w:type="dxa"/>
            <w:gridSpan w:val="3"/>
            <w:vAlign w:val="center"/>
          </w:tcPr>
          <w:p w14:paraId="3C1648FB">
            <w:pPr>
              <w:wordWrap w:val="0"/>
              <w:jc w:val="left"/>
              <w:rPr>
                <w:sz w:val="24"/>
              </w:rPr>
            </w:pPr>
            <w:r>
              <w:rPr>
                <w:rFonts w:hint="eastAsia"/>
                <w:sz w:val="24"/>
              </w:rPr>
              <w:t>附件目录：</w:t>
            </w:r>
          </w:p>
        </w:tc>
      </w:tr>
      <w:tr w14:paraId="70AA9D5D">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3F84C3D">
            <w:pPr>
              <w:wordWrap w:val="0"/>
              <w:jc w:val="center"/>
              <w:rPr>
                <w:sz w:val="24"/>
              </w:rPr>
            </w:pPr>
            <w:r>
              <w:rPr>
                <w:rFonts w:hint="eastAsia"/>
                <w:sz w:val="24"/>
              </w:rPr>
              <w:t>序号</w:t>
            </w:r>
          </w:p>
        </w:tc>
        <w:tc>
          <w:tcPr>
            <w:tcW w:w="2835" w:type="dxa"/>
            <w:vAlign w:val="center"/>
          </w:tcPr>
          <w:p w14:paraId="7791943A">
            <w:pPr>
              <w:wordWrap w:val="0"/>
              <w:jc w:val="center"/>
              <w:rPr>
                <w:sz w:val="24"/>
              </w:rPr>
            </w:pPr>
            <w:r>
              <w:rPr>
                <w:rFonts w:hint="eastAsia"/>
                <w:sz w:val="24"/>
              </w:rPr>
              <w:t>附件类型</w:t>
            </w:r>
          </w:p>
        </w:tc>
        <w:tc>
          <w:tcPr>
            <w:tcW w:w="6998" w:type="dxa"/>
            <w:vAlign w:val="center"/>
          </w:tcPr>
          <w:p w14:paraId="26F06DA2">
            <w:pPr>
              <w:wordWrap w:val="0"/>
              <w:jc w:val="center"/>
              <w:rPr>
                <w:sz w:val="24"/>
              </w:rPr>
            </w:pPr>
            <w:r>
              <w:rPr>
                <w:rFonts w:hint="eastAsia"/>
                <w:sz w:val="24"/>
              </w:rPr>
              <w:t>附件名称</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14:paraId="5C63FDDB">
            <w:pPr>
              <w:wordWrap w:val="0"/>
              <w:jc w:val="center"/>
              <w:rPr>
                <w:rFonts w:ascii="宋体" w:eastAsia="宋体" w:hAnsi="宋体" w:cs="宋体"/>
                <w:sz w:val="24"/>
              </w:rPr>
            </w:pPr>
            <w:r>
              <w:rPr>
                <w:rFonts w:ascii="宋体" w:eastAsia="宋体" w:hAnsi="宋体" w:cs="宋体"/>
                <w:sz w:val="24"/>
              </w:rPr>
              <w:t>1</w:t>
            </w:r>
          </w:p>
        </w:tc>
        <w:tc>
          <w:tcPr>
            <w:tcW w:w="2835" w:type="dxa"/>
            <w:vAlign w:val="center"/>
          </w:tcPr>
          <w:p w14:paraId="030EAB2E">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14:paraId="64C9B769">
            <w:pPr>
              <w:wordWrap w:val="0"/>
              <w:jc w:val="left"/>
              <w:rPr>
                <w:rFonts w:ascii="宋体" w:eastAsia="宋体" w:hAnsi="宋体" w:cs="宋体"/>
                <w:sz w:val="24"/>
              </w:rPr>
            </w:pPr>
            <w:r>
              <w:rPr>
                <w:rFonts w:ascii="宋体" w:eastAsia="宋体" w:hAnsi="宋体" w:cs="宋体"/>
                <w:sz w:val="24"/>
              </w:rPr>
              <w:t>论文原文1</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2</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论文原文2</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3</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论文原文3</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4</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论文原文4</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5</w:t>
            </w:r>
          </w:p>
        </w:tc>
        <w:tc>
          <w:tcPr>
            <w:tcW w:w="2835" w:type="dxa"/>
            <w:vAlign w:val="center"/>
          </w:tcPr>
          <w:p>
            <w:pPr>
              <w:wordWrap w:val="0"/>
              <w:jc w:val="left"/>
              <w:rPr>
                <w:rFonts w:ascii="宋体" w:eastAsia="宋体" w:hAnsi="宋体" w:cs="宋体"/>
                <w:sz w:val="24"/>
              </w:rPr>
            </w:pPr>
            <w:r>
              <w:rPr>
                <w:rFonts w:ascii="宋体" w:eastAsia="宋体" w:hAnsi="宋体" w:cs="宋体"/>
                <w:sz w:val="24"/>
              </w:rPr>
              <w:t>论文</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论文原文5</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6</w:t>
            </w:r>
          </w:p>
        </w:tc>
        <w:tc>
          <w:tcPr>
            <w:tcW w:w="2835" w:type="dxa"/>
            <w:vAlign w:val="center"/>
          </w:tcPr>
          <w:p>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论文1检索证明</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7</w:t>
            </w:r>
          </w:p>
        </w:tc>
        <w:tc>
          <w:tcPr>
            <w:tcW w:w="2835" w:type="dxa"/>
            <w:vAlign w:val="center"/>
          </w:tcPr>
          <w:p>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论文2检索证明</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8</w:t>
            </w:r>
          </w:p>
        </w:tc>
        <w:tc>
          <w:tcPr>
            <w:tcW w:w="2835" w:type="dxa"/>
            <w:vAlign w:val="center"/>
          </w:tcPr>
          <w:p>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论文3检索证明</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9</w:t>
            </w:r>
          </w:p>
        </w:tc>
        <w:tc>
          <w:tcPr>
            <w:tcW w:w="2835" w:type="dxa"/>
            <w:vAlign w:val="center"/>
          </w:tcPr>
          <w:p>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论文4检索证明</w:t>
            </w:r>
          </w:p>
        </w:tc>
      </w:tr>
      <w:tr w14:paraId="298E1DBA">
        <w:tblPrEx>
          <w:tblW w:w="10597" w:type="dxa"/>
          <w:jc w:val="center"/>
          <w:tblLayout w:type="fixed"/>
          <w:tblCellMar>
            <w:top w:w="0" w:type="dxa"/>
            <w:left w:w="108" w:type="dxa"/>
            <w:bottom w:w="0" w:type="dxa"/>
            <w:right w:w="108" w:type="dxa"/>
          </w:tblCellMar>
        </w:tblPrEx>
        <w:trPr>
          <w:trHeight w:val="465"/>
          <w:jc w:val="center"/>
        </w:trPr>
        <w:tc>
          <w:tcPr>
            <w:tcW w:w="764" w:type="dxa"/>
            <w:vAlign w:val="center"/>
          </w:tcPr>
          <w:p>
            <w:pPr>
              <w:wordWrap w:val="0"/>
              <w:jc w:val="center"/>
              <w:rPr>
                <w:rFonts w:ascii="宋体" w:eastAsia="宋体" w:hAnsi="宋体" w:cs="宋体"/>
                <w:sz w:val="24"/>
              </w:rPr>
            </w:pPr>
            <w:r>
              <w:rPr>
                <w:rFonts w:ascii="宋体" w:eastAsia="宋体" w:hAnsi="宋体" w:cs="宋体"/>
                <w:sz w:val="24"/>
              </w:rPr>
              <w:t>10</w:t>
            </w:r>
          </w:p>
        </w:tc>
        <w:tc>
          <w:tcPr>
            <w:tcW w:w="2835" w:type="dxa"/>
            <w:vAlign w:val="center"/>
          </w:tcPr>
          <w:p>
            <w:pPr>
              <w:wordWrap w:val="0"/>
              <w:jc w:val="left"/>
              <w:rPr>
                <w:rFonts w:ascii="宋体" w:eastAsia="宋体" w:hAnsi="宋体" w:cs="宋体"/>
                <w:sz w:val="24"/>
              </w:rPr>
            </w:pPr>
            <w:r>
              <w:rPr>
                <w:rFonts w:ascii="宋体" w:eastAsia="宋体" w:hAnsi="宋体" w:cs="宋体"/>
                <w:sz w:val="24"/>
              </w:rPr>
              <w:t>收录检索证明报告</w:t>
            </w:r>
          </w:p>
        </w:tc>
        <w:tc>
          <w:tcPr>
            <w:tcW w:w="6998" w:type="dxa"/>
            <w:vAlign w:val="center"/>
          </w:tcPr>
          <w:p>
            <w:pPr>
              <w:wordWrap w:val="0"/>
              <w:jc w:val="left"/>
              <w:rPr>
                <w:rFonts w:ascii="宋体" w:eastAsia="宋体" w:hAnsi="宋体" w:cs="宋体"/>
                <w:sz w:val="24"/>
              </w:rPr>
            </w:pPr>
            <w:r>
              <w:rPr>
                <w:rFonts w:ascii="宋体" w:eastAsia="宋体" w:hAnsi="宋体" w:cs="宋体"/>
                <w:sz w:val="24"/>
              </w:rPr>
              <w:t>论文5检索证明</w:t>
            </w:r>
          </w:p>
        </w:tc>
      </w:tr>
    </w:tbl>
    <w:p w14:paraId="2F22B872">
      <w:pPr>
        <w:wordWrap w:val="0"/>
        <w:rPr>
          <w:sz w:val="10"/>
          <w:szCs w:val="10"/>
        </w:rPr>
      </w:pPr>
    </w:p>
    <w:sectPr>
      <w:footerReference w:type="default" r:id="rId24"/>
      <w:pgSz w:w="11906" w:h="16838"/>
      <w:pgMar w:top="1418" w:right="1418" w:bottom="1418" w:left="1418" w:header="851" w:footer="851"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AGaramond">
    <w:altName w:val="宋体"/>
    <w:panose1 w:val="00000000000000000000"/>
    <w:charset w:val="86"/>
    <w:family w:val="roman"/>
    <w:pitch w:val="default"/>
    <w:sig w:usb0="00000000" w:usb1="00000000" w:usb2="0000001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8DFB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67EF8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5E31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55A56C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4CDA1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81259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530D47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BA9BAB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396C095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72A22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A0B3C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2C2040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B735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057F3D5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931F5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1BE00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326F1D0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02478B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DC01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395B2D1">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37D591F">
    <w:pPr>
      <w:pStyle w:val="Header"/>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4AADE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5D4E0F">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4506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35062B1"/>
    <w:multiLevelType w:val="singleLevel"/>
    <w:tmpl w:val="B35062B1"/>
    <w:lvl w:ilvl="0">
      <w:start w:val="3"/>
      <w:numFmt w:val="decimal"/>
      <w:suff w:val="nothing"/>
      <w:lvlText w:val="（%1）"/>
      <w:lvlJc w:val="left"/>
    </w:lvl>
  </w:abstractNum>
  <w:abstractNum w:abstractNumId="1">
    <w:nsid w:val="F5FFEB63"/>
    <w:multiLevelType w:val="singleLevel"/>
    <w:tmpl w:val="F5FFEB63"/>
    <w:lvl w:ilvl="0">
      <w:start w:val="1"/>
      <w:numFmt w:val="decimal"/>
      <w:lvlText w:val="[%1]"/>
      <w:lvlJc w:val="left"/>
      <w:pPr>
        <w:tabs>
          <w:tab w:val="left" w:pos="312"/>
        </w:tabs>
      </w:pPr>
    </w:lvl>
  </w:abstractNum>
  <w:abstractNum w:abstractNumId="2">
    <w:nsid w:val="3C0A3882"/>
    <w:multiLevelType w:val="singleLevel"/>
    <w:tmpl w:val="3C0A3882"/>
    <w:lvl w:ilvl="0">
      <w:start w:val="2"/>
      <w:numFmt w:val="decimal"/>
      <w:lvlText w:val="%1."/>
      <w:lvlJc w:val="left"/>
      <w:pPr>
        <w:tabs>
          <w:tab w:val="left" w:pos="312"/>
        </w:tabs>
      </w:pPr>
    </w:lvl>
  </w:abstractNum>
  <w:abstractNum w:abstractNumId="3">
    <w:nsid w:val="458BC50A"/>
    <w:multiLevelType w:val="singleLevel"/>
    <w:tmpl w:val="458BC50A"/>
    <w:lvl w:ilvl="0">
      <w:start w:val="1"/>
      <w:numFmt w:val="lowerLetter"/>
      <w:lvlText w:val="%1)"/>
      <w:lvlJc w:val="left"/>
      <w:pPr>
        <w:tabs>
          <w:tab w:val="left" w:pos="312"/>
        </w:tabs>
      </w:pPr>
    </w:lvl>
  </w:abstractNum>
  <w:abstractNum w:abstractNumId="4">
    <w:nsid w:val="65023F2C"/>
    <w:multiLevelType w:val="multilevel"/>
    <w:tmpl w:val="65023F2C"/>
    <w:lvl w:ilvl="0">
      <w:start w:val="1"/>
      <w:numFmt w:val="decimal"/>
      <w:lvlText w:val="[%1]"/>
      <w:lvlJc w:val="left"/>
      <w:pPr>
        <w:tabs>
          <w:tab w:val="left" w:pos="454"/>
        </w:tabs>
        <w:ind w:left="454" w:hanging="454"/>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78731F0B"/>
    <w:multiLevelType w:val="multilevel"/>
    <w:tmpl w:val="78731F0B"/>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ED"/>
    <w:rsid w:val="00000B01"/>
    <w:rsid w:val="000068C9"/>
    <w:rsid w:val="00007412"/>
    <w:rsid w:val="00007CED"/>
    <w:rsid w:val="00043706"/>
    <w:rsid w:val="00043D29"/>
    <w:rsid w:val="00067D2E"/>
    <w:rsid w:val="00067F0B"/>
    <w:rsid w:val="00086EC4"/>
    <w:rsid w:val="000B3E37"/>
    <w:rsid w:val="000B7959"/>
    <w:rsid w:val="000D7110"/>
    <w:rsid w:val="00104961"/>
    <w:rsid w:val="00112FBD"/>
    <w:rsid w:val="00147059"/>
    <w:rsid w:val="001716E5"/>
    <w:rsid w:val="001954A7"/>
    <w:rsid w:val="00197F4B"/>
    <w:rsid w:val="001C0BEF"/>
    <w:rsid w:val="001D461A"/>
    <w:rsid w:val="00210D36"/>
    <w:rsid w:val="00272A6C"/>
    <w:rsid w:val="00280FBB"/>
    <w:rsid w:val="00281E00"/>
    <w:rsid w:val="002904FE"/>
    <w:rsid w:val="002966AF"/>
    <w:rsid w:val="00297380"/>
    <w:rsid w:val="002C2E68"/>
    <w:rsid w:val="00342F3C"/>
    <w:rsid w:val="003515DB"/>
    <w:rsid w:val="003820BD"/>
    <w:rsid w:val="00382757"/>
    <w:rsid w:val="0038349C"/>
    <w:rsid w:val="003A29AB"/>
    <w:rsid w:val="003B20ED"/>
    <w:rsid w:val="003B2D19"/>
    <w:rsid w:val="003D1531"/>
    <w:rsid w:val="003E2C04"/>
    <w:rsid w:val="003F0277"/>
    <w:rsid w:val="0040206C"/>
    <w:rsid w:val="00404983"/>
    <w:rsid w:val="00411E8E"/>
    <w:rsid w:val="00416041"/>
    <w:rsid w:val="004353CC"/>
    <w:rsid w:val="004358AB"/>
    <w:rsid w:val="00454473"/>
    <w:rsid w:val="00456A81"/>
    <w:rsid w:val="00490050"/>
    <w:rsid w:val="00497001"/>
    <w:rsid w:val="004F3019"/>
    <w:rsid w:val="004F70A8"/>
    <w:rsid w:val="004F7560"/>
    <w:rsid w:val="00522B0F"/>
    <w:rsid w:val="00532443"/>
    <w:rsid w:val="00542989"/>
    <w:rsid w:val="0056127C"/>
    <w:rsid w:val="005712FA"/>
    <w:rsid w:val="005817C1"/>
    <w:rsid w:val="00594A6B"/>
    <w:rsid w:val="005E21CD"/>
    <w:rsid w:val="005E493B"/>
    <w:rsid w:val="005E533D"/>
    <w:rsid w:val="005F02F9"/>
    <w:rsid w:val="005F1CEE"/>
    <w:rsid w:val="0061006E"/>
    <w:rsid w:val="00612F97"/>
    <w:rsid w:val="0063152D"/>
    <w:rsid w:val="0065630A"/>
    <w:rsid w:val="00665FE2"/>
    <w:rsid w:val="00690002"/>
    <w:rsid w:val="006A4E79"/>
    <w:rsid w:val="006B0E7D"/>
    <w:rsid w:val="006E4890"/>
    <w:rsid w:val="006F2C7C"/>
    <w:rsid w:val="007052C0"/>
    <w:rsid w:val="0070788B"/>
    <w:rsid w:val="0071198C"/>
    <w:rsid w:val="00713A3E"/>
    <w:rsid w:val="00733827"/>
    <w:rsid w:val="00747D39"/>
    <w:rsid w:val="00752ABD"/>
    <w:rsid w:val="00777AFC"/>
    <w:rsid w:val="0078120B"/>
    <w:rsid w:val="00793889"/>
    <w:rsid w:val="007A42BF"/>
    <w:rsid w:val="007B31BD"/>
    <w:rsid w:val="007C0E47"/>
    <w:rsid w:val="007D2E29"/>
    <w:rsid w:val="007E4259"/>
    <w:rsid w:val="00805A11"/>
    <w:rsid w:val="00813CCF"/>
    <w:rsid w:val="008360E4"/>
    <w:rsid w:val="00846E79"/>
    <w:rsid w:val="00851942"/>
    <w:rsid w:val="008544E1"/>
    <w:rsid w:val="008E1279"/>
    <w:rsid w:val="008E2115"/>
    <w:rsid w:val="00917AFE"/>
    <w:rsid w:val="00920831"/>
    <w:rsid w:val="00946437"/>
    <w:rsid w:val="0094763A"/>
    <w:rsid w:val="0095464A"/>
    <w:rsid w:val="00954738"/>
    <w:rsid w:val="00981489"/>
    <w:rsid w:val="0098322D"/>
    <w:rsid w:val="009A6373"/>
    <w:rsid w:val="00A01EE2"/>
    <w:rsid w:val="00A0773E"/>
    <w:rsid w:val="00A36A51"/>
    <w:rsid w:val="00A37D73"/>
    <w:rsid w:val="00A40289"/>
    <w:rsid w:val="00A5235D"/>
    <w:rsid w:val="00A77B69"/>
    <w:rsid w:val="00AA5B5D"/>
    <w:rsid w:val="00AA5BFC"/>
    <w:rsid w:val="00AD4FC8"/>
    <w:rsid w:val="00AF629B"/>
    <w:rsid w:val="00B06DB0"/>
    <w:rsid w:val="00B16397"/>
    <w:rsid w:val="00B2000D"/>
    <w:rsid w:val="00B248DD"/>
    <w:rsid w:val="00B42B8A"/>
    <w:rsid w:val="00B72ED9"/>
    <w:rsid w:val="00BA1B4F"/>
    <w:rsid w:val="00BC2844"/>
    <w:rsid w:val="00BD159C"/>
    <w:rsid w:val="00BF33AC"/>
    <w:rsid w:val="00BF477D"/>
    <w:rsid w:val="00C158DB"/>
    <w:rsid w:val="00C34BBD"/>
    <w:rsid w:val="00C4359C"/>
    <w:rsid w:val="00C74B64"/>
    <w:rsid w:val="00C93591"/>
    <w:rsid w:val="00C950D4"/>
    <w:rsid w:val="00CA49A8"/>
    <w:rsid w:val="00CA7C1D"/>
    <w:rsid w:val="00CD0D2D"/>
    <w:rsid w:val="00CE1EE6"/>
    <w:rsid w:val="00CE4299"/>
    <w:rsid w:val="00CF6210"/>
    <w:rsid w:val="00CF7E33"/>
    <w:rsid w:val="00D079A0"/>
    <w:rsid w:val="00D23BDB"/>
    <w:rsid w:val="00D8297E"/>
    <w:rsid w:val="00D8534A"/>
    <w:rsid w:val="00D97318"/>
    <w:rsid w:val="00DA7C44"/>
    <w:rsid w:val="00DD5DBB"/>
    <w:rsid w:val="00E0524B"/>
    <w:rsid w:val="00E07015"/>
    <w:rsid w:val="00E116D5"/>
    <w:rsid w:val="00E15418"/>
    <w:rsid w:val="00E31967"/>
    <w:rsid w:val="00E43DFD"/>
    <w:rsid w:val="00E52611"/>
    <w:rsid w:val="00E7326B"/>
    <w:rsid w:val="00EA0BA9"/>
    <w:rsid w:val="00EA2AF3"/>
    <w:rsid w:val="00EB2146"/>
    <w:rsid w:val="00EB60C3"/>
    <w:rsid w:val="00F30DF2"/>
    <w:rsid w:val="00F33DFC"/>
    <w:rsid w:val="00F37F38"/>
    <w:rsid w:val="00F5179E"/>
    <w:rsid w:val="00F65904"/>
    <w:rsid w:val="00F71695"/>
    <w:rsid w:val="00F840F1"/>
    <w:rsid w:val="00F84B43"/>
    <w:rsid w:val="00FA43AA"/>
    <w:rsid w:val="00FB4B9D"/>
    <w:rsid w:val="00FB7A8D"/>
    <w:rsid w:val="00FC0C5B"/>
    <w:rsid w:val="00FC6491"/>
    <w:rsid w:val="68AD602C"/>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semiHidden="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link w:val="a1"/>
    <w:semiHidden/>
    <w:pPr>
      <w:spacing w:after="120"/>
    </w:p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spacing w:before="100" w:beforeAutospacing="1" w:after="100" w:afterAutospacing="1"/>
      <w:jc w:val="left"/>
    </w:pPr>
    <w:rPr>
      <w:kern w:val="0"/>
      <w:sz w:val="24"/>
      <w:szCs w:val="20"/>
    </w:rPr>
  </w:style>
  <w:style w:type="character" w:styleId="PageNumber">
    <w:name w:val="page number"/>
    <w:basedOn w:val="DefaultParagraphFont"/>
    <w:semiHidden/>
    <w:qFormat/>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正文文本 字符"/>
    <w:basedOn w:val="DefaultParagraphFont"/>
    <w:link w:val="BodyText"/>
    <w:semiHidden/>
    <w:qFormat/>
    <w:rPr>
      <w:rFonts w:ascii="Times New Roman" w:eastAsia="宋体" w:hAnsi="Times New Roman" w:cs="Times New Roman"/>
      <w:sz w:val="28"/>
      <w:szCs w:val="24"/>
    </w:rPr>
  </w:style>
  <w:style w:type="character" w:customStyle="1" w:styleId="fontstyle01">
    <w:name w:val="fontstyle01"/>
    <w:qFormat/>
    <w:rPr>
      <w:rFonts w:ascii="宋体" w:eastAsia="宋体" w:hAnsi="宋体" w:hint="eastAsia"/>
      <w:color w:val="000000"/>
      <w:sz w:val="24"/>
      <w:szCs w:val="24"/>
    </w:rPr>
  </w:style>
  <w:style w:type="paragraph" w:customStyle="1" w:styleId="Default">
    <w:name w:val="Default"/>
    <w:unhideWhenUsed/>
    <w:qFormat/>
    <w:pPr>
      <w:widowControl w:val="0"/>
      <w:autoSpaceDE w:val="0"/>
      <w:autoSpaceDN w:val="0"/>
      <w:adjustRightInd w:val="0"/>
    </w:pPr>
    <w:rPr>
      <w:rFonts w:ascii="AGaramond" w:eastAsia="AGaramond" w:hAnsi="AGaramond" w:cs="Times New Roman" w:hint="eastAsia"/>
      <w:color w:val="000000"/>
      <w:kern w:val="0"/>
      <w:sz w:val="24"/>
      <w:szCs w:val="20"/>
      <w:lang w:val="en-US" w:eastAsia="zh-CN" w:bidi="ar-SA"/>
    </w:rPr>
  </w:style>
  <w:style w:type="table" w:styleId="TableGrid">
    <w:name w:val="Table Grid"/>
    <w:basedOn w:val="TableNormal"/>
    <w:qFormat/>
    <w:locked/>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0"/>
    <w:uiPriority w:val="5"/>
    <w:qFormat/>
    <w:locked/>
    <w:pPr>
      <w:spacing w:line="360" w:lineRule="auto"/>
      <w:ind w:firstLine="480" w:firstLineChars="200"/>
      <w:jc w:val="center"/>
    </w:pPr>
    <w:rPr>
      <w:rFonts w:cstheme="majorBidi"/>
      <w:sz w:val="18"/>
      <w:szCs w:val="20"/>
    </w:rPr>
  </w:style>
  <w:style w:type="paragraph" w:customStyle="1" w:styleId="Normal0">
    <w:name w:val="Normal_0"/>
    <w:qFormat/>
    <w:pPr>
      <w:widowControl w:val="0"/>
      <w:spacing w:line="360" w:lineRule="auto"/>
      <w:ind w:firstLine="480" w:firstLineChars="200"/>
      <w:jc w:val="both"/>
    </w:pPr>
    <w:rPr>
      <w:rFonts w:ascii="Times New Roman" w:eastAsia="宋体" w:hAnsi="Times New Roman" w:cs="Times New Roman"/>
      <w:kern w:val="2"/>
      <w:sz w:val="28"/>
      <w:szCs w:val="28"/>
      <w:lang w:eastAsia="zh-CN"/>
    </w:rPr>
  </w:style>
  <w:style w:type="character" w:styleId="Strong">
    <w:name w:val="Strong"/>
    <w:basedOn w:val="DefaultParagraphFont"/>
    <w:qFormat/>
    <w:locke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header" Target="header2.xml" /><Relationship Id="rId13" Type="http://schemas.openxmlformats.org/officeDocument/2006/relationships/header" Target="header3.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4.xml" /><Relationship Id="rId17" Type="http://schemas.openxmlformats.org/officeDocument/2006/relationships/footer" Target="footer6.xml" /><Relationship Id="rId18" Type="http://schemas.openxmlformats.org/officeDocument/2006/relationships/header" Target="header5.xml" /><Relationship Id="rId19" Type="http://schemas.openxmlformats.org/officeDocument/2006/relationships/header" Target="header6.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footer" Target="footer8.xml" /><Relationship Id="rId22" Type="http://schemas.openxmlformats.org/officeDocument/2006/relationships/header" Target="header7.xml" /><Relationship Id="rId23" Type="http://schemas.openxmlformats.org/officeDocument/2006/relationships/footer" Target="footer9.xml" /><Relationship Id="rId24" Type="http://schemas.openxmlformats.org/officeDocument/2006/relationships/footer" Target="footer10.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header" Target="header1.xml"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8C9AB-5DCC-47F9-BA63-7261B7DEBFD6}">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2447</Words>
  <Characters>2498</Characters>
  <Application>Microsoft Office Word</Application>
  <DocSecurity>0</DocSecurity>
  <Lines>22</Lines>
  <Paragraphs>6</Paragraphs>
  <ScaleCrop>false</ScaleCrop>
  <Company/>
  <LinksUpToDate>false</LinksUpToDate>
  <CharactersWithSpaces>2605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121</cp:revision>
  <dcterms:created xsi:type="dcterms:W3CDTF">2020-02-17T03:25:00Z</dcterms:created>
  <dcterms:modified xsi:type="dcterms:W3CDTF">2025-03-05T09:28:59Z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0085AA1FE0E64D01AD16F80060BFAEF9_12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