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基于TIPE2-TRIM13轴探析失血性休克树突状细胞免疫功能紊乱机制的研究</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H2025405071</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精准医学创新发展联合基金培育项目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急重症医学/创伤/烧伤/整形其他科学问题</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H1511</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蒋丽娜</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河北北方学院</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2025-03-16</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蒋丽娜</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女</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1979-12</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18932630917</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教授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18932630917</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13112119791210366x</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jln1020@163.com</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河北北方学院</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075000</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重症休克、脓毒症等急危重症的免疫功能研究</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河北北方学院</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乔海霞</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0313-4029190</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hbnuky@126.com</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1000.0</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高等学校</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其他</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r>
              <w:rPr>
                <w:rFonts w:ascii="宋体" w:eastAsia="宋体" w:hAnsi="宋体" w:cs="宋体"/>
                <w:sz w:val="24"/>
              </w:rPr>
              <w:t>省重点实验室（工程技术研究中心）,省级科普基地</w:t>
            </w:r>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rFonts w:ascii="宋体" w:eastAsia="宋体" w:hAnsi="宋体" w:cs="宋体"/>
                <w:sz w:val="24"/>
              </w:rPr>
            </w:pPr>
            <w:bookmarkStart w:id="38" w:name="hzdwmc1"/>
            <w:r>
              <w:rPr>
                <w:rFonts w:ascii="宋体" w:eastAsia="宋体" w:hAnsi="宋体" w:cs="宋体"/>
                <w:sz w:val="24"/>
              </w:rPr>
              <w:t>河北北方学院附属第一医院</w:t>
            </w:r>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rFonts w:ascii="宋体" w:eastAsia="宋体" w:hAnsi="宋体" w:cs="宋体"/>
                <w:sz w:val="24"/>
              </w:rPr>
            </w:pPr>
            <w:bookmarkStart w:id="39" w:name="hzdwlxr1"/>
            <w:r>
              <w:rPr>
                <w:rFonts w:ascii="宋体" w:eastAsia="宋体" w:hAnsi="宋体" w:cs="宋体"/>
                <w:sz w:val="24"/>
              </w:rPr>
              <w:t>赵婧帆</w:t>
            </w:r>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rFonts w:ascii="宋体" w:eastAsia="宋体" w:hAnsi="宋体" w:cs="宋体"/>
                <w:sz w:val="24"/>
              </w:rPr>
            </w:pPr>
            <w:bookmarkStart w:id="40" w:name="hzdwlxrdh1"/>
            <w:r>
              <w:rPr>
                <w:rFonts w:ascii="宋体" w:eastAsia="宋体" w:hAnsi="宋体" w:cs="宋体"/>
                <w:sz w:val="24"/>
              </w:rPr>
              <w:t>15530390601</w:t>
            </w:r>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ind w:firstLine="480"/>
              <w:rPr>
                <w:rFonts w:ascii="宋体" w:hAnsi="宋体" w:cs="宋体"/>
                <w:kern w:val="0"/>
                <w:sz w:val="24"/>
              </w:rPr>
            </w:pPr>
            <w:bookmarkStart w:id="44" w:name="xmjj"/>
            <w:r>
              <w:rPr>
                <w:rFonts w:ascii="宋体" w:hAnsi="宋体" w:cs="宋体"/>
                <w:kern w:val="0"/>
                <w:sz w:val="24"/>
              </w:rPr>
              <w:t>失血性休克作为严重的临床并发症，病情进展迅速、预后险恶、临床救治难，其死亡率居高不下。</w:t>
            </w:r>
            <w:r>
              <w:rPr>
                <w:rFonts w:ascii="宋体" w:hAnsi="宋体" w:cs="宋体"/>
                <w:kern w:val="0"/>
                <w:sz w:val="24"/>
              </w:rPr>
              <w:t>肿瘤坏死因子α诱导蛋白8样分子2（TIPE2）高表达导致树突状细胞（DCs）免疫功能紊乱是失血性休克后免疫抑制及不良预后的关键因素。我们前期研究证实，TIPE2负向调控树突状细胞免疫活性是失血性休克后免疫抑制并导致其进展为脓毒症休克的重要机制。内质网选择性自噬作为内源性保护机制在维持DCs功能稳定中发挥着重要作用。</w:t>
            </w:r>
            <w:r>
              <w:rPr>
                <w:rFonts w:ascii="宋体" w:hAnsi="宋体" w:cs="宋体"/>
                <w:kern w:val="0"/>
                <w:sz w:val="24"/>
              </w:rPr>
              <w:t>三重基序蛋白</w:t>
            </w:r>
            <w:r>
              <w:rPr>
                <w:rFonts w:ascii="宋体" w:hAnsi="宋体" w:cs="宋体"/>
                <w:kern w:val="0"/>
                <w:sz w:val="24"/>
              </w:rPr>
              <w:t>13</w:t>
            </w:r>
            <w:r>
              <w:rPr>
                <w:rFonts w:ascii="宋体" w:hAnsi="宋体" w:cs="宋体"/>
                <w:kern w:val="0"/>
                <w:sz w:val="24"/>
              </w:rPr>
              <w:t>（</w:t>
            </w:r>
            <w:r>
              <w:rPr>
                <w:rFonts w:ascii="宋体" w:hAnsi="宋体" w:cs="宋体"/>
                <w:kern w:val="0"/>
                <w:sz w:val="24"/>
              </w:rPr>
              <w:t>Trim13</w:t>
            </w:r>
            <w:r>
              <w:rPr>
                <w:rFonts w:ascii="宋体" w:hAnsi="宋体" w:cs="宋体"/>
                <w:kern w:val="0"/>
                <w:sz w:val="24"/>
              </w:rPr>
              <w:t>）作为深度参与内质网功能的非经典内质网自噬受体，在DC免疫功能调控中发挥重要作用。我们预实验结果显示，TIPE2低表达抑制内质网选择性自噬可改善失血性休克诱导的DC免疫功能紊乱，但其具体调控机制尚不明确。</w:t>
            </w:r>
            <w:r>
              <w:rPr>
                <w:rFonts w:ascii="宋体" w:hAnsi="宋体" w:cs="宋体"/>
                <w:kern w:val="0"/>
                <w:sz w:val="24"/>
              </w:rPr>
              <w:t>本项目以内质网选择性自噬为切入点，应用TIPE2基因敲除或基因敲入小鼠构建失血性休克模型，深度解析TIPE2调控内质网自噬在改善失血性休克后DC免疫功能中的重要作用。同时，本项目拟应用DC特异性Trim13条敲基因小鼠，深入探讨TIPE2调控Trim13介导的内质网自噬在失血性休克后DCs免疫抑制中的作用及关键分子机制，为重症休克防治提供有效的调控靶点和策略。</w:t>
            </w:r>
          </w:p>
          <w:p>
            <w:pPr>
              <w:widowControl/>
              <w:spacing w:before="240" w:after="150"/>
              <w:jc w:val="left"/>
              <w:rPr>
                <w:rFonts w:ascii="Times New Roman" w:eastAsia="Times New Roman" w:hAnsi="Times New Roman" w:cs="Times New Roman"/>
                <w:color w:val="606468"/>
                <w:kern w:val="0"/>
                <w:sz w:val="24"/>
              </w:rPr>
            </w:pPr>
          </w:p>
          <w:p>
            <w:pPr>
              <w:widowControl/>
              <w:spacing w:before="240" w:after="150"/>
              <w:jc w:val="left"/>
              <w:rPr>
                <w:rFonts w:ascii="Times New Roman" w:eastAsia="Times New Roman" w:hAnsi="Times New Roman" w:cs="Times New Roman"/>
                <w:color w:val="606468"/>
                <w:kern w:val="0"/>
                <w:sz w:val="24"/>
              </w:rPr>
            </w:pP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失血性休克,树突状细胞,内质网自噬,肿瘤坏死因子α诱导蛋白8样分子2,三重基序蛋白13</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蒋丽娜</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46</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13112119791210366x</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教授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负责课题设计，组织实施研究全过程，资料及结果分析，研究工作总结撰写等</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耿丽娜</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130723198909170027</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其他中级</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实验诊断学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河北北方学院附属第一医院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流式细胞技术检测及结果分析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董玥宏</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26</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131024199903240024</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失血性休克模型制备，免疫细胞分选、培养及相关检测</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4</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宋凯璇</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26</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130683199906076022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助教</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免疫细胞实验及结果分析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5</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赵利娜</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130727199301060823</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实验师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免疫学实验检测及分析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6</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安康</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130703198701230910</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免疫细胞实验及功能检测</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7</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尹蒙</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130183198808080026</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主治医师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急诊医学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河北北方学院附属第一医院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分子生物学实验检测及分析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8</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刘龙泽</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130183200012160012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人体免疫学</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实验动物模型及样本处理、分子生物学实验、基因小鼠鉴定等</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8</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2</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10.00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9.00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8.50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0.50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1.00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0.50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10.00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10.00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line="360" w:lineRule="atLeast"/>
              <w:rPr>
                <w:rFonts w:ascii="宋体" w:hAnsi="宋体" w:cs="宋体"/>
                <w:kern w:val="0"/>
                <w:sz w:val="24"/>
              </w:rPr>
            </w:pPr>
            <w:bookmarkStart w:id="50" w:name="qtzc"/>
            <w:r>
              <w:rPr>
                <w:rFonts w:ascii="宋体" w:hAnsi="宋体" w:cs="宋体"/>
                <w:b/>
                <w:bCs/>
                <w:kern w:val="0"/>
                <w:sz w:val="24"/>
              </w:rPr>
              <w:t>一 直接经费使用主要包括实验材料费、测试化验加工费、会议差旅费、出版物/文献、信息传播费和劳务费的支出，共计9万元，具体说明如下：</w:t>
            </w:r>
          </w:p>
          <w:p>
            <w:pPr>
              <w:widowControl/>
              <w:spacing w:before="0" w:after="0" w:line="360" w:lineRule="atLeast"/>
              <w:rPr>
                <w:rFonts w:ascii="宋体" w:hAnsi="宋体" w:cs="宋体"/>
                <w:kern w:val="0"/>
                <w:sz w:val="24"/>
              </w:rPr>
            </w:pPr>
            <w:r>
              <w:rPr>
                <w:rFonts w:ascii="宋体" w:hAnsi="宋体" w:cs="宋体"/>
                <w:b/>
                <w:bCs/>
                <w:kern w:val="0"/>
                <w:sz w:val="24"/>
              </w:rPr>
              <w:t xml:space="preserve">1. 实验材料费 6.8万元 </w:t>
            </w:r>
            <w:r>
              <w:rPr>
                <w:rFonts w:ascii="宋体" w:hAnsi="宋体" w:cs="宋体"/>
                <w:kern w:val="0"/>
                <w:sz w:val="24"/>
              </w:rPr>
              <w:t>主要用于购买科研课题所需的实验动物、抗体、小鼠 DC、</w:t>
            </w:r>
            <w:r>
              <w:rPr>
                <w:rFonts w:ascii="宋体" w:hAnsi="宋体" w:cs="宋体"/>
                <w:kern w:val="0"/>
                <w:sz w:val="24"/>
              </w:rPr>
              <w:t>CD4</w:t>
            </w:r>
            <w:r>
              <w:rPr>
                <w:rFonts w:ascii="宋体" w:hAnsi="宋体" w:cs="宋体"/>
                <w:kern w:val="0"/>
                <w:sz w:val="9"/>
                <w:szCs w:val="9"/>
                <w:vertAlign w:val="superscript"/>
              </w:rPr>
              <w:t>+</w:t>
            </w:r>
            <w:r>
              <w:rPr>
                <w:rFonts w:ascii="宋体" w:hAnsi="宋体" w:cs="宋体"/>
                <w:kern w:val="0"/>
                <w:sz w:val="24"/>
              </w:rPr>
              <w:t>T</w:t>
            </w:r>
            <w:r>
              <w:rPr>
                <w:rFonts w:ascii="宋体" w:hAnsi="宋体" w:cs="宋体"/>
                <w:kern w:val="0"/>
                <w:sz w:val="24"/>
              </w:rPr>
              <w:t xml:space="preserve"> 淋巴细胞磁珠分选试剂、ELISA</w:t>
            </w:r>
            <w:r>
              <w:rPr>
                <w:rFonts w:ascii="宋体" w:hAnsi="宋体" w:cs="宋体"/>
                <w:kern w:val="0"/>
                <w:sz w:val="24"/>
              </w:rPr>
              <w:t>试剂盒</w:t>
            </w:r>
            <w:r>
              <w:rPr>
                <w:rFonts w:ascii="宋体" w:hAnsi="宋体" w:cs="宋体"/>
                <w:kern w:val="0"/>
                <w:sz w:val="24"/>
              </w:rPr>
              <w:t>及</w:t>
            </w:r>
            <w:r>
              <w:rPr>
                <w:rFonts w:ascii="宋体" w:hAnsi="宋体" w:cs="宋体"/>
                <w:kern w:val="0"/>
                <w:sz w:val="24"/>
              </w:rPr>
              <w:t>ELISPOT酶标板</w:t>
            </w:r>
            <w:r>
              <w:rPr>
                <w:rFonts w:ascii="宋体" w:hAnsi="宋体" w:cs="宋体"/>
                <w:kern w:val="0"/>
                <w:sz w:val="24"/>
              </w:rPr>
              <w:t>、分子生物学实验试剂及实验耗材、细胞培养试剂及耗材、</w:t>
            </w:r>
            <w:r>
              <w:rPr>
                <w:rFonts w:ascii="宋体" w:hAnsi="宋体" w:cs="宋体"/>
                <w:kern w:val="0"/>
                <w:sz w:val="24"/>
              </w:rPr>
              <w:t>Western Blotting实验试剂及耗材</w:t>
            </w:r>
            <w:r>
              <w:rPr>
                <w:rFonts w:ascii="宋体" w:hAnsi="宋体" w:cs="宋体"/>
                <w:kern w:val="0"/>
                <w:sz w:val="24"/>
              </w:rPr>
              <w:t>等。</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（1）</w:t>
            </w:r>
            <w:r>
              <w:rPr>
                <w:rFonts w:ascii="宋体" w:hAnsi="宋体" w:cs="宋体"/>
                <w:kern w:val="0"/>
                <w:sz w:val="24"/>
              </w:rPr>
              <w:t>购买实验动物及动物饲料费约需 1.3万元。其中用于购买C57正常小鼠及其饲料费等共计0.5 万元；用于TIPE2基因敲除小鼠、TIPE2基因敲入小鼠、树突状细胞特异性Trim13条件性基因敲除小鼠繁育费用及运输费用等共计0.8万元。</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（2）</w:t>
            </w:r>
            <w:r>
              <w:rPr>
                <w:rFonts w:ascii="宋体" w:hAnsi="宋体" w:cs="宋体"/>
                <w:kern w:val="0"/>
                <w:sz w:val="24"/>
              </w:rPr>
              <w:t>购买用于分离提取小鼠脾脏DC、CD4</w:t>
            </w:r>
            <w:r>
              <w:rPr>
                <w:rFonts w:ascii="宋体" w:hAnsi="宋体" w:cs="宋体"/>
                <w:kern w:val="0"/>
                <w:sz w:val="30"/>
                <w:szCs w:val="30"/>
                <w:vertAlign w:val="superscript"/>
              </w:rPr>
              <w:t>+</w:t>
            </w:r>
            <w:r>
              <w:rPr>
                <w:rFonts w:ascii="宋体" w:hAnsi="宋体" w:cs="宋体"/>
                <w:kern w:val="0"/>
                <w:sz w:val="24"/>
              </w:rPr>
              <w:t>T 细胞的免疫磁珠试剂盒及磁珠分选柱约需1.5万元。免疫磁珠试剂盒单价及需要量为：小鼠DC免疫磁珠0.65 万元/支×1支；小鼠CD4</w:t>
            </w:r>
            <w:r>
              <w:rPr>
                <w:rFonts w:ascii="宋体" w:hAnsi="宋体" w:cs="宋体"/>
                <w:kern w:val="0"/>
                <w:sz w:val="23"/>
                <w:szCs w:val="23"/>
                <w:vertAlign w:val="superscript"/>
              </w:rPr>
              <w:t>+</w:t>
            </w:r>
            <w:r>
              <w:rPr>
                <w:rFonts w:ascii="宋体" w:hAnsi="宋体" w:cs="宋体"/>
                <w:kern w:val="0"/>
                <w:sz w:val="24"/>
              </w:rPr>
              <w:t>T 细胞免疫磁珠0.65 万元/ 支×1 支；磁珠分选柱约0.2万元。 </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（3）</w:t>
            </w:r>
            <w:r>
              <w:rPr>
                <w:rFonts w:ascii="宋体" w:hAnsi="宋体" w:cs="宋体"/>
                <w:kern w:val="0"/>
                <w:sz w:val="24"/>
              </w:rPr>
              <w:t>购买抗体试剂约需2万元：其中检测DC表面功能分子的流式抗体及相关试剂约需1万元，包括 FITC 或 PE/APC 标记的抗 CD80、CD86、MHC-Ⅱ、CD11c 等。购买TIPE2、内质网自噬活性（LC3II/I、SEC61B、内质网标志性抗体等）的抗体约1万元。</w:t>
            </w:r>
          </w:p>
          <w:p>
            <w:pPr>
              <w:widowControl/>
              <w:spacing w:before="0" w:after="0" w:line="360" w:lineRule="atLeast"/>
              <w:rPr>
                <w:rFonts w:ascii="宋体" w:hAnsi="宋体" w:cs="宋体"/>
                <w:kern w:val="0"/>
                <w:sz w:val="24"/>
              </w:rPr>
            </w:pPr>
            <w:r>
              <w:rPr>
                <w:rFonts w:ascii="宋体" w:hAnsi="宋体" w:cs="宋体"/>
                <w:kern w:val="0"/>
                <w:sz w:val="24"/>
              </w:rPr>
              <w:t>（4）用于购买Western Blotting和RT-PCR</w:t>
            </w:r>
            <w:r>
              <w:rPr>
                <w:rFonts w:ascii="宋体" w:hAnsi="宋体" w:cs="宋体"/>
                <w:kern w:val="0"/>
                <w:sz w:val="24"/>
              </w:rPr>
              <w:t>试剂及耗材</w:t>
            </w:r>
            <w:r>
              <w:rPr>
                <w:rFonts w:ascii="宋体" w:hAnsi="宋体" w:cs="宋体"/>
                <w:kern w:val="0"/>
                <w:sz w:val="24"/>
              </w:rPr>
              <w:t>、</w:t>
            </w:r>
            <w:r>
              <w:rPr>
                <w:rFonts w:ascii="宋体" w:hAnsi="宋体" w:cs="宋体"/>
                <w:kern w:val="0"/>
                <w:sz w:val="24"/>
              </w:rPr>
              <w:t>ELISA及ELISPOT检测试剂盒等</w:t>
            </w:r>
            <w:r>
              <w:rPr>
                <w:rFonts w:ascii="宋体" w:hAnsi="宋体" w:cs="宋体"/>
                <w:kern w:val="0"/>
                <w:sz w:val="24"/>
              </w:rPr>
              <w:t>约需1.0万元。</w:t>
            </w:r>
          </w:p>
          <w:p>
            <w:pPr>
              <w:widowControl/>
              <w:spacing w:before="0" w:after="0" w:line="360" w:lineRule="atLeast"/>
              <w:rPr>
                <w:rFonts w:ascii="宋体" w:hAnsi="宋体" w:cs="宋体"/>
                <w:kern w:val="0"/>
                <w:sz w:val="24"/>
              </w:rPr>
            </w:pPr>
            <w:r>
              <w:rPr>
                <w:rFonts w:ascii="宋体" w:hAnsi="宋体" w:cs="宋体"/>
                <w:kern w:val="0"/>
                <w:sz w:val="24"/>
              </w:rPr>
              <w:t>（5）用于慢病毒转染实验的相关试剂，约需1万元。 </w:t>
            </w:r>
          </w:p>
          <w:p>
            <w:pPr>
              <w:widowControl/>
              <w:spacing w:before="0" w:after="0" w:line="360" w:lineRule="atLeast"/>
              <w:jc w:val="left"/>
              <w:rPr>
                <w:rFonts w:ascii="宋体" w:hAnsi="宋体" w:cs="宋体"/>
                <w:kern w:val="0"/>
                <w:sz w:val="24"/>
              </w:rPr>
            </w:pPr>
            <w:r>
              <w:rPr>
                <w:rFonts w:ascii="宋体" w:hAnsi="宋体" w:cs="宋体"/>
                <w:b/>
                <w:bCs/>
                <w:kern w:val="0"/>
                <w:sz w:val="24"/>
              </w:rPr>
              <w:t>2. 测试化验加工费用</w:t>
            </w:r>
            <w:r>
              <w:rPr>
                <w:rFonts w:ascii="宋体" w:hAnsi="宋体" w:cs="宋体"/>
                <w:kern w:val="0"/>
                <w:sz w:val="24"/>
              </w:rPr>
              <w:t>(0.2 万元)：主要用于透射电子显微镜的检测和结果分析等。 </w:t>
            </w:r>
          </w:p>
          <w:p>
            <w:pPr>
              <w:widowControl/>
              <w:spacing w:before="0" w:after="0" w:line="360" w:lineRule="atLeast"/>
              <w:jc w:val="left"/>
              <w:rPr>
                <w:rFonts w:ascii="宋体" w:hAnsi="宋体" w:cs="宋体"/>
                <w:kern w:val="0"/>
                <w:sz w:val="24"/>
              </w:rPr>
            </w:pPr>
            <w:r>
              <w:rPr>
                <w:rFonts w:ascii="宋体" w:hAnsi="宋体" w:cs="宋体"/>
                <w:b/>
                <w:bCs/>
                <w:kern w:val="0"/>
                <w:sz w:val="24"/>
              </w:rPr>
              <w:t>3. 会议差旅费</w:t>
            </w:r>
            <w:r>
              <w:rPr>
                <w:rFonts w:ascii="宋体" w:hAnsi="宋体" w:cs="宋体"/>
                <w:kern w:val="0"/>
                <w:sz w:val="24"/>
              </w:rPr>
              <w:t>(0.8万元)：主要用于课题组成员参加 国内外学术会议交流所产生的会务费、食宿费、交通费等。 </w:t>
            </w:r>
          </w:p>
          <w:p>
            <w:pPr>
              <w:widowControl/>
              <w:spacing w:before="0" w:after="0" w:line="360" w:lineRule="atLeast"/>
              <w:jc w:val="left"/>
              <w:rPr>
                <w:rFonts w:ascii="宋体" w:hAnsi="宋体" w:cs="宋体"/>
                <w:kern w:val="0"/>
                <w:sz w:val="24"/>
              </w:rPr>
            </w:pPr>
            <w:r>
              <w:rPr>
                <w:rFonts w:ascii="宋体" w:hAnsi="宋体" w:cs="宋体"/>
                <w:b/>
                <w:bCs/>
                <w:kern w:val="0"/>
                <w:sz w:val="24"/>
              </w:rPr>
              <w:t>4. 出版物/文献/信息传播费</w:t>
            </w:r>
            <w:r>
              <w:rPr>
                <w:rFonts w:ascii="宋体" w:hAnsi="宋体" w:cs="宋体"/>
                <w:kern w:val="0"/>
                <w:sz w:val="24"/>
              </w:rPr>
              <w:t>(0.7万元)：主要包括发表文章的版面费和检索查新费用。 </w:t>
            </w:r>
          </w:p>
          <w:p>
            <w:pPr>
              <w:widowControl/>
              <w:spacing w:before="0" w:after="0" w:line="360" w:lineRule="atLeast"/>
              <w:jc w:val="left"/>
              <w:rPr>
                <w:rFonts w:ascii="宋体" w:hAnsi="宋体" w:cs="宋体"/>
                <w:kern w:val="0"/>
                <w:sz w:val="24"/>
              </w:rPr>
            </w:pPr>
            <w:r>
              <w:rPr>
                <w:rFonts w:ascii="宋体" w:hAnsi="宋体" w:cs="宋体"/>
                <w:b/>
                <w:bCs/>
                <w:kern w:val="0"/>
                <w:sz w:val="24"/>
              </w:rPr>
              <w:t>5. 劳务费(0.5万元)：</w:t>
            </w:r>
            <w:r>
              <w:rPr>
                <w:rFonts w:ascii="宋体" w:hAnsi="宋体" w:cs="宋体"/>
                <w:kern w:val="0"/>
                <w:sz w:val="24"/>
              </w:rPr>
              <w:t>用于支付参加本课题研究但无工资性收入的研究生的生活补贴。 </w:t>
            </w:r>
          </w:p>
          <w:p>
            <w:pPr>
              <w:widowControl/>
              <w:spacing w:before="0" w:after="0" w:line="360" w:lineRule="atLeast"/>
              <w:jc w:val="left"/>
              <w:rPr>
                <w:rFonts w:ascii="宋体" w:hAnsi="宋体" w:cs="宋体"/>
                <w:kern w:val="0"/>
                <w:sz w:val="24"/>
              </w:rPr>
            </w:pPr>
            <w:r>
              <w:rPr>
                <w:rFonts w:ascii="宋体" w:hAnsi="宋体" w:cs="宋体"/>
                <w:b/>
                <w:bCs/>
                <w:kern w:val="0"/>
                <w:sz w:val="24"/>
              </w:rPr>
              <w:t xml:space="preserve">二 间接经费(1.0 万元) </w:t>
            </w:r>
            <w:r>
              <w:rPr>
                <w:rFonts w:ascii="宋体" w:hAnsi="宋体" w:cs="宋体"/>
                <w:kern w:val="0"/>
                <w:sz w:val="24"/>
              </w:rPr>
              <w:t>主要用于科研管理费用（0.5 万元）和项目绩效支出（0.5万元）。</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宋体" w:hAnsi="宋体" w:cs="宋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河北北方学院</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项目整体实施</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蒋丽娜</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10.00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10.00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1.00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pPr>
              <w:wordWrap w:val="0"/>
              <w:jc w:val="center"/>
              <w:rPr>
                <w:rFonts w:ascii="宋体" w:eastAsia="宋体" w:hAnsi="宋体" w:cs="宋体"/>
                <w:sz w:val="24"/>
              </w:rPr>
            </w:pPr>
            <w:r>
              <w:rPr>
                <w:rFonts w:ascii="宋体" w:eastAsia="宋体" w:hAnsi="宋体" w:cs="宋体"/>
                <w:sz w:val="24"/>
              </w:rPr>
              <w:t>2</w:t>
            </w:r>
          </w:p>
        </w:tc>
        <w:tc>
          <w:tcPr>
            <w:tcW w:w="2347" w:type="dxa"/>
            <w:vAlign w:val="center"/>
          </w:tcPr>
          <w:p>
            <w:pPr>
              <w:wordWrap w:val="0"/>
              <w:jc w:val="left"/>
              <w:rPr>
                <w:rFonts w:ascii="宋体" w:eastAsia="宋体" w:hAnsi="宋体" w:cs="宋体"/>
                <w:sz w:val="24"/>
              </w:rPr>
            </w:pPr>
            <w:r>
              <w:rPr>
                <w:rFonts w:ascii="宋体" w:eastAsia="宋体" w:hAnsi="宋体" w:cs="宋体"/>
                <w:sz w:val="24"/>
              </w:rPr>
              <w:t>河北北方学院附属第一医院</w:t>
            </w:r>
          </w:p>
        </w:tc>
        <w:tc>
          <w:tcPr>
            <w:tcW w:w="1134"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758" w:type="dxa"/>
            <w:vAlign w:val="center"/>
          </w:tcPr>
          <w:p>
            <w:pPr>
              <w:wordWrap w:val="0"/>
              <w:jc w:val="left"/>
              <w:rPr>
                <w:rFonts w:ascii="宋体" w:eastAsia="宋体" w:hAnsi="宋体" w:cs="宋体"/>
                <w:sz w:val="24"/>
              </w:rPr>
            </w:pPr>
            <w:r>
              <w:rPr>
                <w:rFonts w:ascii="宋体" w:eastAsia="宋体" w:hAnsi="宋体" w:cs="宋体"/>
                <w:sz w:val="24"/>
              </w:rPr>
              <w:t>流式细胞术检测技术支持及免疫学细胞实验检测分析</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蒋丽娜</w:t>
            </w:r>
          </w:p>
        </w:tc>
        <w:tc>
          <w:tcPr>
            <w:tcW w:w="993" w:type="dxa"/>
            <w:vAlign w:val="center"/>
          </w:tcPr>
          <w:p>
            <w:pPr>
              <w:wordWrap w:val="0"/>
              <w:jc w:val="center"/>
              <w:rPr>
                <w:rFonts w:ascii="宋体" w:eastAsia="宋体" w:hAnsi="宋体" w:cs="宋体"/>
                <w:sz w:val="24"/>
              </w:rPr>
            </w:pPr>
            <w:r>
              <w:rPr>
                <w:rFonts w:ascii="宋体" w:eastAsia="宋体" w:hAnsi="宋体" w:cs="宋体"/>
                <w:sz w:val="24"/>
              </w:rPr>
              <w:t>0.00</w:t>
            </w:r>
          </w:p>
        </w:tc>
        <w:tc>
          <w:tcPr>
            <w:tcW w:w="992" w:type="dxa"/>
            <w:vAlign w:val="center"/>
          </w:tcPr>
          <w:p>
            <w:pPr>
              <w:wordWrap w:val="0"/>
              <w:jc w:val="center"/>
              <w:rPr>
                <w:rFonts w:ascii="宋体" w:eastAsia="宋体" w:hAnsi="宋体" w:cs="宋体"/>
                <w:sz w:val="24"/>
              </w:rPr>
            </w:pPr>
            <w:r>
              <w:rPr>
                <w:rFonts w:ascii="宋体" w:eastAsia="宋体" w:hAnsi="宋体" w:cs="宋体"/>
                <w:sz w:val="24"/>
              </w:rPr>
              <w:t>0.00</w:t>
            </w:r>
          </w:p>
        </w:tc>
        <w:tc>
          <w:tcPr>
            <w:tcW w:w="1417" w:type="dxa"/>
            <w:vAlign w:val="center"/>
          </w:tcPr>
          <w:p>
            <w:pPr>
              <w:wordWrap w:val="0"/>
              <w:jc w:val="center"/>
              <w:rPr>
                <w:rFonts w:ascii="宋体" w:eastAsia="宋体" w:hAnsi="宋体" w:cs="宋体"/>
                <w:sz w:val="24"/>
              </w:rPr>
            </w:pPr>
            <w:r>
              <w:rPr>
                <w:rFonts w:ascii="宋体" w:eastAsia="宋体" w:hAnsi="宋体" w:cs="宋体"/>
                <w:sz w:val="24"/>
              </w:rPr>
              <w:t>0.00</w:t>
            </w:r>
          </w:p>
        </w:tc>
        <w:tc>
          <w:tcPr>
            <w:tcW w:w="851" w:type="dxa"/>
            <w:vAlign w:val="center"/>
          </w:tcPr>
          <w:p>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本项目系统阐明TRIM13介导的内质网自噬在失血性休克诱导DC免疫功能障碍中的重要作用，明确调控TRIM13介导的内质网自噬以改善失血性休克后DC免疫功能障碍中的重要分子靶点及机制；进一步揭示TIPE2调控TRIM13介导内质网自噬在改善失血性休克后DC免疫功能紊乱中的重要作用，从而探寻改善失血性休克后树突状细胞免疫功能紊乱的有效调控靶点，明确TIPE2调控TRIM13介导的内质网自噬在改善失血性休克诱导树突状细胞免疫功能紊乱中的重要科学意义；丰富与深化失血性休克诱导树突状细胞免疫功能紊乱的新认识。</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从不同角度验证、体内、外实验分析失血性休克及休克肠淋巴液对小鼠DC内质网自噬水平的影响及与DC免疫功能变化的关联。</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体内外实验验证、明确TIPE2调控TRIM13介导的内质网自噬在失血性休克后DC免疫功能中的重要作用。</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体内、体外两个方面阐明TRIM13介导的内质网自噬在失血性休克诱导DC免疫功能障碍中的重要作用及与TIPE2表达的内在联系。</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开展科学普及活动（场）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撰写科技报告、研究报告（篇）</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14:paraId="4511387D">
      <w:pPr>
        <w:keepNext w:val="0"/>
        <w:keepLines w:val="0"/>
        <w:pageBreakBefore w:val="0"/>
        <w:widowControl w:val="0"/>
        <w:kinsoku/>
        <w:wordWrap w:val="0"/>
        <w:overflowPunct/>
        <w:topLinePunct w:val="0"/>
        <w:autoSpaceDE/>
        <w:autoSpaceDN/>
        <w:bidi w:val="0"/>
        <w:adjustRightInd/>
        <w:snapToGrid/>
        <w:spacing w:line="360" w:lineRule="auto"/>
        <w:ind w:firstLine="560" w:firstLineChars="200"/>
        <w:textAlignment w:val="auto"/>
        <w:outlineLvl w:val="0"/>
        <w:rPr>
          <w:rFonts w:ascii="楷体" w:eastAsia="楷体" w:hAnsi="楷体" w:cs="楷体"/>
          <w:b/>
        </w:rPr>
      </w:pPr>
      <w:r>
        <w:rPr>
          <w:rFonts w:ascii="楷体" w:eastAsia="楷体" w:hAnsi="楷体" w:cs="楷体" w:hint="eastAsia"/>
          <w:b/>
          <w:lang w:val="en-US" w:eastAsia="zh-CN"/>
        </w:rPr>
        <w:t>四</w:t>
      </w:r>
      <w:r>
        <w:rPr>
          <w:rFonts w:ascii="楷体" w:eastAsia="楷体" w:hAnsi="楷体" w:cs="楷体" w:hint="eastAsia"/>
          <w:b/>
        </w:rPr>
        <w:t>、</w:t>
      </w:r>
      <w:bookmarkStart w:id="53" w:name="bm_five"/>
      <w:r>
        <w:rPr>
          <w:rFonts w:ascii="楷体" w:eastAsia="楷体" w:hAnsi="楷体" w:cs="楷体" w:hint="eastAsia"/>
          <w:b/>
        </w:rPr>
        <w:t>研究内容、研究目标、拟解决的关键科学问题、创新点及预期成果</w:t>
      </w:r>
    </w:p>
    <w:p w14:paraId="4FA7ECA0">
      <w:pPr>
        <w:keepNext w:val="0"/>
        <w:keepLines w:val="0"/>
        <w:pageBreakBefore w:val="0"/>
        <w:widowControl w:val="0"/>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Times New Roman" w:eastAsia="楷体" w:hAnsi="Times New Roman" w:cs="Times New Roman" w:hint="default"/>
        </w:rPr>
        <w:t>1.</w:t>
      </w:r>
      <w:r>
        <w:rPr>
          <w:rFonts w:ascii="楷体" w:eastAsia="楷体" w:hAnsi="楷体" w:cs="楷体" w:hint="eastAsia"/>
        </w:rPr>
        <w:t>研究内容</w:t>
      </w:r>
    </w:p>
    <w:p w14:paraId="0630DD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本项目</w:t>
      </w:r>
      <w:r>
        <w:rPr>
          <w:rFonts w:hint="eastAsia"/>
          <w:sz w:val="24"/>
          <w:szCs w:val="24"/>
          <w:lang w:val="en-US" w:eastAsia="zh-CN"/>
        </w:rPr>
        <w:t>以DC为研究对象，</w:t>
      </w:r>
      <w:r>
        <w:rPr>
          <w:rFonts w:hint="eastAsia"/>
          <w:sz w:val="24"/>
          <w:szCs w:val="24"/>
        </w:rPr>
        <w:t>聚焦TIPE2，</w:t>
      </w:r>
      <w:r>
        <w:rPr>
          <w:rFonts w:hint="eastAsia"/>
          <w:sz w:val="24"/>
          <w:szCs w:val="24"/>
          <w:lang w:val="en-US" w:eastAsia="zh-CN"/>
        </w:rPr>
        <w:t>应用TIPE2基因敲除小鼠、TIPE2基因敲入小鼠、Trim13树突状细胞特异性条件性敲除小鼠，</w:t>
      </w:r>
      <w:r>
        <w:rPr>
          <w:rFonts w:hint="eastAsia"/>
          <w:sz w:val="24"/>
          <w:szCs w:val="24"/>
        </w:rPr>
        <w:t>探讨</w:t>
      </w:r>
      <w:r>
        <w:rPr>
          <w:rFonts w:hint="eastAsia"/>
          <w:sz w:val="24"/>
          <w:szCs w:val="24"/>
          <w:lang w:val="en-GB" w:eastAsia="zh-CN"/>
        </w:rPr>
        <w:t>TRIM13</w:t>
      </w:r>
      <w:r>
        <w:rPr>
          <w:rFonts w:hint="eastAsia"/>
          <w:sz w:val="24"/>
          <w:szCs w:val="24"/>
        </w:rPr>
        <w:t>介导的内质网自噬在失血性休克后树突状细胞功能中的变化规律及其对免疫功能的影响，从不同角度、多层次验证并分析TIPE2调控</w:t>
      </w:r>
      <w:r>
        <w:rPr>
          <w:rFonts w:hint="eastAsia"/>
          <w:sz w:val="24"/>
          <w:szCs w:val="24"/>
          <w:lang w:val="en-GB" w:eastAsia="zh-CN"/>
        </w:rPr>
        <w:t>TRIM13</w:t>
      </w:r>
      <w:r>
        <w:rPr>
          <w:rFonts w:hint="eastAsia"/>
          <w:sz w:val="24"/>
          <w:szCs w:val="24"/>
        </w:rPr>
        <w:t>介导的</w:t>
      </w:r>
      <w:r>
        <w:rPr>
          <w:rFonts w:hint="eastAsia"/>
          <w:sz w:val="24"/>
          <w:szCs w:val="24"/>
          <w:lang w:val="en-GB"/>
        </w:rPr>
        <w:t>内质网自噬</w:t>
      </w:r>
      <w:r>
        <w:rPr>
          <w:rFonts w:hint="eastAsia"/>
          <w:sz w:val="24"/>
          <w:szCs w:val="24"/>
        </w:rPr>
        <w:t>在失血性休克后树突状细胞免疫功能障碍中</w:t>
      </w:r>
      <w:r>
        <w:rPr>
          <w:rFonts w:hint="eastAsia"/>
          <w:sz w:val="24"/>
          <w:szCs w:val="24"/>
          <w:lang w:val="en-US" w:eastAsia="zh-CN"/>
        </w:rPr>
        <w:t>的</w:t>
      </w:r>
      <w:r>
        <w:rPr>
          <w:rFonts w:hint="eastAsia"/>
          <w:sz w:val="24"/>
          <w:szCs w:val="24"/>
        </w:rPr>
        <w:t>重要作用。</w:t>
      </w:r>
    </w:p>
    <w:p w14:paraId="1BAA23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lang w:val="en-US" w:eastAsia="zh-CN"/>
        </w:rPr>
        <w:t>1.1</w:t>
      </w:r>
      <w:r>
        <w:rPr>
          <w:rFonts w:hint="eastAsia"/>
          <w:b/>
          <w:bCs/>
          <w:sz w:val="24"/>
          <w:szCs w:val="24"/>
        </w:rPr>
        <w:t>内质网自噬在失血性休克诱导DC功能障碍中的作用</w:t>
      </w:r>
    </w:p>
    <w:p w14:paraId="6912DF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在整体和细胞水平上研究失血性休克后DC细胞内质网自噬水平的变化规律，检测分析内质网自噬水平与DC细胞免疫功能变化的联系。体内实验：应用正常小鼠建立失血性体克模型，行肠淋巴液引流术，从整体水平上检测失血性休克后肠淋巴液回流对DC细胞内质网自噬活性的影响。体外实验：分离培养正常小鼠脾脏DC，给予休克肠淋巴液（post hemorrhagic shock mesenteric lymph，PHSML）刺激，同时设立空白对照组(Control组)，检测内质网自噬活性。内质网自噬检测主要包括：免疫印迹检测内质网自噬相关蛋白、激光共聚焦检测内质网与自噬体或溶酶体的共定位、透射电子显微镜检测内质网自噬体的变化。明确失血性休克诱导DC免疫功能障碍与内质网自噬的内在关联，揭示内质网自噬在失血性休克后树突状细胞功能障碍中的重要意义。</w:t>
      </w:r>
    </w:p>
    <w:p w14:paraId="44C39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rPr>
        <w:t>1.</w:t>
      </w:r>
      <w:r>
        <w:rPr>
          <w:rFonts w:hint="eastAsia"/>
          <w:b/>
          <w:bCs/>
          <w:sz w:val="24"/>
          <w:szCs w:val="24"/>
          <w:lang w:val="en-US" w:eastAsia="zh-CN"/>
        </w:rPr>
        <w:t>2</w:t>
      </w:r>
      <w:r>
        <w:rPr>
          <w:rFonts w:hint="eastAsia"/>
          <w:b/>
          <w:bCs/>
          <w:sz w:val="24"/>
          <w:szCs w:val="24"/>
        </w:rPr>
        <w:t xml:space="preserve"> </w:t>
      </w:r>
      <w:r>
        <w:rPr>
          <w:rFonts w:hint="eastAsia"/>
          <w:b/>
          <w:bCs/>
          <w:sz w:val="24"/>
          <w:szCs w:val="24"/>
          <w:lang w:eastAsia="zh-CN"/>
        </w:rPr>
        <w:t>TRIM13</w:t>
      </w:r>
      <w:r>
        <w:rPr>
          <w:rFonts w:hint="eastAsia"/>
          <w:b/>
          <w:bCs/>
          <w:sz w:val="24"/>
          <w:szCs w:val="24"/>
        </w:rPr>
        <w:t>介导的内质网自噬在失血性休克诱导DC免疫功能紊乱中的作用</w:t>
      </w:r>
    </w:p>
    <w:p w14:paraId="7EC777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体内实验：应用树突状细胞特异性Trim13条件性基因敲除小鼠制备失血性休克模型，并与WT小鼠制备失血性休克模型的生存率进行比较。Trim13条件性基因敲除小鼠制备失血性休克模型后分离、纯化脾脏DC，同时设置假手术组（Sham组）作为对照组。观察DC的成熟、抗原提呈及其对CD4+ T细胞免疫功能的影响；观察TIPE2、</w:t>
      </w:r>
      <w:r>
        <w:rPr>
          <w:rFonts w:hint="eastAsia"/>
          <w:sz w:val="24"/>
          <w:szCs w:val="24"/>
          <w:lang w:eastAsia="zh-CN"/>
        </w:rPr>
        <w:t>TRIM13</w:t>
      </w:r>
      <w:r>
        <w:rPr>
          <w:rFonts w:hint="eastAsia"/>
          <w:sz w:val="24"/>
          <w:szCs w:val="24"/>
        </w:rPr>
        <w:t>、内质网自噬相关分子的表达；应用激光共聚焦显微镜和透射电镜观测内质网自噬和内质网自噬小体的形成。</w:t>
      </w:r>
    </w:p>
    <w:p w14:paraId="72A81952">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rPr>
        <w:t>体外实验：分离培养树突状细胞特异性Trim13条件性基因敲除小鼠的脾脏DC，并分别给予PHSML刺激，同时设立空白对照组。观察DC的成熟、抗原提呈及其对CD4+ T细胞免疫功能的影响；观察TIPE2、</w:t>
      </w:r>
      <w:r>
        <w:rPr>
          <w:rFonts w:hint="eastAsia"/>
          <w:sz w:val="24"/>
          <w:szCs w:val="24"/>
          <w:lang w:eastAsia="zh-CN"/>
        </w:rPr>
        <w:t>TRIM13</w:t>
      </w:r>
      <w:r>
        <w:rPr>
          <w:rFonts w:hint="eastAsia"/>
          <w:sz w:val="24"/>
          <w:szCs w:val="24"/>
        </w:rPr>
        <w:t>、内质网自噬相关分子的表达；应用激光共聚焦显微镜和透射电镜观测内质网和内质网自噬小体的形成。通过体内、外实验研究，明确</w:t>
      </w:r>
      <w:r>
        <w:rPr>
          <w:rFonts w:hint="eastAsia"/>
          <w:sz w:val="24"/>
          <w:szCs w:val="24"/>
          <w:lang w:eastAsia="zh-CN"/>
        </w:rPr>
        <w:t>TRIM13</w:t>
      </w:r>
      <w:r>
        <w:rPr>
          <w:rFonts w:hint="eastAsia"/>
          <w:sz w:val="24"/>
          <w:szCs w:val="24"/>
        </w:rPr>
        <w:t>介导的内质网自噬在失血性休克后DC功能变化中的重要作用及与TIPE2表达的关联。</w:t>
      </w:r>
    </w:p>
    <w:p w14:paraId="505075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rPr>
        <w:t>1.</w:t>
      </w:r>
      <w:r>
        <w:rPr>
          <w:rFonts w:hint="eastAsia"/>
          <w:b/>
          <w:bCs/>
          <w:sz w:val="24"/>
          <w:szCs w:val="24"/>
          <w:lang w:val="en-US" w:eastAsia="zh-CN"/>
        </w:rPr>
        <w:t xml:space="preserve">3 </w:t>
      </w:r>
      <w:r>
        <w:rPr>
          <w:rFonts w:hint="eastAsia"/>
          <w:b/>
          <w:bCs/>
          <w:sz w:val="24"/>
          <w:szCs w:val="24"/>
        </w:rPr>
        <w:t>TIPE2调控</w:t>
      </w:r>
      <w:r>
        <w:rPr>
          <w:rFonts w:hint="eastAsia"/>
          <w:b/>
          <w:bCs/>
          <w:sz w:val="24"/>
          <w:szCs w:val="24"/>
          <w:lang w:eastAsia="zh-CN"/>
        </w:rPr>
        <w:t>TRIM13</w:t>
      </w:r>
      <w:r>
        <w:rPr>
          <w:rFonts w:hint="eastAsia"/>
          <w:b/>
          <w:bCs/>
          <w:sz w:val="24"/>
          <w:szCs w:val="24"/>
        </w:rPr>
        <w:t>介导的内质网自噬在失血性休克诱导DC免疫功能紊乱中的机制</w:t>
      </w:r>
    </w:p>
    <w:p w14:paraId="07BF94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体内实验：分别应用WT、TIPE2</w:t>
      </w:r>
      <w:r>
        <w:rPr>
          <w:rFonts w:hint="eastAsia"/>
          <w:sz w:val="24"/>
          <w:szCs w:val="24"/>
          <w:vertAlign w:val="superscript"/>
        </w:rPr>
        <w:t>-/-</w:t>
      </w:r>
      <w:r>
        <w:rPr>
          <w:rFonts w:hint="eastAsia"/>
          <w:sz w:val="24"/>
          <w:szCs w:val="24"/>
        </w:rPr>
        <w:t>或TIPE2</w:t>
      </w:r>
      <w:r>
        <w:rPr>
          <w:rFonts w:hint="eastAsia"/>
          <w:sz w:val="24"/>
          <w:szCs w:val="24"/>
          <w:vertAlign w:val="superscript"/>
        </w:rPr>
        <w:t>+/+</w:t>
      </w:r>
      <w:r>
        <w:rPr>
          <w:rFonts w:hint="eastAsia"/>
          <w:sz w:val="24"/>
          <w:szCs w:val="24"/>
        </w:rPr>
        <w:t>小鼠制备失血性休克模型：WT小鼠随机分为Shock组、Shock+TIPE2干扰慢病毒感染组，TIPE2</w:t>
      </w:r>
      <w:r>
        <w:rPr>
          <w:rFonts w:hint="eastAsia"/>
          <w:sz w:val="24"/>
          <w:szCs w:val="24"/>
          <w:vertAlign w:val="superscript"/>
        </w:rPr>
        <w:t>-/-</w:t>
      </w:r>
      <w:r>
        <w:rPr>
          <w:rFonts w:hint="eastAsia"/>
          <w:sz w:val="24"/>
          <w:szCs w:val="24"/>
        </w:rPr>
        <w:t>小鼠随机分为Shock组、Shock+TIPE2过表达慢病毒感染组，TIPE2</w:t>
      </w:r>
      <w:r>
        <w:rPr>
          <w:rFonts w:hint="eastAsia"/>
          <w:sz w:val="24"/>
          <w:szCs w:val="24"/>
          <w:vertAlign w:val="superscript"/>
        </w:rPr>
        <w:t>+/+</w:t>
      </w:r>
      <w:r>
        <w:rPr>
          <w:rFonts w:hint="eastAsia"/>
          <w:sz w:val="24"/>
          <w:szCs w:val="24"/>
        </w:rPr>
        <w:t>小鼠随机分为Shock组、Shock+TIPE2干扰慢病毒感染组，同时均设立对照组（Sham组）。分选、获取各实验组小鼠的脾脏DC，观察DC的成熟、抗原提呈及其对CD4</w:t>
      </w:r>
      <w:r>
        <w:rPr>
          <w:rFonts w:hint="eastAsia"/>
          <w:sz w:val="24"/>
          <w:szCs w:val="24"/>
          <w:vertAlign w:val="superscript"/>
        </w:rPr>
        <w:t>+</w:t>
      </w:r>
      <w:r>
        <w:rPr>
          <w:rFonts w:hint="eastAsia"/>
          <w:sz w:val="24"/>
          <w:szCs w:val="24"/>
        </w:rPr>
        <w:t xml:space="preserve"> T细胞免疫功能的影响；观察TIPE2、TRIM13、内质网自噬相关分子的表达；应用激光共聚焦显微镜和透射电镜观测内质网和内质网自噬小体的形成。</w:t>
      </w:r>
    </w:p>
    <w:p w14:paraId="7F9A0C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体外实验：</w:t>
      </w:r>
      <w:r>
        <w:rPr>
          <w:rFonts w:hint="eastAsia"/>
          <w:sz w:val="24"/>
          <w:szCs w:val="24"/>
        </w:rPr>
        <w:t>应用WT、TIPE2</w:t>
      </w:r>
      <w:r>
        <w:rPr>
          <w:rFonts w:hint="eastAsia"/>
          <w:sz w:val="24"/>
          <w:szCs w:val="24"/>
          <w:vertAlign w:val="superscript"/>
        </w:rPr>
        <w:t>-/-</w:t>
      </w:r>
      <w:r>
        <w:rPr>
          <w:rFonts w:hint="eastAsia"/>
          <w:sz w:val="24"/>
          <w:szCs w:val="24"/>
        </w:rPr>
        <w:t>或TIPE2</w:t>
      </w:r>
      <w:r>
        <w:rPr>
          <w:rFonts w:hint="eastAsia"/>
          <w:sz w:val="24"/>
          <w:szCs w:val="24"/>
          <w:vertAlign w:val="superscript"/>
        </w:rPr>
        <w:t>+/+</w:t>
      </w:r>
      <w:r>
        <w:rPr>
          <w:rFonts w:hint="eastAsia"/>
          <w:sz w:val="24"/>
          <w:szCs w:val="24"/>
        </w:rPr>
        <w:t>小鼠分离、纯化脾脏DC，WT DC随机分为PHSML刺激组、PHSML刺激+TIPE2干扰慢病毒感染组；TIPE2</w:t>
      </w:r>
      <w:r>
        <w:rPr>
          <w:rFonts w:hint="eastAsia"/>
          <w:sz w:val="24"/>
          <w:szCs w:val="24"/>
          <w:vertAlign w:val="superscript"/>
        </w:rPr>
        <w:t>-/-</w:t>
      </w:r>
      <w:r>
        <w:rPr>
          <w:rFonts w:hint="eastAsia"/>
          <w:sz w:val="24"/>
          <w:szCs w:val="24"/>
        </w:rPr>
        <w:t xml:space="preserve"> DC随机分为PHSML刺激组、PHSML刺激+TIPE2过表达慢病毒感染组，TIPE2</w:t>
      </w:r>
      <w:r>
        <w:rPr>
          <w:rFonts w:hint="eastAsia"/>
          <w:sz w:val="24"/>
          <w:szCs w:val="24"/>
          <w:vertAlign w:val="superscript"/>
        </w:rPr>
        <w:t>+/+</w:t>
      </w:r>
      <w:r>
        <w:rPr>
          <w:rFonts w:hint="eastAsia"/>
          <w:sz w:val="24"/>
          <w:szCs w:val="24"/>
        </w:rPr>
        <w:t xml:space="preserve"> DC随机分为PHSML刺激组、PHSML刺激+TIPE2干扰慢病毒感染组；同时均设置对照组（Control组）。体外观察DC的成熟、抗原提呈及其对CD4</w:t>
      </w:r>
      <w:r>
        <w:rPr>
          <w:rFonts w:hint="eastAsia"/>
          <w:sz w:val="24"/>
          <w:szCs w:val="24"/>
          <w:vertAlign w:val="superscript"/>
        </w:rPr>
        <w:t>+</w:t>
      </w:r>
      <w:r>
        <w:rPr>
          <w:rFonts w:hint="eastAsia"/>
          <w:sz w:val="24"/>
          <w:szCs w:val="24"/>
        </w:rPr>
        <w:t xml:space="preserve"> T细胞免疫功能的影响；观察TIPE2、</w:t>
      </w:r>
      <w:r>
        <w:rPr>
          <w:rFonts w:hint="eastAsia"/>
          <w:sz w:val="24"/>
          <w:szCs w:val="24"/>
          <w:lang w:eastAsia="zh-CN"/>
        </w:rPr>
        <w:t>TRIM13</w:t>
      </w:r>
      <w:r>
        <w:rPr>
          <w:rFonts w:hint="eastAsia"/>
          <w:sz w:val="24"/>
          <w:szCs w:val="24"/>
        </w:rPr>
        <w:t>、内质网自噬反应性；应用激光共聚焦显微镜和透射电镜观测内质网和内质网自噬小体的形成。通过体内外实验研究，分析论证TIPE2的不同表达与TRIM13介导的内质网自噬在失血性休克后DC功能变化中的内在关联。</w:t>
      </w:r>
    </w:p>
    <w:p w14:paraId="17A129EF">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2.研究目标（定量指标和定性指标相结合）</w:t>
      </w:r>
    </w:p>
    <w:p w14:paraId="6A0C192F">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eastAsia="zh-CN"/>
        </w:rPr>
      </w:pPr>
      <w:r>
        <w:rPr>
          <w:rFonts w:hint="eastAsia"/>
          <w:sz w:val="24"/>
          <w:szCs w:val="24"/>
          <w:lang w:val="en-US" w:eastAsia="zh-CN"/>
        </w:rPr>
        <w:t>2.1 阐明</w:t>
      </w:r>
      <w:r>
        <w:rPr>
          <w:rFonts w:hint="eastAsia"/>
          <w:sz w:val="24"/>
          <w:szCs w:val="24"/>
          <w:lang w:eastAsia="zh-CN"/>
        </w:rPr>
        <w:t>TRIM13</w:t>
      </w:r>
      <w:r>
        <w:rPr>
          <w:rFonts w:hint="eastAsia"/>
          <w:sz w:val="24"/>
          <w:szCs w:val="24"/>
        </w:rPr>
        <w:t>介导的内质网</w:t>
      </w:r>
      <w:r>
        <w:rPr>
          <w:rFonts w:hint="eastAsia"/>
          <w:sz w:val="24"/>
          <w:szCs w:val="24"/>
          <w:lang w:val="en-US" w:eastAsia="zh-CN"/>
        </w:rPr>
        <w:t>选择性</w:t>
      </w:r>
      <w:r>
        <w:rPr>
          <w:rFonts w:hint="eastAsia"/>
          <w:sz w:val="24"/>
          <w:szCs w:val="24"/>
        </w:rPr>
        <w:t>自噬在失血性休克后DC免疫功能紊乱</w:t>
      </w:r>
      <w:r>
        <w:rPr>
          <w:rFonts w:hint="eastAsia"/>
          <w:sz w:val="24"/>
          <w:szCs w:val="24"/>
          <w:lang w:val="en-US" w:eastAsia="zh-CN"/>
        </w:rPr>
        <w:t>中</w:t>
      </w:r>
      <w:r>
        <w:rPr>
          <w:rFonts w:hint="eastAsia"/>
          <w:sz w:val="24"/>
          <w:szCs w:val="24"/>
        </w:rPr>
        <w:t>的重要作用</w:t>
      </w:r>
      <w:r>
        <w:rPr>
          <w:rFonts w:hint="eastAsia"/>
          <w:sz w:val="24"/>
          <w:szCs w:val="24"/>
          <w:lang w:val="en-US" w:eastAsia="zh-CN"/>
        </w:rPr>
        <w:t>及其</w:t>
      </w:r>
      <w:r>
        <w:rPr>
          <w:rFonts w:hint="eastAsia"/>
          <w:sz w:val="24"/>
          <w:szCs w:val="24"/>
        </w:rPr>
        <w:t>病理生理意义</w:t>
      </w:r>
      <w:r>
        <w:rPr>
          <w:rFonts w:hint="eastAsia"/>
          <w:sz w:val="24"/>
          <w:szCs w:val="24"/>
          <w:lang w:eastAsia="zh-CN"/>
        </w:rPr>
        <w:t>。</w:t>
      </w:r>
    </w:p>
    <w:p w14:paraId="631D3DAE">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2.2 进一步揭示</w:t>
      </w:r>
      <w:r>
        <w:rPr>
          <w:rFonts w:hint="eastAsia"/>
          <w:sz w:val="24"/>
          <w:szCs w:val="24"/>
        </w:rPr>
        <w:t>TIPE2是调控</w:t>
      </w:r>
      <w:r>
        <w:rPr>
          <w:rFonts w:hint="eastAsia"/>
          <w:sz w:val="24"/>
          <w:szCs w:val="24"/>
          <w:lang w:eastAsia="zh-CN"/>
        </w:rPr>
        <w:t>TRIM13</w:t>
      </w:r>
      <w:r>
        <w:rPr>
          <w:rFonts w:hint="eastAsia"/>
          <w:sz w:val="24"/>
          <w:szCs w:val="24"/>
        </w:rPr>
        <w:t>介导的内质网自噬</w:t>
      </w:r>
      <w:r>
        <w:rPr>
          <w:rFonts w:hint="eastAsia"/>
          <w:sz w:val="24"/>
          <w:szCs w:val="24"/>
          <w:lang w:val="en-US" w:eastAsia="zh-CN"/>
        </w:rPr>
        <w:t>进而导致DC免疫功能障碍的重要信号机制，深化对TIPE2在失血性休克后树突状细胞免疫功能障碍中的理论认识。</w:t>
      </w:r>
    </w:p>
    <w:p w14:paraId="3A506618">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2.3 通过调节选择性自噬而改善</w:t>
      </w:r>
      <w:r>
        <w:rPr>
          <w:rFonts w:hint="eastAsia"/>
          <w:sz w:val="24"/>
          <w:szCs w:val="24"/>
        </w:rPr>
        <w:t>失血性休克后DC免疫功能</w:t>
      </w:r>
      <w:r>
        <w:rPr>
          <w:rFonts w:hint="eastAsia"/>
          <w:sz w:val="24"/>
          <w:szCs w:val="24"/>
          <w:lang w:val="en-US" w:eastAsia="zh-CN"/>
        </w:rPr>
        <w:t>障碍，为临床上重症休克患者免疫功能紊乱的调控提供</w:t>
      </w:r>
      <w:r>
        <w:rPr>
          <w:rFonts w:hint="eastAsia"/>
          <w:sz w:val="24"/>
          <w:szCs w:val="24"/>
        </w:rPr>
        <w:t>新靶点和新思路。</w:t>
      </w:r>
    </w:p>
    <w:p w14:paraId="2F0E47B4">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3.拟解决的科学问题</w:t>
      </w:r>
    </w:p>
    <w:p w14:paraId="31ADD103">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研究发现，非经典内质网自噬受体TRIM13深度参与内质网的功能，与泛素化、维持内质网质量控制的内质网应激和内质网自噬密切相关。本项目以TRIM13介导的内质网自噬为切入点，以TIPE2为干预靶点，旨在阐明TIPE2高表达在失血性休克诱导内质网自噬水平增强进而引起DC免疫功能障碍中发挥着重要作用。因此，针对TIPE2，筛选调控TRIM13介导的内质网自噬而改善失血性休克后DC细胞免疫功能有效的干预靶点，将有助于探寻失血性休克后免疫调控的途径及措施，这是本项目亟待解决的重要科学问题。预实验研究证实，失血性休克后，TRIM13表达上调增强内质网自噬水平参与DC免疫功能障碍，且与TIPE2高表达密切相关，但其在失血性休克后机体免疫紊乱发病机制中的确切作用与调控环节尚有待进一步探讨。因此，围绕内质网自噬设计针对关键分子的干预调节，对探寻内质网自噬调控DC细胞免疫功能的分子机制具有十分重要的科学价值，有助于进一步揭示失血性休克后机体树突状细胞免疫功能障碍的发病本质，并为开展针对性防治策略提供新思路。</w:t>
      </w:r>
    </w:p>
    <w:p w14:paraId="71885938">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4.项目的特色与创新之处</w:t>
      </w:r>
    </w:p>
    <w:p w14:paraId="3F79E9A7">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4.1 DC免疫功能障碍是导致失血性休克后机体免疫功能紊乱的重要原因。以内质网选择性自噬和DC免疫功能作为切入点，应用TIPE2基因敲除小鼠和TIPE2基因敲入小鼠，以TIPE2为干预靶点，解析TIPE2调控内质网自噬改善失血性休克后DC免疫功能的分子机制，立意新颖。内质网自噬是应激情况下发生的保护性反应，旨在维持细胞的能量供应和营养循环。我们建立了树突状细胞特异性Trim13基因条件敲除小鼠，并结合多种技术方法从不同维度验证、分析非经典内质网自噬受体TRIM13介导的内质网自噬</w:t>
      </w:r>
      <w:r>
        <w:rPr>
          <w:rFonts w:hint="default"/>
          <w:sz w:val="24"/>
          <w:szCs w:val="24"/>
          <w:lang w:val="en-US" w:eastAsia="zh-CN"/>
        </w:rPr>
        <w:t>与失血性休克后DC免疫功能紊乱</w:t>
      </w:r>
      <w:r>
        <w:rPr>
          <w:rFonts w:hint="eastAsia"/>
          <w:sz w:val="24"/>
          <w:szCs w:val="24"/>
          <w:lang w:val="en-US" w:eastAsia="zh-CN"/>
        </w:rPr>
        <w:t>的内在关联，并深入研究TIPE2调控TRIM13介导的内质网自噬在改善失血性休克后DC免疫功能中的重要地位及科学内涵。</w:t>
      </w:r>
    </w:p>
    <w:p w14:paraId="0CE6AE2D">
      <w:pPr>
        <w:keepNext w:val="0"/>
        <w:keepLines w:val="0"/>
        <w:pageBreakBefore w:val="0"/>
        <w:kinsoku/>
        <w:overflowPunct/>
        <w:topLinePunct w:val="0"/>
        <w:autoSpaceDE/>
        <w:autoSpaceDN/>
        <w:bidi w:val="0"/>
        <w:adjustRightIn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4.2本项目结合国内外文献和前沿进展的动态解析，以课题组的前期研究成果和已证实的预实验结果作为基础，理论依据充分，创新性强。本研究团队长期从事脓毒症、重症休克的免疫学机制研究，项目申请人在已资助的国自然青年基金项目中已深入开展了休克肠淋巴液诱导CD4</w:t>
      </w:r>
      <w:r>
        <w:rPr>
          <w:rFonts w:hint="eastAsia"/>
          <w:sz w:val="24"/>
          <w:szCs w:val="24"/>
          <w:vertAlign w:val="superscript"/>
          <w:lang w:val="en-US" w:eastAsia="zh-CN"/>
        </w:rPr>
        <w:t>+</w:t>
      </w:r>
      <w:r>
        <w:rPr>
          <w:rFonts w:hint="eastAsia"/>
          <w:sz w:val="24"/>
          <w:szCs w:val="24"/>
          <w:lang w:val="en-US" w:eastAsia="zh-CN"/>
        </w:rPr>
        <w:t>T 细胞免疫功能障碍及其调控机制的研究，明确TLR2/ TLR4增强TIPE2表达参与失血性休克后肠淋巴液诱导的CD4</w:t>
      </w:r>
      <w:r>
        <w:rPr>
          <w:rFonts w:hint="eastAsia"/>
          <w:sz w:val="24"/>
          <w:szCs w:val="24"/>
          <w:vertAlign w:val="superscript"/>
          <w:lang w:val="en-US" w:eastAsia="zh-CN"/>
        </w:rPr>
        <w:t>+</w:t>
      </w:r>
      <w:r>
        <w:rPr>
          <w:rFonts w:hint="eastAsia"/>
          <w:sz w:val="24"/>
          <w:szCs w:val="24"/>
          <w:lang w:val="en-US" w:eastAsia="zh-CN"/>
        </w:rPr>
        <w:t>T细胞活化。本课题拟深入研究TIPE2调控TRIM13介导的内质网自噬在改善失血性休克诱导DC免疫功能障碍进而导致细胞免疫功能紊乱过程中的重要作用及信号调控机制。该研究将从崭新的视角深入认识TIPE2调控TRIM13介导的内质网自噬在改善失血性休克后DC免疫功能紊乱中的重要意义和应用价值。</w:t>
      </w:r>
    </w:p>
    <w:p w14:paraId="6943F3D7">
      <w:pPr>
        <w:keepNext w:val="0"/>
        <w:keepLines w:val="0"/>
        <w:pageBreakBefore w:val="0"/>
        <w:widowControl w:val="0"/>
        <w:kinsoku/>
        <w:overflowPunct/>
        <w:topLinePunct w:val="0"/>
        <w:autoSpaceDE/>
        <w:autoSpaceDN/>
        <w:bidi w:val="0"/>
        <w:adjustRightIn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4.3免疫功能障碍在失血性休克进展为脓毒症休克、多器官功能障碍中的重要地位已成为共识，但其确切机制尚不明确，仍然缺乏切实有效的免疫调理措施应用于临床救治。本项目通过TIPE2调控TRIM13介导的内质网自噬与失血性休克诱导DC免疫功能紊乱间的内在本质联系及其关键调控环节的深入了解，将为失血性休克后的免疫调控途径提供新思路，为TIPE2调控TRIM13介导的内质网自噬改善失血性休克后DC免疫功能之间的相互关系提供新的理论框架。</w:t>
      </w:r>
    </w:p>
    <w:p w14:paraId="2C0E9392">
      <w:pPr>
        <w:keepNext w:val="0"/>
        <w:keepLines w:val="0"/>
        <w:pageBreakBefore w:val="0"/>
        <w:widowControl w:val="0"/>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5.预期成果（项目成果的呈现形式及描述）</w:t>
      </w:r>
    </w:p>
    <w:p w14:paraId="5DE5C08D">
      <w:pPr>
        <w:keepNext w:val="0"/>
        <w:keepLines w:val="0"/>
        <w:pageBreakBefore w:val="0"/>
        <w:widowControl w:val="0"/>
        <w:kinsoku/>
        <w:overflowPunct/>
        <w:topLinePunct w:val="0"/>
        <w:autoSpaceDE/>
        <w:autoSpaceDN/>
        <w:bidi w:val="0"/>
        <w:adjustRightInd/>
        <w:snapToGrid w:val="0"/>
        <w:spacing w:line="360" w:lineRule="auto"/>
        <w:ind w:firstLine="470" w:firstLineChars="196"/>
        <w:textAlignment w:val="auto"/>
        <w:rPr>
          <w:rFonts w:asciiTheme="minorEastAsia" w:eastAsiaTheme="minorEastAsia" w:hAnsiTheme="minorEastAsia"/>
          <w:sz w:val="24"/>
          <w:szCs w:val="24"/>
        </w:rPr>
      </w:pPr>
      <w:r>
        <w:rPr>
          <w:rFonts w:asciiTheme="minorEastAsia" w:eastAsiaTheme="minorEastAsia" w:hAnsiTheme="minorEastAsia" w:hint="eastAsia"/>
          <w:sz w:val="24"/>
          <w:szCs w:val="24"/>
        </w:rPr>
        <w:t>（1）系统阐明</w:t>
      </w:r>
      <w:r>
        <w:rPr>
          <w:rFonts w:eastAsiaTheme="minorEastAsia" w:hint="eastAsia"/>
          <w:sz w:val="24"/>
          <w:szCs w:val="24"/>
          <w:lang w:eastAsia="zh-CN"/>
        </w:rPr>
        <w:t>TRIM13</w:t>
      </w:r>
      <w:r>
        <w:rPr>
          <w:rFonts w:asciiTheme="minorEastAsia" w:eastAsiaTheme="minorEastAsia" w:hAnsiTheme="minorEastAsia" w:hint="eastAsia"/>
          <w:sz w:val="24"/>
          <w:szCs w:val="24"/>
        </w:rPr>
        <w:t>介导的内质网自噬在失血性休克诱导D</w:t>
      </w:r>
      <w:r>
        <w:rPr>
          <w:rFonts w:asciiTheme="minorEastAsia" w:eastAsiaTheme="minorEastAsia" w:hAnsiTheme="minorEastAsia"/>
          <w:sz w:val="24"/>
          <w:szCs w:val="24"/>
        </w:rPr>
        <w:t>C</w:t>
      </w:r>
      <w:r>
        <w:rPr>
          <w:rFonts w:asciiTheme="minorEastAsia" w:eastAsiaTheme="minorEastAsia" w:hAnsiTheme="minorEastAsia" w:hint="eastAsia"/>
          <w:sz w:val="24"/>
          <w:szCs w:val="24"/>
        </w:rPr>
        <w:t>免疫功能障碍中的作用，揭示调控</w:t>
      </w:r>
      <w:r>
        <w:rPr>
          <w:rFonts w:eastAsiaTheme="minorEastAsia" w:hint="eastAsia"/>
          <w:sz w:val="24"/>
          <w:szCs w:val="24"/>
          <w:lang w:eastAsia="zh-CN"/>
        </w:rPr>
        <w:t>TRIM13</w:t>
      </w:r>
      <w:r>
        <w:rPr>
          <w:rFonts w:asciiTheme="minorEastAsia" w:eastAsiaTheme="minorEastAsia" w:hAnsiTheme="minorEastAsia" w:hint="eastAsia"/>
          <w:sz w:val="24"/>
          <w:szCs w:val="24"/>
        </w:rPr>
        <w:t>介导的内质网自噬以改善失血性休克后D</w:t>
      </w:r>
      <w:r>
        <w:rPr>
          <w:rFonts w:asciiTheme="minorEastAsia" w:eastAsiaTheme="minorEastAsia" w:hAnsiTheme="minorEastAsia"/>
          <w:sz w:val="24"/>
          <w:szCs w:val="24"/>
        </w:rPr>
        <w:t>C</w:t>
      </w:r>
      <w:r>
        <w:rPr>
          <w:rFonts w:asciiTheme="minorEastAsia" w:eastAsiaTheme="minorEastAsia" w:hAnsiTheme="minorEastAsia" w:hint="eastAsia"/>
          <w:sz w:val="24"/>
          <w:szCs w:val="24"/>
        </w:rPr>
        <w:t>免疫功能障碍中的重要分子靶点及机制。</w:t>
      </w:r>
    </w:p>
    <w:p w14:paraId="5218C40D">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eastAsiaTheme="minorEastAsia"/>
          <w:sz w:val="24"/>
          <w:szCs w:val="24"/>
        </w:rPr>
      </w:pPr>
      <w:r>
        <w:rPr>
          <w:rFonts w:asciiTheme="minorEastAsia" w:eastAsiaTheme="minorEastAsia" w:hAnsiTheme="minorEastAsia" w:hint="eastAsia"/>
          <w:sz w:val="24"/>
          <w:szCs w:val="24"/>
        </w:rPr>
        <w:t>（2）</w:t>
      </w:r>
      <w:r>
        <w:rPr>
          <w:rFonts w:eastAsiaTheme="minorEastAsia"/>
          <w:sz w:val="24"/>
          <w:szCs w:val="24"/>
        </w:rPr>
        <w:t>揭示TIPE2调控</w:t>
      </w:r>
      <w:r>
        <w:rPr>
          <w:rFonts w:eastAsiaTheme="minorEastAsia" w:hint="eastAsia"/>
          <w:sz w:val="24"/>
          <w:szCs w:val="24"/>
          <w:lang w:eastAsia="zh-CN"/>
        </w:rPr>
        <w:t>TRIM13</w:t>
      </w:r>
      <w:r>
        <w:rPr>
          <w:rFonts w:eastAsiaTheme="minorEastAsia"/>
          <w:sz w:val="24"/>
          <w:szCs w:val="24"/>
        </w:rPr>
        <w:t>介导内质网自噬在改善失血性休克后DC免疫功能紊乱中的重要作用，从而探寻改善失血性休克后树突状细胞免疫功能紊乱的有效调控靶点，</w:t>
      </w:r>
      <w:r>
        <w:rPr>
          <w:sz w:val="24"/>
          <w:szCs w:val="24"/>
        </w:rPr>
        <w:t>明确TIPE2调控</w:t>
      </w:r>
      <w:r>
        <w:rPr>
          <w:rFonts w:hint="eastAsia"/>
          <w:sz w:val="24"/>
          <w:szCs w:val="24"/>
          <w:lang w:eastAsia="zh-CN"/>
        </w:rPr>
        <w:t>TRIM13</w:t>
      </w:r>
      <w:r>
        <w:rPr>
          <w:rFonts w:hint="eastAsia"/>
          <w:sz w:val="24"/>
          <w:szCs w:val="24"/>
        </w:rPr>
        <w:t>介导的</w:t>
      </w:r>
      <w:r>
        <w:rPr>
          <w:sz w:val="24"/>
          <w:szCs w:val="24"/>
        </w:rPr>
        <w:t>内质网自噬在改善失血性休克诱导树突状细胞免疫功能紊乱中的重要科学意义。</w:t>
      </w:r>
    </w:p>
    <w:p w14:paraId="1B2616F8">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asciiTheme="minorEastAsia" w:eastAsiaTheme="minorEastAsia" w:hAnsiTheme="minorEastAsia"/>
          <w:sz w:val="24"/>
          <w:szCs w:val="24"/>
        </w:rPr>
      </w:pPr>
      <w:r>
        <w:rPr>
          <w:rFonts w:asciiTheme="minorEastAsia" w:eastAsiaTheme="minorEastAsia" w:hAnsiTheme="minorEastAsia" w:hint="eastAsia"/>
          <w:sz w:val="24"/>
          <w:szCs w:val="24"/>
        </w:rPr>
        <w:t>（3）丰富与深化失血性休克诱导树突状细胞免疫功能紊乱的新认识。研究结果预期可形成论著</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3</w:t>
      </w:r>
      <w:r>
        <w:rPr>
          <w:rFonts w:asciiTheme="minorEastAsia" w:eastAsiaTheme="minorEastAsia" w:hAnsiTheme="minorEastAsia" w:hint="eastAsia"/>
          <w:sz w:val="24"/>
          <w:szCs w:val="24"/>
        </w:rPr>
        <w:t>篇，其中在国际S</w:t>
      </w:r>
      <w:r>
        <w:rPr>
          <w:rFonts w:asciiTheme="minorEastAsia" w:eastAsiaTheme="minorEastAsia" w:hAnsiTheme="minorEastAsia"/>
          <w:sz w:val="24"/>
          <w:szCs w:val="24"/>
        </w:rPr>
        <w:t>CI</w:t>
      </w:r>
      <w:r>
        <w:rPr>
          <w:rFonts w:asciiTheme="minorEastAsia" w:eastAsiaTheme="minorEastAsia" w:hAnsiTheme="minorEastAsia" w:hint="eastAsia"/>
          <w:sz w:val="24"/>
          <w:szCs w:val="24"/>
        </w:rPr>
        <w:t>收录专业期刊发表论文1-2篇。</w:t>
      </w:r>
    </w:p>
    <w:p w14:paraId="16F9889F">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ascii="楷体" w:eastAsia="楷体" w:hAnsi="楷体" w:cs="楷体"/>
        </w:rPr>
      </w:pPr>
      <w:r>
        <w:rPr>
          <w:rFonts w:asciiTheme="minorEastAsia" w:eastAsiaTheme="minorEastAsia" w:hAnsiTheme="minorEastAsia" w:hint="eastAsia"/>
          <w:sz w:val="24"/>
          <w:szCs w:val="24"/>
        </w:rPr>
        <w:t>（4）本项目的执行、实施将有助于团队建设和高层次人才的培养（预计培养研究生</w:t>
      </w:r>
      <w:r>
        <w:rPr>
          <w:rFonts w:asciiTheme="minorEastAsia" w:eastAsiaTheme="minorEastAsia" w:hAnsiTheme="minorEastAsia" w:hint="eastAsia"/>
          <w:sz w:val="24"/>
          <w:szCs w:val="24"/>
          <w:lang w:val="en-US" w:eastAsia="zh-CN"/>
        </w:rPr>
        <w:t>1</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名），拟参加全国性学术会议和专题研讨会</w:t>
      </w:r>
      <w:r>
        <w:rPr>
          <w:rFonts w:asciiTheme="minorEastAsia" w:eastAsiaTheme="minorEastAsia" w:hAnsiTheme="minorEastAsia" w:hint="eastAsia"/>
          <w:sz w:val="24"/>
          <w:szCs w:val="24"/>
          <w:lang w:val="en-US" w:eastAsia="zh-CN"/>
        </w:rPr>
        <w:t>1</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次；并积极开展学术交流，力争在相关专业的国内外学术会议上作专题报告1-2次。</w:t>
      </w:r>
    </w:p>
    <w:bookmarkEnd w:id="53"/>
    <w:p w14:paraId="0CF3CD09">
      <w:pPr>
        <w:keepNext w:val="0"/>
        <w:keepLines w:val="0"/>
        <w:pageBreakBefore w:val="0"/>
        <w:numPr>
          <w:ilvl w:val="0"/>
          <w:numId w:val="0"/>
        </w:numPr>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US" w:eastAsia="zh-CN"/>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54" w:name="xmbh2"/>
      <w:r>
        <w:rPr>
          <w:rFonts w:ascii="宋体" w:eastAsia="宋体" w:hAnsi="宋体" w:cs="宋体" w:hint="eastAsia"/>
          <w:color w:val="000000"/>
          <w:sz w:val="24"/>
        </w:rPr>
        <w:t>H2025405071</w:t>
      </w:r>
      <w:bookmarkEnd w:id="54"/>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55" w:name="xmbh3"/>
      <w:bookmarkEnd w:id="55"/>
      <w:bookmarkStart w:id="56" w:name="xmbh1"/>
      <w:r>
        <w:rPr>
          <w:rFonts w:ascii="宋体" w:eastAsia="宋体" w:hAnsi="宋体" w:cs="宋体" w:hint="eastAsia"/>
          <w:color w:val="000000"/>
          <w:sz w:val="24"/>
        </w:rPr>
        <w:t>H2025405071</w:t>
      </w:r>
      <w:bookmarkEnd w:id="56"/>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B06040202020202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CIDFont + F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