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139A95DE">
      <w:pPr>
        <w:wordWrap w:val="0"/>
        <w:jc w:val="left"/>
        <w:rPr>
          <w:szCs w:val="28"/>
        </w:rPr>
      </w:pPr>
      <w:bookmarkStart w:id="0" w:name="_GoBack"/>
      <w:bookmarkEnd w:id="0"/>
    </w:p>
    <w:p w14:paraId="2C741F92">
      <w:pPr>
        <w:wordWrap w:val="0"/>
        <w:jc w:val="right"/>
        <w:rPr>
          <w:sz w:val="24"/>
        </w:rPr>
      </w:pPr>
    </w:p>
    <w:p w14:paraId="7DEBE72C">
      <w:pPr>
        <w:wordWrap w:val="0"/>
        <w:jc w:val="right"/>
        <w:rPr>
          <w:sz w:val="24"/>
        </w:rPr>
      </w:pPr>
    </w:p>
    <w:p w14:paraId="5E107998">
      <w:pPr>
        <w:wordWrap w:val="0"/>
        <w:jc w:val="right"/>
        <w:rPr>
          <w:sz w:val="24"/>
        </w:rPr>
      </w:pPr>
    </w:p>
    <w:p w14:paraId="3915AABD">
      <w:pPr>
        <w:wordWrap w:val="0"/>
        <w:jc w:val="center"/>
        <w:rPr>
          <w:b/>
          <w:bCs/>
          <w:sz w:val="48"/>
        </w:rPr>
      </w:pPr>
    </w:p>
    <w:p w14:paraId="0F43EB6E">
      <w:pPr>
        <w:wordWrap w:val="0"/>
        <w:jc w:val="center"/>
        <w:rPr>
          <w:rFonts w:ascii="宋体" w:eastAsia="宋体" w:hAnsi="宋体" w:cs="宋体"/>
          <w:b/>
          <w:bCs/>
          <w:sz w:val="48"/>
        </w:rPr>
      </w:pPr>
      <w:bookmarkStart w:id="1" w:name="title"/>
      <w:r>
        <w:rPr>
          <w:rFonts w:ascii="宋体" w:eastAsia="宋体" w:hAnsi="宋体" w:cs="宋体"/>
          <w:b/>
          <w:bCs/>
          <w:sz w:val="48"/>
        </w:rPr>
        <w:t>河北省自然科学基金申报书</w:t>
      </w:r>
      <w:bookmarkEnd w:id="1"/>
    </w:p>
    <w:p w14:paraId="3BAB9B7A">
      <w:pPr>
        <w:wordWrap w:val="0"/>
        <w:jc w:val="center"/>
      </w:pPr>
    </w:p>
    <w:p w14:paraId="417859DB">
      <w:pPr>
        <w:wordWrap w:val="0"/>
        <w:ind w:left="560" w:leftChars="200"/>
      </w:pPr>
    </w:p>
    <w:tbl>
      <w:tblPr>
        <w:tblStyle w:val="TableNormal"/>
        <w:tblW w:w="9072" w:type="dxa"/>
        <w:jc w:val="center"/>
        <w:tblCellMar>
          <w:top w:w="0" w:type="dxa"/>
          <w:left w:w="108" w:type="dxa"/>
          <w:bottom w:w="0" w:type="dxa"/>
          <w:right w:w="108" w:type="dxa"/>
        </w:tblCellMar>
      </w:tblPr>
      <w:tblGrid>
        <w:gridCol w:w="1724"/>
        <w:gridCol w:w="7348"/>
      </w:tblGrid>
      <w:tr w14:paraId="65050A57">
        <w:tblPrEx>
          <w:tblW w:w="9072" w:type="dxa"/>
          <w:jc w:val="center"/>
          <w:tblCellMar>
            <w:top w:w="0" w:type="dxa"/>
            <w:left w:w="108" w:type="dxa"/>
            <w:bottom w:w="0" w:type="dxa"/>
            <w:right w:w="108" w:type="dxa"/>
          </w:tblCellMar>
        </w:tblPrEx>
        <w:trPr>
          <w:trHeight w:val="680"/>
          <w:jc w:val="center"/>
        </w:trPr>
        <w:tc>
          <w:tcPr>
            <w:tcW w:w="1724" w:type="dxa"/>
            <w:vAlign w:val="center"/>
          </w:tcPr>
          <w:p w14:paraId="411C0BC9">
            <w:pPr>
              <w:wordWrap w:val="0"/>
            </w:pPr>
            <w:r>
              <w:rPr>
                <w:rFonts w:hint="eastAsia"/>
              </w:rPr>
              <w:t>专项名称：</w:t>
            </w:r>
          </w:p>
        </w:tc>
        <w:tc>
          <w:tcPr>
            <w:tcW w:w="7348" w:type="dxa"/>
            <w:vAlign w:val="center"/>
          </w:tcPr>
          <w:p w14:paraId="6BFD0711">
            <w:pPr>
              <w:wordWrap w:val="0"/>
              <w:rPr>
                <w:rFonts w:ascii="宋体" w:eastAsia="宋体" w:hAnsi="宋体" w:cs="宋体"/>
              </w:rPr>
            </w:pPr>
            <w:bookmarkStart w:id="2" w:name="zxmc"/>
            <w:r>
              <w:rPr>
                <w:rFonts w:ascii="宋体" w:eastAsia="宋体" w:hAnsi="宋体" w:cs="宋体"/>
              </w:rPr>
              <w:t>基础研究专项（自然科学基金）</w:t>
            </w:r>
            <w:bookmarkEnd w:id="2"/>
          </w:p>
        </w:tc>
      </w:tr>
      <w:tr w14:paraId="4AE55F1B">
        <w:tblPrEx>
          <w:tblW w:w="9072" w:type="dxa"/>
          <w:jc w:val="center"/>
          <w:tblCellMar>
            <w:top w:w="0" w:type="dxa"/>
            <w:left w:w="108" w:type="dxa"/>
            <w:bottom w:w="0" w:type="dxa"/>
            <w:right w:w="108" w:type="dxa"/>
          </w:tblCellMar>
        </w:tblPrEx>
        <w:trPr>
          <w:trHeight w:val="680"/>
          <w:jc w:val="center"/>
        </w:trPr>
        <w:tc>
          <w:tcPr>
            <w:tcW w:w="1724" w:type="dxa"/>
            <w:vAlign w:val="center"/>
          </w:tcPr>
          <w:p w14:paraId="0D6A8C7E">
            <w:pPr>
              <w:wordWrap w:val="0"/>
            </w:pPr>
            <w:r>
              <w:rPr>
                <w:rFonts w:hint="eastAsia"/>
              </w:rPr>
              <w:t>指南代码：</w:t>
            </w:r>
          </w:p>
        </w:tc>
        <w:tc>
          <w:tcPr>
            <w:tcW w:w="7348" w:type="dxa"/>
            <w:vAlign w:val="center"/>
          </w:tcPr>
          <w:p w14:paraId="4B9C6BEE">
            <w:pPr>
              <w:wordWrap w:val="0"/>
              <w:jc w:val="left"/>
              <w:rPr>
                <w:rFonts w:ascii="宋体" w:eastAsia="宋体" w:hAnsi="宋体" w:cs="宋体"/>
              </w:rPr>
            </w:pPr>
            <w:bookmarkStart w:id="3" w:name="zndm"/>
            <w:r>
              <w:rPr>
                <w:rFonts w:ascii="宋体" w:eastAsia="宋体" w:hAnsi="宋体" w:cs="宋体"/>
              </w:rPr>
              <w:t>1010101-面上项目</w:t>
            </w:r>
            <w:bookmarkEnd w:id="3"/>
          </w:p>
        </w:tc>
      </w:tr>
      <w:tr w14:paraId="3E01C8C0">
        <w:tblPrEx>
          <w:tblW w:w="9072" w:type="dxa"/>
          <w:jc w:val="center"/>
          <w:tblCellMar>
            <w:top w:w="0" w:type="dxa"/>
            <w:left w:w="108" w:type="dxa"/>
            <w:bottom w:w="0" w:type="dxa"/>
            <w:right w:w="108" w:type="dxa"/>
          </w:tblCellMar>
        </w:tblPrEx>
        <w:trPr>
          <w:trHeight w:val="680"/>
          <w:jc w:val="center"/>
        </w:trPr>
        <w:tc>
          <w:tcPr>
            <w:tcW w:w="1724" w:type="dxa"/>
            <w:vAlign w:val="center"/>
          </w:tcPr>
          <w:p w14:paraId="5C7E59E3">
            <w:pPr>
              <w:wordWrap w:val="0"/>
            </w:pPr>
            <w:r>
              <w:rPr>
                <w:rFonts w:hint="eastAsia"/>
              </w:rPr>
              <w:t>项目名称：</w:t>
            </w:r>
          </w:p>
        </w:tc>
        <w:tc>
          <w:tcPr>
            <w:tcW w:w="7348" w:type="dxa"/>
            <w:vAlign w:val="center"/>
          </w:tcPr>
          <w:p w14:paraId="764B3373">
            <w:pPr>
              <w:wordWrap w:val="0"/>
              <w:jc w:val="left"/>
              <w:rPr>
                <w:rFonts w:ascii="宋体" w:eastAsia="宋体" w:hAnsi="宋体" w:cs="宋体"/>
              </w:rPr>
            </w:pPr>
            <w:bookmarkStart w:id="4" w:name="xmmc"/>
            <w:r>
              <w:rPr>
                <w:rFonts w:ascii="宋体" w:eastAsia="宋体" w:hAnsi="宋体" w:cs="宋体"/>
              </w:rPr>
              <w:t>MXene/Zr-MOFs电催化膜选择性电还原同步高质回收重金属机制与优化调控</w:t>
            </w:r>
            <w:bookmarkEnd w:id="4"/>
          </w:p>
        </w:tc>
      </w:tr>
      <w:tr w14:paraId="635F421D">
        <w:tblPrEx>
          <w:tblW w:w="9072" w:type="dxa"/>
          <w:jc w:val="center"/>
          <w:tblCellMar>
            <w:top w:w="0" w:type="dxa"/>
            <w:left w:w="108" w:type="dxa"/>
            <w:bottom w:w="0" w:type="dxa"/>
            <w:right w:w="108" w:type="dxa"/>
          </w:tblCellMar>
        </w:tblPrEx>
        <w:trPr>
          <w:trHeight w:val="680"/>
          <w:jc w:val="center"/>
        </w:trPr>
        <w:tc>
          <w:tcPr>
            <w:tcW w:w="1724" w:type="dxa"/>
            <w:vAlign w:val="center"/>
          </w:tcPr>
          <w:p w14:paraId="657F3EE5">
            <w:pPr>
              <w:wordWrap w:val="0"/>
            </w:pPr>
            <w:r>
              <w:rPr>
                <w:rFonts w:hint="eastAsia"/>
              </w:rPr>
              <w:t>项目类别：</w:t>
            </w:r>
          </w:p>
        </w:tc>
        <w:tc>
          <w:tcPr>
            <w:tcW w:w="7348" w:type="dxa"/>
            <w:vAlign w:val="center"/>
          </w:tcPr>
          <w:p w14:paraId="5D9CCC87">
            <w:pPr>
              <w:wordWrap w:val="0"/>
              <w:jc w:val="left"/>
              <w:rPr>
                <w:rFonts w:ascii="宋体" w:eastAsia="宋体" w:hAnsi="宋体" w:cs="宋体"/>
                <w:szCs w:val="28"/>
              </w:rPr>
            </w:pPr>
            <w:bookmarkStart w:id="5" w:name="xmlb"/>
            <w:r>
              <w:rPr>
                <w:rFonts w:ascii="宋体" w:eastAsia="宋体" w:hAnsi="宋体" w:cs="宋体"/>
                <w:szCs w:val="28"/>
              </w:rPr>
              <w:t>1010101-面上项目</w:t>
            </w:r>
            <w:bookmarkEnd w:id="5"/>
          </w:p>
        </w:tc>
      </w:tr>
      <w:tr w14:paraId="7E0FCEA6">
        <w:tblPrEx>
          <w:tblW w:w="9072" w:type="dxa"/>
          <w:jc w:val="center"/>
          <w:tblCellMar>
            <w:top w:w="0" w:type="dxa"/>
            <w:left w:w="108" w:type="dxa"/>
            <w:bottom w:w="0" w:type="dxa"/>
            <w:right w:w="108" w:type="dxa"/>
          </w:tblCellMar>
        </w:tblPrEx>
        <w:trPr>
          <w:trHeight w:val="680"/>
          <w:jc w:val="center"/>
        </w:trPr>
        <w:tc>
          <w:tcPr>
            <w:tcW w:w="1724" w:type="dxa"/>
            <w:vAlign w:val="center"/>
          </w:tcPr>
          <w:p w14:paraId="58784207">
            <w:pPr>
              <w:wordWrap w:val="0"/>
            </w:pPr>
            <w:r>
              <w:rPr>
                <w:rFonts w:hint="eastAsia"/>
              </w:rPr>
              <w:t>所属学科1：</w:t>
            </w:r>
          </w:p>
        </w:tc>
        <w:tc>
          <w:tcPr>
            <w:tcW w:w="7348" w:type="dxa"/>
            <w:vAlign w:val="center"/>
          </w:tcPr>
          <w:p w14:paraId="1889EB2D">
            <w:pPr>
              <w:wordWrap w:val="0"/>
              <w:jc w:val="left"/>
              <w:rPr>
                <w:rFonts w:ascii="宋体" w:eastAsia="宋体" w:hAnsi="宋体" w:cs="宋体"/>
                <w:szCs w:val="28"/>
              </w:rPr>
            </w:pPr>
            <w:bookmarkStart w:id="6" w:name="fmxk1"/>
            <w:r>
              <w:rPr>
                <w:rFonts w:ascii="宋体" w:eastAsia="宋体" w:hAnsi="宋体" w:cs="宋体"/>
                <w:szCs w:val="28"/>
              </w:rPr>
              <w:t>E080402-污水处理与资源化</w:t>
            </w:r>
            <w:bookmarkEnd w:id="6"/>
          </w:p>
        </w:tc>
      </w:tr>
      <w:tr w14:paraId="49E7F1B6">
        <w:tblPrEx>
          <w:tblW w:w="9072" w:type="dxa"/>
          <w:jc w:val="center"/>
          <w:tblCellMar>
            <w:top w:w="0" w:type="dxa"/>
            <w:left w:w="108" w:type="dxa"/>
            <w:bottom w:w="0" w:type="dxa"/>
            <w:right w:w="108" w:type="dxa"/>
          </w:tblCellMar>
        </w:tblPrEx>
        <w:trPr>
          <w:trHeight w:val="680"/>
          <w:jc w:val="center"/>
        </w:trPr>
        <w:tc>
          <w:tcPr>
            <w:tcW w:w="1724" w:type="dxa"/>
            <w:vAlign w:val="center"/>
          </w:tcPr>
          <w:p w14:paraId="3F77A413">
            <w:pPr>
              <w:wordWrap w:val="0"/>
            </w:pPr>
            <w:r>
              <w:rPr>
                <w:rFonts w:hint="eastAsia"/>
              </w:rPr>
              <w:t>所属学科2：</w:t>
            </w:r>
          </w:p>
        </w:tc>
        <w:tc>
          <w:tcPr>
            <w:tcW w:w="7348" w:type="dxa"/>
            <w:vAlign w:val="center"/>
          </w:tcPr>
          <w:p w14:paraId="6BDE4AC9">
            <w:pPr>
              <w:wordWrap w:val="0"/>
              <w:jc w:val="left"/>
              <w:rPr>
                <w:rFonts w:ascii="宋体" w:eastAsia="宋体" w:hAnsi="宋体" w:cs="宋体"/>
                <w:szCs w:val="28"/>
              </w:rPr>
            </w:pPr>
            <w:bookmarkStart w:id="7" w:name="fmxk2"/>
            <w:r>
              <w:rPr>
                <w:rFonts w:ascii="宋体" w:eastAsia="宋体" w:hAnsi="宋体" w:cs="宋体"/>
                <w:szCs w:val="28"/>
              </w:rPr>
              <w:t>E020801-复合材料的制备</w:t>
            </w:r>
            <w:bookmarkEnd w:id="7"/>
          </w:p>
        </w:tc>
      </w:tr>
      <w:tr w14:paraId="0BEFEFBF">
        <w:tblPrEx>
          <w:tblW w:w="9072" w:type="dxa"/>
          <w:jc w:val="center"/>
          <w:tblCellMar>
            <w:top w:w="0" w:type="dxa"/>
            <w:left w:w="108" w:type="dxa"/>
            <w:bottom w:w="0" w:type="dxa"/>
            <w:right w:w="108" w:type="dxa"/>
          </w:tblCellMar>
        </w:tblPrEx>
        <w:trPr>
          <w:trHeight w:val="680"/>
          <w:jc w:val="center"/>
        </w:trPr>
        <w:tc>
          <w:tcPr>
            <w:tcW w:w="1724" w:type="dxa"/>
            <w:vAlign w:val="center"/>
          </w:tcPr>
          <w:p w14:paraId="6230B426">
            <w:pPr>
              <w:wordWrap w:val="0"/>
            </w:pPr>
            <w:r>
              <w:rPr>
                <w:rFonts w:hint="eastAsia"/>
              </w:rPr>
              <w:t>申 报 人：</w:t>
            </w:r>
          </w:p>
        </w:tc>
        <w:tc>
          <w:tcPr>
            <w:tcW w:w="7348" w:type="dxa"/>
            <w:vAlign w:val="center"/>
          </w:tcPr>
          <w:p w14:paraId="017BF844">
            <w:pPr>
              <w:wordWrap w:val="0"/>
              <w:jc w:val="left"/>
              <w:rPr>
                <w:rFonts w:ascii="宋体" w:eastAsia="宋体" w:hAnsi="宋体" w:cs="宋体"/>
                <w:szCs w:val="28"/>
              </w:rPr>
            </w:pPr>
            <w:bookmarkStart w:id="8" w:name="sqr"/>
            <w:r>
              <w:rPr>
                <w:rFonts w:ascii="宋体" w:eastAsia="宋体" w:hAnsi="宋体" w:cs="宋体"/>
                <w:szCs w:val="28"/>
              </w:rPr>
              <w:t>高菲</w:t>
            </w:r>
            <w:bookmarkEnd w:id="8"/>
          </w:p>
        </w:tc>
      </w:tr>
      <w:tr w14:paraId="6F0852FC">
        <w:tblPrEx>
          <w:tblW w:w="9072" w:type="dxa"/>
          <w:jc w:val="center"/>
          <w:tblCellMar>
            <w:top w:w="0" w:type="dxa"/>
            <w:left w:w="108" w:type="dxa"/>
            <w:bottom w:w="0" w:type="dxa"/>
            <w:right w:w="108" w:type="dxa"/>
          </w:tblCellMar>
        </w:tblPrEx>
        <w:trPr>
          <w:trHeight w:val="680"/>
          <w:jc w:val="center"/>
        </w:trPr>
        <w:tc>
          <w:tcPr>
            <w:tcW w:w="1724" w:type="dxa"/>
            <w:vAlign w:val="center"/>
          </w:tcPr>
          <w:p w14:paraId="0ECD17DB">
            <w:pPr>
              <w:wordWrap w:val="0"/>
            </w:pPr>
            <w:r>
              <w:rPr>
                <w:rFonts w:hint="eastAsia"/>
              </w:rPr>
              <w:t>依托单位：</w:t>
            </w:r>
          </w:p>
        </w:tc>
        <w:tc>
          <w:tcPr>
            <w:tcW w:w="7348" w:type="dxa"/>
            <w:vAlign w:val="center"/>
          </w:tcPr>
          <w:p w14:paraId="6D18E4A4">
            <w:pPr>
              <w:wordWrap w:val="0"/>
              <w:jc w:val="left"/>
              <w:rPr>
                <w:rFonts w:ascii="宋体" w:eastAsia="宋体" w:hAnsi="宋体" w:cs="宋体"/>
                <w:szCs w:val="28"/>
              </w:rPr>
            </w:pPr>
            <w:bookmarkStart w:id="9" w:name="ytdw"/>
            <w:r>
              <w:rPr>
                <w:rFonts w:ascii="宋体" w:eastAsia="宋体" w:hAnsi="宋体" w:cs="宋体"/>
                <w:szCs w:val="28"/>
              </w:rPr>
              <w:t>沧州市科学技术局</w:t>
            </w:r>
            <w:bookmarkEnd w:id="9"/>
          </w:p>
        </w:tc>
      </w:tr>
      <w:tr w14:paraId="6030A70E">
        <w:tblPrEx>
          <w:tblW w:w="9072" w:type="dxa"/>
          <w:jc w:val="center"/>
          <w:tblCellMar>
            <w:top w:w="0" w:type="dxa"/>
            <w:left w:w="108" w:type="dxa"/>
            <w:bottom w:w="0" w:type="dxa"/>
            <w:right w:w="108" w:type="dxa"/>
          </w:tblCellMar>
        </w:tblPrEx>
        <w:trPr>
          <w:trHeight w:val="680"/>
          <w:jc w:val="center"/>
        </w:trPr>
        <w:tc>
          <w:tcPr>
            <w:tcW w:w="1724" w:type="dxa"/>
            <w:vAlign w:val="center"/>
          </w:tcPr>
          <w:p w14:paraId="2D648941">
            <w:pPr>
              <w:wordWrap w:val="0"/>
            </w:pPr>
            <w:r>
              <w:rPr>
                <w:rFonts w:hint="eastAsia"/>
              </w:rPr>
              <w:t>起止年月：</w:t>
            </w:r>
          </w:p>
        </w:tc>
        <w:tc>
          <w:tcPr>
            <w:tcW w:w="7348" w:type="dxa"/>
            <w:vAlign w:val="center"/>
          </w:tcPr>
          <w:p w14:paraId="04F25843">
            <w:pPr>
              <w:wordWrap w:val="0"/>
              <w:jc w:val="left"/>
              <w:rPr>
                <w:rFonts w:ascii="宋体" w:eastAsia="宋体" w:hAnsi="宋体" w:cs="宋体"/>
                <w:szCs w:val="28"/>
              </w:rPr>
            </w:pPr>
            <w:bookmarkStart w:id="10" w:name="qzny"/>
            <w:r>
              <w:rPr>
                <w:rFonts w:ascii="宋体" w:eastAsia="宋体" w:hAnsi="宋体" w:cs="宋体"/>
                <w:szCs w:val="28"/>
              </w:rPr>
              <w:t>2025-01 至 2027-12</w:t>
            </w:r>
            <w:bookmarkEnd w:id="10"/>
          </w:p>
        </w:tc>
      </w:tr>
      <w:tr w14:paraId="62B558BC">
        <w:tblPrEx>
          <w:tblW w:w="9072" w:type="dxa"/>
          <w:jc w:val="center"/>
          <w:tblCellMar>
            <w:top w:w="0" w:type="dxa"/>
            <w:left w:w="108" w:type="dxa"/>
            <w:bottom w:w="0" w:type="dxa"/>
            <w:right w:w="108" w:type="dxa"/>
          </w:tblCellMar>
        </w:tblPrEx>
        <w:trPr>
          <w:trHeight w:val="680"/>
          <w:jc w:val="center"/>
        </w:trPr>
        <w:tc>
          <w:tcPr>
            <w:tcW w:w="1724" w:type="dxa"/>
            <w:vAlign w:val="center"/>
          </w:tcPr>
          <w:p w14:paraId="45859E13">
            <w:pPr>
              <w:wordWrap w:val="0"/>
            </w:pPr>
            <w:r>
              <w:rPr>
                <w:rFonts w:hint="eastAsia"/>
              </w:rPr>
              <w:t>填报日期：</w:t>
            </w:r>
          </w:p>
        </w:tc>
        <w:tc>
          <w:tcPr>
            <w:tcW w:w="7348" w:type="dxa"/>
            <w:vAlign w:val="center"/>
          </w:tcPr>
          <w:p w14:paraId="320E1E83">
            <w:pPr>
              <w:wordWrap w:val="0"/>
              <w:jc w:val="left"/>
              <w:rPr>
                <w:rFonts w:ascii="宋体" w:eastAsia="宋体" w:hAnsi="宋体" w:cs="宋体"/>
                <w:szCs w:val="28"/>
              </w:rPr>
            </w:pPr>
            <w:bookmarkStart w:id="11" w:name="tbtime"/>
            <w:r>
              <w:rPr>
                <w:rFonts w:ascii="宋体" w:eastAsia="宋体" w:hAnsi="宋体" w:cs="宋体"/>
                <w:szCs w:val="28"/>
              </w:rPr>
              <w:t>2025-03-18</w:t>
            </w:r>
            <w:bookmarkEnd w:id="11"/>
          </w:p>
        </w:tc>
      </w:tr>
    </w:tbl>
    <w:p w14:paraId="621A19A2">
      <w:pPr>
        <w:wordWrap w:val="0"/>
        <w:rPr>
          <w:sz w:val="21"/>
        </w:rPr>
      </w:pPr>
    </w:p>
    <w:p w14:paraId="1E5646ED">
      <w:pPr>
        <w:wordWrap w:val="0"/>
        <w:rPr>
          <w:sz w:val="21"/>
        </w:rPr>
      </w:pPr>
    </w:p>
    <w:p w14:paraId="6EEBBB3A">
      <w:pPr>
        <w:wordWrap w:val="0"/>
        <w:rPr>
          <w:sz w:val="21"/>
        </w:rPr>
      </w:pPr>
    </w:p>
    <w:p w14:paraId="647A84B2">
      <w:pPr>
        <w:wordWrap w:val="0"/>
        <w:rPr>
          <w:sz w:val="21"/>
        </w:rPr>
      </w:pPr>
    </w:p>
    <w:p w14:paraId="4B419EC5">
      <w:pPr>
        <w:wordWrap w:val="0"/>
        <w:jc w:val="center"/>
        <w:rPr>
          <w:sz w:val="21"/>
        </w:rPr>
      </w:pPr>
      <w:r>
        <w:rPr>
          <w:rFonts w:hint="eastAsia"/>
          <w:b/>
          <w:sz w:val="36"/>
        </w:rPr>
        <w:t>河北省自然科学基金委制</w:t>
      </w:r>
    </w:p>
    <w:p w14:paraId="2F74B9F1">
      <w:pPr>
        <w:wordWrap w:val="0"/>
        <w:spacing w:line="20" w:lineRule="exact"/>
        <w:rPr>
          <w:b/>
          <w:sz w:val="32"/>
        </w:rPr>
      </w:pPr>
      <w:r>
        <w:rPr>
          <w:b/>
          <w:sz w:val="32"/>
        </w:rPr>
        <w:br w:type="page"/>
      </w:r>
    </w:p>
    <w:tbl>
      <w:tblPr>
        <w:tblStyle w:val="TableNormal"/>
        <w:tblW w:w="9978" w:type="dxa"/>
        <w:jc w:val="center"/>
        <w:tblCellMar>
          <w:top w:w="0" w:type="dxa"/>
          <w:left w:w="108" w:type="dxa"/>
          <w:bottom w:w="0" w:type="dxa"/>
          <w:right w:w="108" w:type="dxa"/>
        </w:tblCellMar>
      </w:tblPr>
      <w:tblGrid>
        <w:gridCol w:w="9978"/>
      </w:tblGrid>
      <w:tr w14:paraId="331EDD4B">
        <w:tblPrEx>
          <w:tblW w:w="9978" w:type="dxa"/>
          <w:jc w:val="center"/>
          <w:tblCellMar>
            <w:top w:w="0" w:type="dxa"/>
            <w:left w:w="108" w:type="dxa"/>
            <w:bottom w:w="0" w:type="dxa"/>
            <w:right w:w="108" w:type="dxa"/>
          </w:tblCellMar>
        </w:tblPrEx>
        <w:trPr>
          <w:trHeight w:val="12544"/>
          <w:jc w:val="center"/>
        </w:trPr>
        <w:tc>
          <w:tcPr>
            <w:tcW w:w="9978" w:type="dxa"/>
          </w:tcPr>
          <w:p w14:paraId="2C0E2C3E">
            <w:pPr>
              <w:wordWrap w:val="0"/>
              <w:jc w:val="center"/>
              <w:rPr>
                <w:b/>
              </w:rPr>
            </w:pPr>
            <w:r>
              <w:rPr>
                <w:rFonts w:hint="eastAsia"/>
                <w:b/>
              </w:rPr>
              <w:t>填 报 说 明</w:t>
            </w:r>
          </w:p>
          <w:p w14:paraId="31514F3E">
            <w:pPr>
              <w:wordWrap w:val="0"/>
              <w:spacing w:line="440" w:lineRule="exact"/>
              <w:ind w:firstLine="480" w:firstLineChars="200"/>
              <w:jc w:val="left"/>
              <w:rPr>
                <w:rFonts w:cs="仿宋_GB2312"/>
                <w:sz w:val="24"/>
              </w:rPr>
            </w:pPr>
            <w:r>
              <w:rPr>
                <w:rFonts w:cs="仿宋_GB2312"/>
                <w:sz w:val="24"/>
              </w:rPr>
              <w:t>1.</w:t>
            </w:r>
            <w:r>
              <w:rPr>
                <w:rFonts w:cs="仿宋_GB2312" w:hint="eastAsia"/>
                <w:sz w:val="24"/>
              </w:rPr>
              <w:t>申报书的内容将作为项目评审以及签订计划书的重要依据，申报书的各项填报内容请实事求是、准确完整、层次清晰。</w:t>
            </w:r>
          </w:p>
          <w:p w14:paraId="1759C921">
            <w:pPr>
              <w:wordWrap w:val="0"/>
              <w:spacing w:line="440" w:lineRule="exact"/>
              <w:ind w:firstLine="480" w:firstLineChars="200"/>
              <w:jc w:val="left"/>
              <w:rPr>
                <w:rFonts w:cs="仿宋_GB2312"/>
                <w:sz w:val="24"/>
              </w:rPr>
            </w:pPr>
            <w:r>
              <w:rPr>
                <w:rFonts w:cs="仿宋_GB2312"/>
                <w:sz w:val="24"/>
              </w:rPr>
              <w:t>2.</w:t>
            </w:r>
            <w:r>
              <w:rPr>
                <w:rFonts w:cs="仿宋_GB2312" w:hint="eastAsia"/>
                <w:sz w:val="24"/>
              </w:rPr>
              <w:t>请申报单位认真阅读指南，所申报的项目研究内容须对应指南代码、符合指南的要求。</w:t>
            </w:r>
          </w:p>
          <w:p w14:paraId="6A85B507">
            <w:pPr>
              <w:wordWrap w:val="0"/>
              <w:spacing w:line="440" w:lineRule="exact"/>
              <w:ind w:firstLine="480" w:firstLineChars="200"/>
              <w:jc w:val="left"/>
              <w:rPr>
                <w:rFonts w:cs="仿宋_GB2312"/>
                <w:sz w:val="24"/>
              </w:rPr>
            </w:pPr>
            <w:r>
              <w:rPr>
                <w:rFonts w:cs="仿宋_GB2312"/>
                <w:sz w:val="24"/>
              </w:rPr>
              <w:t>3.</w:t>
            </w:r>
            <w:r>
              <w:rPr>
                <w:rFonts w:cs="仿宋_GB2312" w:hint="eastAsia"/>
                <w:sz w:val="24"/>
              </w:rPr>
              <w:t>申报单位可根据申报指南、申报项目的研究内容自行确定所申报项目的项目名称。项目名称应清晰、准确反映研究内容，项目名称不宜宽泛。</w:t>
            </w:r>
          </w:p>
          <w:p w14:paraId="267EB6AB">
            <w:pPr>
              <w:wordWrap w:val="0"/>
              <w:spacing w:line="440" w:lineRule="exact"/>
              <w:ind w:firstLine="480" w:firstLineChars="200"/>
              <w:jc w:val="left"/>
              <w:rPr>
                <w:rFonts w:cs="仿宋_GB2312"/>
                <w:sz w:val="24"/>
              </w:rPr>
            </w:pPr>
            <w:r>
              <w:rPr>
                <w:rFonts w:cs="仿宋_GB2312"/>
                <w:sz w:val="24"/>
              </w:rPr>
              <w:t>4.</w:t>
            </w:r>
            <w:r>
              <w:rPr>
                <w:rFonts w:cs="仿宋_GB2312" w:hint="eastAsia"/>
                <w:sz w:val="24"/>
              </w:rPr>
              <w:t>通过河北省科技计划项目综合服务平台按照系统提示在线填写申报书。凡不填写的内容，请用“无”表示。</w:t>
            </w:r>
          </w:p>
          <w:p w14:paraId="663291E4">
            <w:pPr>
              <w:wordWrap w:val="0"/>
              <w:spacing w:line="440" w:lineRule="exact"/>
              <w:ind w:firstLine="480" w:firstLineChars="200"/>
              <w:jc w:val="left"/>
              <w:rPr>
                <w:rFonts w:cs="仿宋_GB2312"/>
                <w:sz w:val="24"/>
              </w:rPr>
            </w:pPr>
            <w:r>
              <w:rPr>
                <w:rFonts w:cs="仿宋_GB2312"/>
                <w:sz w:val="24"/>
              </w:rPr>
              <w:t>5.</w:t>
            </w:r>
            <w:r>
              <w:rPr>
                <w:rFonts w:cs="仿宋_GB2312" w:hint="eastAsia"/>
                <w:sz w:val="24"/>
              </w:rPr>
              <w:t>申报书中的单位名称，请填写全称，并与单位公章一致。</w:t>
            </w:r>
          </w:p>
          <w:p w14:paraId="3D13B484">
            <w:pPr>
              <w:wordWrap w:val="0"/>
              <w:spacing w:line="440" w:lineRule="exact"/>
              <w:ind w:firstLine="480" w:firstLineChars="200"/>
              <w:jc w:val="left"/>
              <w:rPr>
                <w:rFonts w:cs="仿宋_GB2312"/>
                <w:sz w:val="24"/>
              </w:rPr>
            </w:pPr>
            <w:r>
              <w:rPr>
                <w:rFonts w:cs="仿宋_GB2312"/>
                <w:sz w:val="24"/>
              </w:rPr>
              <w:t>6.</w:t>
            </w:r>
            <w:r>
              <w:rPr>
                <w:rFonts w:cs="仿宋_GB2312" w:hint="eastAsia"/>
                <w:sz w:val="24"/>
              </w:rPr>
              <w:t>“项目基本信息”表格中，“技术领域”应填写项目负责人的主要研究领域；“企业拥有专利数量”应填写申报单位拥有专利数量。</w:t>
            </w:r>
          </w:p>
          <w:p w14:paraId="3800F9E1">
            <w:pPr>
              <w:wordWrap w:val="0"/>
              <w:spacing w:line="440" w:lineRule="exact"/>
              <w:ind w:firstLine="480" w:firstLineChars="200"/>
              <w:jc w:val="left"/>
              <w:rPr>
                <w:rFonts w:cs="仿宋_GB2312"/>
                <w:sz w:val="24"/>
              </w:rPr>
            </w:pPr>
            <w:r>
              <w:rPr>
                <w:rFonts w:cs="仿宋_GB2312"/>
                <w:sz w:val="24"/>
              </w:rPr>
              <w:t>7.</w:t>
            </w:r>
            <w:r>
              <w:rPr>
                <w:rFonts w:cs="仿宋_GB2312" w:hint="eastAsia"/>
                <w:sz w:val="24"/>
              </w:rPr>
              <w:t>“项目组主要成员”表格中，人员数量不能超过</w:t>
            </w:r>
            <w:r>
              <w:rPr>
                <w:rFonts w:cs="仿宋_GB2312"/>
                <w:sz w:val="24"/>
              </w:rPr>
              <w:t>10</w:t>
            </w:r>
            <w:r>
              <w:rPr>
                <w:rFonts w:cs="仿宋_GB2312" w:hint="eastAsia"/>
                <w:sz w:val="24"/>
              </w:rPr>
              <w:t>人（含项目负责人）。其中，申报青年科学基金项目（</w:t>
            </w:r>
            <w:r>
              <w:rPr>
                <w:rFonts w:cs="仿宋_GB2312"/>
                <w:sz w:val="24"/>
              </w:rPr>
              <w:t>A</w:t>
            </w:r>
            <w:r>
              <w:rPr>
                <w:rFonts w:cs="仿宋_GB2312" w:hint="eastAsia"/>
                <w:sz w:val="24"/>
              </w:rPr>
              <w:t>类）、青年科学基金项目（</w:t>
            </w:r>
            <w:r>
              <w:rPr>
                <w:rFonts w:cs="仿宋_GB2312"/>
                <w:sz w:val="24"/>
              </w:rPr>
              <w:t>B</w:t>
            </w:r>
            <w:r>
              <w:rPr>
                <w:rFonts w:cs="仿宋_GB2312" w:hint="eastAsia"/>
                <w:sz w:val="24"/>
              </w:rPr>
              <w:t>类）、青年科学基金项目（</w:t>
            </w:r>
            <w:r>
              <w:rPr>
                <w:rFonts w:cs="仿宋_GB2312"/>
                <w:sz w:val="24"/>
              </w:rPr>
              <w:t>C</w:t>
            </w:r>
            <w:r>
              <w:rPr>
                <w:rFonts w:cs="仿宋_GB2312" w:hint="eastAsia"/>
                <w:sz w:val="24"/>
              </w:rPr>
              <w:t>类）、青年科学基金项目（</w:t>
            </w:r>
            <w:r>
              <w:rPr>
                <w:rFonts w:cs="仿宋_GB2312"/>
                <w:sz w:val="24"/>
              </w:rPr>
              <w:t>D</w:t>
            </w:r>
            <w:r>
              <w:rPr>
                <w:rFonts w:cs="仿宋_GB2312" w:hint="eastAsia"/>
                <w:sz w:val="24"/>
              </w:rPr>
              <w:t>类）和春晖人才项目仅填写项目负责人信息。</w:t>
            </w:r>
          </w:p>
          <w:p w14:paraId="187F02FC">
            <w:pPr>
              <w:wordWrap w:val="0"/>
              <w:spacing w:line="440" w:lineRule="exact"/>
              <w:ind w:firstLine="480" w:firstLineChars="200"/>
              <w:jc w:val="left"/>
              <w:rPr>
                <w:rFonts w:cs="仿宋_GB2312"/>
                <w:sz w:val="24"/>
              </w:rPr>
            </w:pPr>
            <w:r>
              <w:rPr>
                <w:rFonts w:cs="仿宋_GB2312"/>
                <w:sz w:val="24"/>
              </w:rPr>
              <w:t>8.</w:t>
            </w:r>
            <w:r>
              <w:rPr>
                <w:rFonts w:cs="仿宋_GB2312" w:hint="eastAsia"/>
                <w:sz w:val="24"/>
              </w:rPr>
              <w:t>申报书正文部分总字数建议不超过</w:t>
            </w:r>
            <w:r>
              <w:rPr>
                <w:rFonts w:cs="仿宋_GB2312"/>
                <w:sz w:val="24"/>
              </w:rPr>
              <w:t>10000</w:t>
            </w:r>
            <w:r>
              <w:rPr>
                <w:rFonts w:cs="仿宋_GB2312" w:hint="eastAsia"/>
                <w:sz w:val="24"/>
              </w:rPr>
              <w:t>字。</w:t>
            </w:r>
          </w:p>
          <w:p w14:paraId="5BA233A5">
            <w:pPr>
              <w:wordWrap w:val="0"/>
              <w:spacing w:line="440" w:lineRule="exact"/>
              <w:ind w:firstLine="480" w:firstLineChars="200"/>
              <w:jc w:val="left"/>
              <w:rPr>
                <w:rFonts w:cs="仿宋_GB2312"/>
                <w:sz w:val="24"/>
              </w:rPr>
            </w:pPr>
            <w:r>
              <w:rPr>
                <w:rFonts w:cs="仿宋_GB2312"/>
                <w:sz w:val="24"/>
              </w:rPr>
              <w:t>9.</w:t>
            </w:r>
            <w:r>
              <w:rPr>
                <w:rFonts w:cs="仿宋_GB2312" w:hint="eastAsia"/>
                <w:sz w:val="24"/>
              </w:rPr>
              <w:t>申报创新研究群体项目，项目名称栏填写“研究方向”，而不是具体的研究课题名称；申报书摘要部分填写申报人和参与者的“主要学术成绩”。 </w:t>
            </w:r>
          </w:p>
          <w:p w14:paraId="78A42052">
            <w:pPr>
              <w:wordWrap w:val="0"/>
              <w:spacing w:line="440" w:lineRule="exact"/>
              <w:ind w:firstLine="480" w:firstLineChars="200"/>
              <w:rPr>
                <w:rFonts w:cs="仿宋_GB2312"/>
                <w:sz w:val="24"/>
              </w:rPr>
            </w:pPr>
            <w:r>
              <w:rPr>
                <w:rFonts w:cs="仿宋_GB2312" w:hint="eastAsia"/>
                <w:sz w:val="24"/>
              </w:rPr>
              <w:t>填写完成后，请申报单位对所申报信息的真实、完整、有效进行审核，并对申报材料的真实性、完整性负责。</w:t>
            </w:r>
          </w:p>
          <w:p w14:paraId="722290EE">
            <w:pPr>
              <w:wordWrap w:val="0"/>
              <w:spacing w:line="360" w:lineRule="auto"/>
              <w:ind w:firstLine="640" w:firstLineChars="200"/>
              <w:rPr>
                <w:b/>
                <w:sz w:val="32"/>
              </w:rPr>
            </w:pPr>
          </w:p>
        </w:tc>
      </w:tr>
    </w:tbl>
    <w:p w14:paraId="421C5033">
      <w:pPr>
        <w:wordWrap w:val="0"/>
        <w:spacing w:line="20" w:lineRule="exact"/>
        <w:rPr>
          <w:b/>
          <w:sz w:val="32"/>
        </w:rPr>
      </w:pPr>
      <w:r>
        <w:rPr>
          <w:b/>
          <w:sz w:val="32"/>
        </w:rPr>
        <w:br w:type="page"/>
      </w:r>
    </w:p>
    <w:tbl>
      <w:tblPr>
        <w:tblStyle w:val="TableNormal"/>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02"/>
        <w:gridCol w:w="1277"/>
        <w:gridCol w:w="597"/>
        <w:gridCol w:w="537"/>
        <w:gridCol w:w="828"/>
        <w:gridCol w:w="1440"/>
        <w:gridCol w:w="13"/>
        <w:gridCol w:w="860"/>
        <w:gridCol w:w="574"/>
        <w:gridCol w:w="843"/>
        <w:gridCol w:w="1025"/>
        <w:gridCol w:w="489"/>
        <w:gridCol w:w="1650"/>
      </w:tblGrid>
      <w:tr w14:paraId="7D268B53">
        <w:tblPrEx>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09"/>
          <w:jc w:val="center"/>
        </w:trPr>
        <w:tc>
          <w:tcPr>
            <w:tcW w:w="10635" w:type="dxa"/>
            <w:gridSpan w:val="13"/>
            <w:vAlign w:val="center"/>
          </w:tcPr>
          <w:p w14:paraId="533D9915">
            <w:pPr>
              <w:wordWrap w:val="0"/>
              <w:jc w:val="center"/>
              <w:rPr>
                <w:sz w:val="24"/>
              </w:rPr>
            </w:pPr>
            <w:r>
              <w:rPr>
                <w:rFonts w:hint="eastAsia"/>
                <w:b/>
                <w:szCs w:val="28"/>
              </w:rPr>
              <w:t>项目基本信息</w:t>
            </w:r>
          </w:p>
        </w:tc>
      </w:tr>
      <w:tr w14:paraId="6FEFA583">
        <w:tblPrEx>
          <w:tblW w:w="10635" w:type="dxa"/>
          <w:jc w:val="center"/>
          <w:tblLayout w:type="fixed"/>
          <w:tblCellMar>
            <w:top w:w="0" w:type="dxa"/>
            <w:left w:w="108" w:type="dxa"/>
            <w:bottom w:w="0" w:type="dxa"/>
            <w:right w:w="108" w:type="dxa"/>
          </w:tblCellMar>
        </w:tblPrEx>
        <w:trPr>
          <w:cantSplit/>
          <w:trHeight w:val="509"/>
          <w:jc w:val="center"/>
        </w:trPr>
        <w:tc>
          <w:tcPr>
            <w:tcW w:w="1779" w:type="dxa"/>
            <w:gridSpan w:val="2"/>
            <w:vAlign w:val="center"/>
          </w:tcPr>
          <w:p w14:paraId="4ABBE10B">
            <w:pPr>
              <w:wordWrap w:val="0"/>
              <w:jc w:val="center"/>
              <w:rPr>
                <w:sz w:val="24"/>
              </w:rPr>
            </w:pPr>
            <w:r>
              <w:rPr>
                <w:rFonts w:hint="eastAsia"/>
                <w:sz w:val="24"/>
              </w:rPr>
              <w:t>项目名称</w:t>
            </w:r>
          </w:p>
        </w:tc>
        <w:tc>
          <w:tcPr>
            <w:tcW w:w="4275" w:type="dxa"/>
            <w:gridSpan w:val="6"/>
            <w:vAlign w:val="center"/>
          </w:tcPr>
          <w:p w14:paraId="24B5406F">
            <w:pPr>
              <w:wordWrap w:val="0"/>
              <w:rPr>
                <w:rFonts w:ascii="宋体" w:eastAsia="宋体" w:hAnsi="宋体" w:cs="宋体"/>
                <w:sz w:val="24"/>
              </w:rPr>
            </w:pPr>
            <w:bookmarkStart w:id="12" w:name="xmmc1"/>
            <w:r>
              <w:rPr>
                <w:rFonts w:ascii="宋体" w:eastAsia="宋体" w:hAnsi="宋体" w:cs="宋体"/>
                <w:sz w:val="24"/>
              </w:rPr>
              <w:t>MXene/Zr-MOFs电催化膜选择性电还原同步高质回收重金属机制与优化调控</w:t>
            </w:r>
            <w:bookmarkEnd w:id="12"/>
          </w:p>
        </w:tc>
        <w:tc>
          <w:tcPr>
            <w:tcW w:w="1417" w:type="dxa"/>
            <w:gridSpan w:val="2"/>
            <w:vAlign w:val="center"/>
          </w:tcPr>
          <w:p w14:paraId="5875A935">
            <w:pPr>
              <w:wordWrap w:val="0"/>
              <w:jc w:val="center"/>
              <w:rPr>
                <w:sz w:val="24"/>
              </w:rPr>
            </w:pPr>
            <w:r>
              <w:rPr>
                <w:rFonts w:hint="eastAsia"/>
                <w:sz w:val="24"/>
              </w:rPr>
              <w:t>所属专项</w:t>
            </w:r>
          </w:p>
        </w:tc>
        <w:tc>
          <w:tcPr>
            <w:tcW w:w="3164" w:type="dxa"/>
            <w:gridSpan w:val="3"/>
            <w:vAlign w:val="center"/>
          </w:tcPr>
          <w:p w14:paraId="34E929A6">
            <w:pPr>
              <w:wordWrap w:val="0"/>
              <w:jc w:val="left"/>
              <w:rPr>
                <w:rFonts w:ascii="宋体" w:eastAsia="宋体" w:hAnsi="宋体" w:cs="宋体"/>
                <w:sz w:val="24"/>
              </w:rPr>
            </w:pPr>
            <w:bookmarkStart w:id="13" w:name="zxmc1"/>
            <w:r>
              <w:rPr>
                <w:rFonts w:ascii="宋体" w:eastAsia="宋体" w:hAnsi="宋体" w:cs="宋体"/>
                <w:sz w:val="24"/>
              </w:rPr>
              <w:t>基础研究专项（自然科学基金）</w:t>
            </w:r>
            <w:bookmarkEnd w:id="13"/>
          </w:p>
        </w:tc>
      </w:tr>
      <w:tr w14:paraId="5A45475B">
        <w:tblPrEx>
          <w:tblW w:w="10635" w:type="dxa"/>
          <w:jc w:val="center"/>
          <w:tblLayout w:type="fixed"/>
          <w:tblCellMar>
            <w:top w:w="0" w:type="dxa"/>
            <w:left w:w="108" w:type="dxa"/>
            <w:bottom w:w="0" w:type="dxa"/>
            <w:right w:w="108" w:type="dxa"/>
          </w:tblCellMar>
        </w:tblPrEx>
        <w:trPr>
          <w:cantSplit/>
          <w:trHeight w:val="403"/>
          <w:jc w:val="center"/>
        </w:trPr>
        <w:tc>
          <w:tcPr>
            <w:tcW w:w="1779" w:type="dxa"/>
            <w:gridSpan w:val="2"/>
            <w:vAlign w:val="center"/>
          </w:tcPr>
          <w:p w14:paraId="57AD751F">
            <w:pPr>
              <w:wordWrap w:val="0"/>
              <w:jc w:val="center"/>
              <w:rPr>
                <w:sz w:val="24"/>
              </w:rPr>
            </w:pPr>
            <w:r>
              <w:rPr>
                <w:rFonts w:hint="eastAsia"/>
                <w:sz w:val="24"/>
              </w:rPr>
              <w:t>指南代码</w:t>
            </w:r>
          </w:p>
        </w:tc>
        <w:tc>
          <w:tcPr>
            <w:tcW w:w="4275" w:type="dxa"/>
            <w:gridSpan w:val="6"/>
            <w:vAlign w:val="center"/>
          </w:tcPr>
          <w:p w14:paraId="3472FAB5">
            <w:pPr>
              <w:wordWrap w:val="0"/>
              <w:rPr>
                <w:rFonts w:ascii="宋体" w:eastAsia="宋体" w:hAnsi="宋体" w:cs="宋体"/>
                <w:sz w:val="24"/>
              </w:rPr>
            </w:pPr>
            <w:bookmarkStart w:id="14" w:name="zndm1"/>
            <w:r>
              <w:rPr>
                <w:rFonts w:ascii="宋体" w:eastAsia="宋体" w:hAnsi="宋体" w:cs="宋体"/>
                <w:sz w:val="24"/>
              </w:rPr>
              <w:t>1010101-面上项目</w:t>
            </w:r>
            <w:bookmarkEnd w:id="14"/>
          </w:p>
        </w:tc>
        <w:tc>
          <w:tcPr>
            <w:tcW w:w="1417" w:type="dxa"/>
            <w:gridSpan w:val="2"/>
            <w:vAlign w:val="center"/>
          </w:tcPr>
          <w:p w14:paraId="3A08C06E">
            <w:pPr>
              <w:wordWrap w:val="0"/>
              <w:jc w:val="center"/>
              <w:rPr>
                <w:sz w:val="24"/>
              </w:rPr>
            </w:pPr>
            <w:r>
              <w:rPr>
                <w:rFonts w:hint="eastAsia"/>
                <w:sz w:val="24"/>
              </w:rPr>
              <w:t>科技活动</w:t>
            </w:r>
          </w:p>
          <w:p w14:paraId="7CCB0B28">
            <w:pPr>
              <w:wordWrap w:val="0"/>
              <w:jc w:val="center"/>
              <w:rPr>
                <w:sz w:val="24"/>
              </w:rPr>
            </w:pPr>
            <w:r>
              <w:rPr>
                <w:rFonts w:hint="eastAsia"/>
                <w:sz w:val="24"/>
              </w:rPr>
              <w:t>类型</w:t>
            </w:r>
          </w:p>
        </w:tc>
        <w:tc>
          <w:tcPr>
            <w:tcW w:w="3164" w:type="dxa"/>
            <w:gridSpan w:val="3"/>
            <w:vAlign w:val="center"/>
          </w:tcPr>
          <w:p w14:paraId="1477FD83">
            <w:pPr>
              <w:wordWrap w:val="0"/>
              <w:jc w:val="left"/>
              <w:rPr>
                <w:rFonts w:ascii="宋体" w:eastAsia="宋体" w:hAnsi="宋体" w:cs="宋体"/>
                <w:sz w:val="24"/>
              </w:rPr>
            </w:pPr>
            <w:bookmarkStart w:id="15" w:name="kjhdlx"/>
            <w:r>
              <w:rPr>
                <w:rFonts w:ascii="宋体" w:eastAsia="宋体" w:hAnsi="宋体" w:cs="宋体"/>
                <w:sz w:val="24"/>
              </w:rPr>
              <w:t>基础研究</w:t>
            </w:r>
            <w:bookmarkEnd w:id="15"/>
          </w:p>
        </w:tc>
      </w:tr>
      <w:tr w14:paraId="5B214F24">
        <w:tblPrEx>
          <w:tblW w:w="10635" w:type="dxa"/>
          <w:jc w:val="center"/>
          <w:tblLayout w:type="fixed"/>
          <w:tblCellMar>
            <w:top w:w="0" w:type="dxa"/>
            <w:left w:w="108" w:type="dxa"/>
            <w:bottom w:w="0" w:type="dxa"/>
            <w:right w:w="108" w:type="dxa"/>
          </w:tblCellMar>
        </w:tblPrEx>
        <w:trPr>
          <w:cantSplit/>
          <w:trHeight w:val="548"/>
          <w:jc w:val="center"/>
        </w:trPr>
        <w:tc>
          <w:tcPr>
            <w:tcW w:w="1779" w:type="dxa"/>
            <w:gridSpan w:val="2"/>
            <w:vAlign w:val="center"/>
          </w:tcPr>
          <w:p w14:paraId="2ECF53D0">
            <w:pPr>
              <w:wordWrap w:val="0"/>
              <w:jc w:val="center"/>
              <w:rPr>
                <w:sz w:val="24"/>
              </w:rPr>
            </w:pPr>
            <w:r>
              <w:rPr>
                <w:rFonts w:hint="eastAsia"/>
                <w:sz w:val="24"/>
              </w:rPr>
              <w:t>应用行业</w:t>
            </w:r>
          </w:p>
        </w:tc>
        <w:tc>
          <w:tcPr>
            <w:tcW w:w="4275" w:type="dxa"/>
            <w:gridSpan w:val="6"/>
            <w:vAlign w:val="center"/>
          </w:tcPr>
          <w:p w14:paraId="62CF1FA9">
            <w:pPr>
              <w:wordWrap w:val="0"/>
              <w:rPr>
                <w:rFonts w:ascii="宋体" w:eastAsia="宋体" w:hAnsi="宋体" w:cs="宋体"/>
                <w:sz w:val="24"/>
              </w:rPr>
            </w:pPr>
            <w:bookmarkStart w:id="16" w:name="yyhy"/>
            <w:r>
              <w:rPr>
                <w:rFonts w:ascii="宋体" w:eastAsia="宋体" w:hAnsi="宋体" w:cs="宋体"/>
                <w:sz w:val="24"/>
              </w:rPr>
              <w:t>环境治理</w:t>
            </w:r>
            <w:bookmarkEnd w:id="16"/>
          </w:p>
        </w:tc>
        <w:tc>
          <w:tcPr>
            <w:tcW w:w="1417" w:type="dxa"/>
            <w:gridSpan w:val="2"/>
            <w:vAlign w:val="center"/>
          </w:tcPr>
          <w:p w14:paraId="3EFE9313">
            <w:pPr>
              <w:wordWrap w:val="0"/>
              <w:jc w:val="center"/>
              <w:rPr>
                <w:sz w:val="24"/>
              </w:rPr>
            </w:pPr>
            <w:r>
              <w:rPr>
                <w:rFonts w:hint="eastAsia"/>
                <w:sz w:val="24"/>
              </w:rPr>
              <w:t>技术领域</w:t>
            </w:r>
          </w:p>
        </w:tc>
        <w:tc>
          <w:tcPr>
            <w:tcW w:w="3164" w:type="dxa"/>
            <w:gridSpan w:val="3"/>
            <w:vAlign w:val="center"/>
          </w:tcPr>
          <w:p w14:paraId="475D2355">
            <w:pPr>
              <w:wordWrap w:val="0"/>
              <w:jc w:val="left"/>
              <w:rPr>
                <w:rFonts w:ascii="宋体" w:eastAsia="宋体" w:hAnsi="宋体" w:cs="宋体"/>
                <w:sz w:val="24"/>
              </w:rPr>
            </w:pPr>
            <w:bookmarkStart w:id="17" w:name="jsly"/>
            <w:r>
              <w:rPr>
                <w:rFonts w:ascii="宋体" w:eastAsia="宋体" w:hAnsi="宋体" w:cs="宋体"/>
                <w:sz w:val="24"/>
              </w:rPr>
              <w:t>典型重金属工业废水污染控制与治理技术</w:t>
            </w:r>
            <w:bookmarkEnd w:id="17"/>
          </w:p>
        </w:tc>
      </w:tr>
      <w:tr w14:paraId="1AEAFF93">
        <w:tblPrEx>
          <w:tblW w:w="10635" w:type="dxa"/>
          <w:jc w:val="center"/>
          <w:tblLayout w:type="fixed"/>
          <w:tblCellMar>
            <w:top w:w="0" w:type="dxa"/>
            <w:left w:w="108" w:type="dxa"/>
            <w:bottom w:w="0" w:type="dxa"/>
            <w:right w:w="108" w:type="dxa"/>
          </w:tblCellMar>
        </w:tblPrEx>
        <w:trPr>
          <w:cantSplit/>
          <w:trHeight w:val="541"/>
          <w:jc w:val="center"/>
        </w:trPr>
        <w:tc>
          <w:tcPr>
            <w:tcW w:w="1779" w:type="dxa"/>
            <w:gridSpan w:val="2"/>
            <w:vAlign w:val="center"/>
          </w:tcPr>
          <w:p w14:paraId="27E5FB0F">
            <w:pPr>
              <w:wordWrap w:val="0"/>
              <w:jc w:val="center"/>
              <w:rPr>
                <w:sz w:val="24"/>
              </w:rPr>
            </w:pPr>
            <w:r>
              <w:rPr>
                <w:rFonts w:hint="eastAsia"/>
                <w:sz w:val="24"/>
              </w:rPr>
              <w:t>所属学科1</w:t>
            </w:r>
          </w:p>
        </w:tc>
        <w:tc>
          <w:tcPr>
            <w:tcW w:w="4275" w:type="dxa"/>
            <w:gridSpan w:val="6"/>
            <w:vAlign w:val="center"/>
          </w:tcPr>
          <w:p w14:paraId="3CDD4644">
            <w:pPr>
              <w:wordWrap w:val="0"/>
              <w:rPr>
                <w:rFonts w:ascii="宋体" w:eastAsia="宋体" w:hAnsi="宋体" w:cs="宋体"/>
                <w:sz w:val="24"/>
              </w:rPr>
            </w:pPr>
            <w:bookmarkStart w:id="18" w:name="ssxk1"/>
            <w:r>
              <w:rPr>
                <w:rFonts w:ascii="宋体" w:eastAsia="宋体" w:hAnsi="宋体" w:cs="宋体"/>
                <w:sz w:val="24"/>
              </w:rPr>
              <w:t>E080402-污水处理与资源化</w:t>
            </w:r>
            <w:bookmarkEnd w:id="18"/>
          </w:p>
        </w:tc>
        <w:tc>
          <w:tcPr>
            <w:tcW w:w="1417" w:type="dxa"/>
            <w:gridSpan w:val="2"/>
            <w:vAlign w:val="center"/>
          </w:tcPr>
          <w:p w14:paraId="0FDD740D">
            <w:pPr>
              <w:wordWrap w:val="0"/>
              <w:jc w:val="center"/>
              <w:rPr>
                <w:sz w:val="24"/>
              </w:rPr>
            </w:pPr>
            <w:r>
              <w:rPr>
                <w:rFonts w:hint="eastAsia"/>
                <w:sz w:val="24"/>
              </w:rPr>
              <w:t>所属学科2</w:t>
            </w:r>
          </w:p>
        </w:tc>
        <w:tc>
          <w:tcPr>
            <w:tcW w:w="3164" w:type="dxa"/>
            <w:gridSpan w:val="3"/>
            <w:vAlign w:val="center"/>
          </w:tcPr>
          <w:p w14:paraId="3DB9C5EE">
            <w:pPr>
              <w:wordWrap w:val="0"/>
              <w:jc w:val="left"/>
              <w:rPr>
                <w:rFonts w:ascii="宋体" w:eastAsia="宋体" w:hAnsi="宋体" w:cs="宋体"/>
                <w:sz w:val="24"/>
              </w:rPr>
            </w:pPr>
            <w:bookmarkStart w:id="19" w:name="ssxk2"/>
            <w:r>
              <w:rPr>
                <w:rFonts w:ascii="宋体" w:eastAsia="宋体" w:hAnsi="宋体" w:cs="宋体"/>
                <w:sz w:val="24"/>
              </w:rPr>
              <w:t>E020801-复合材料的制备</w:t>
            </w:r>
            <w:bookmarkEnd w:id="19"/>
          </w:p>
        </w:tc>
      </w:tr>
      <w:tr w14:paraId="736CF34D">
        <w:tblPrEx>
          <w:tblW w:w="10635" w:type="dxa"/>
          <w:jc w:val="center"/>
          <w:tblLayout w:type="fixed"/>
          <w:tblCellMar>
            <w:top w:w="0" w:type="dxa"/>
            <w:left w:w="108" w:type="dxa"/>
            <w:bottom w:w="0" w:type="dxa"/>
            <w:right w:w="108" w:type="dxa"/>
          </w:tblCellMar>
        </w:tblPrEx>
        <w:trPr>
          <w:cantSplit/>
          <w:trHeight w:val="419"/>
          <w:jc w:val="center"/>
        </w:trPr>
        <w:tc>
          <w:tcPr>
            <w:tcW w:w="1779" w:type="dxa"/>
            <w:gridSpan w:val="2"/>
            <w:vAlign w:val="center"/>
          </w:tcPr>
          <w:p w14:paraId="445B6226">
            <w:pPr>
              <w:wordWrap w:val="0"/>
              <w:jc w:val="center"/>
              <w:rPr>
                <w:sz w:val="24"/>
              </w:rPr>
            </w:pPr>
            <w:r>
              <w:rPr>
                <w:rFonts w:hint="eastAsia"/>
                <w:sz w:val="24"/>
              </w:rPr>
              <w:t>关键词</w:t>
            </w:r>
          </w:p>
        </w:tc>
        <w:tc>
          <w:tcPr>
            <w:tcW w:w="8856" w:type="dxa"/>
            <w:gridSpan w:val="11"/>
            <w:vAlign w:val="center"/>
          </w:tcPr>
          <w:p w14:paraId="00D12B0B">
            <w:pPr>
              <w:wordWrap w:val="0"/>
              <w:jc w:val="left"/>
              <w:rPr>
                <w:rFonts w:ascii="宋体" w:eastAsia="宋体" w:hAnsi="宋体" w:cs="宋体"/>
                <w:sz w:val="24"/>
              </w:rPr>
            </w:pPr>
            <w:bookmarkStart w:id="20" w:name="gjc"/>
            <w:r>
              <w:rPr>
                <w:rFonts w:ascii="宋体" w:eastAsia="宋体" w:hAnsi="宋体" w:cs="宋体"/>
                <w:sz w:val="24"/>
              </w:rPr>
              <w:t>重金属回收,电催化还原,环境功能材料,选择性吸附,废水处理</w:t>
            </w:r>
            <w:bookmarkEnd w:id="20"/>
          </w:p>
        </w:tc>
      </w:tr>
      <w:tr w14:paraId="5099B504">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restart"/>
            <w:vAlign w:val="center"/>
          </w:tcPr>
          <w:p w14:paraId="35BEB48E">
            <w:pPr>
              <w:wordWrap w:val="0"/>
              <w:jc w:val="center"/>
              <w:rPr>
                <w:sz w:val="24"/>
              </w:rPr>
            </w:pPr>
            <w:r>
              <w:rPr>
                <w:rFonts w:hint="eastAsia"/>
                <w:color w:val="0D0D0D"/>
                <w:sz w:val="24"/>
              </w:rPr>
              <w:t>申报</w:t>
            </w:r>
            <w:r>
              <w:rPr>
                <w:rFonts w:hint="eastAsia"/>
                <w:sz w:val="24"/>
              </w:rPr>
              <w:t>人信息</w:t>
            </w:r>
          </w:p>
        </w:tc>
        <w:tc>
          <w:tcPr>
            <w:tcW w:w="1277" w:type="dxa"/>
            <w:vAlign w:val="center"/>
          </w:tcPr>
          <w:p w14:paraId="70217A09">
            <w:pPr>
              <w:wordWrap w:val="0"/>
              <w:jc w:val="center"/>
              <w:rPr>
                <w:sz w:val="24"/>
              </w:rPr>
            </w:pPr>
            <w:r>
              <w:rPr>
                <w:rFonts w:hint="eastAsia"/>
                <w:sz w:val="24"/>
              </w:rPr>
              <w:t>姓名</w:t>
            </w:r>
          </w:p>
        </w:tc>
        <w:tc>
          <w:tcPr>
            <w:tcW w:w="1134" w:type="dxa"/>
            <w:gridSpan w:val="2"/>
            <w:vAlign w:val="center"/>
          </w:tcPr>
          <w:p w14:paraId="4F538BED">
            <w:pPr>
              <w:wordWrap w:val="0"/>
              <w:jc w:val="center"/>
              <w:rPr>
                <w:rFonts w:ascii="宋体" w:eastAsia="宋体" w:hAnsi="宋体" w:cs="宋体"/>
                <w:sz w:val="24"/>
              </w:rPr>
            </w:pPr>
            <w:bookmarkStart w:id="21" w:name="cddwfzr"/>
            <w:r>
              <w:rPr>
                <w:rFonts w:ascii="宋体" w:eastAsia="宋体" w:hAnsi="宋体" w:cs="宋体"/>
                <w:sz w:val="24"/>
              </w:rPr>
              <w:t>高菲</w:t>
            </w:r>
            <w:bookmarkEnd w:id="21"/>
          </w:p>
        </w:tc>
        <w:tc>
          <w:tcPr>
            <w:tcW w:w="828" w:type="dxa"/>
            <w:vAlign w:val="center"/>
          </w:tcPr>
          <w:p w14:paraId="532BE939">
            <w:pPr>
              <w:wordWrap w:val="0"/>
              <w:jc w:val="center"/>
              <w:rPr>
                <w:sz w:val="24"/>
              </w:rPr>
            </w:pPr>
            <w:r>
              <w:rPr>
                <w:rFonts w:hint="eastAsia"/>
                <w:sz w:val="24"/>
              </w:rPr>
              <w:t>性别</w:t>
            </w:r>
          </w:p>
        </w:tc>
        <w:tc>
          <w:tcPr>
            <w:tcW w:w="1440" w:type="dxa"/>
            <w:vAlign w:val="center"/>
          </w:tcPr>
          <w:p w14:paraId="569F1FA6">
            <w:pPr>
              <w:wordWrap w:val="0"/>
              <w:jc w:val="center"/>
              <w:rPr>
                <w:rFonts w:ascii="宋体" w:eastAsia="宋体" w:hAnsi="宋体" w:cs="宋体"/>
                <w:sz w:val="24"/>
              </w:rPr>
            </w:pPr>
            <w:bookmarkStart w:id="22" w:name="xb"/>
            <w:r>
              <w:rPr>
                <w:rFonts w:ascii="宋体" w:eastAsia="宋体" w:hAnsi="宋体" w:cs="宋体"/>
                <w:sz w:val="24"/>
              </w:rPr>
              <w:t>女</w:t>
            </w:r>
            <w:bookmarkEnd w:id="22"/>
          </w:p>
        </w:tc>
        <w:tc>
          <w:tcPr>
            <w:tcW w:w="873" w:type="dxa"/>
            <w:gridSpan w:val="2"/>
            <w:vAlign w:val="center"/>
          </w:tcPr>
          <w:p w14:paraId="318E0B62">
            <w:pPr>
              <w:wordWrap w:val="0"/>
              <w:jc w:val="center"/>
              <w:rPr>
                <w:sz w:val="24"/>
              </w:rPr>
            </w:pPr>
            <w:r>
              <w:rPr>
                <w:rFonts w:hint="eastAsia"/>
                <w:sz w:val="24"/>
              </w:rPr>
              <w:t>出生年月</w:t>
            </w:r>
          </w:p>
        </w:tc>
        <w:tc>
          <w:tcPr>
            <w:tcW w:w="1417" w:type="dxa"/>
            <w:gridSpan w:val="2"/>
            <w:vAlign w:val="center"/>
          </w:tcPr>
          <w:p w14:paraId="31576D8B">
            <w:pPr>
              <w:wordWrap w:val="0"/>
              <w:jc w:val="center"/>
              <w:rPr>
                <w:rFonts w:ascii="宋体" w:eastAsia="宋体" w:hAnsi="宋体" w:cs="宋体"/>
                <w:sz w:val="24"/>
              </w:rPr>
            </w:pPr>
            <w:bookmarkStart w:id="23" w:name="csny"/>
            <w:r>
              <w:rPr>
                <w:rFonts w:ascii="宋体" w:eastAsia="宋体" w:hAnsi="宋体" w:cs="宋体"/>
                <w:sz w:val="24"/>
              </w:rPr>
              <w:t>1991-07</w:t>
            </w:r>
            <w:bookmarkEnd w:id="23"/>
          </w:p>
        </w:tc>
        <w:tc>
          <w:tcPr>
            <w:tcW w:w="1025" w:type="dxa"/>
            <w:vAlign w:val="center"/>
          </w:tcPr>
          <w:p w14:paraId="3E1D232E">
            <w:pPr>
              <w:wordWrap w:val="0"/>
              <w:jc w:val="center"/>
              <w:rPr>
                <w:sz w:val="24"/>
              </w:rPr>
            </w:pPr>
            <w:r>
              <w:rPr>
                <w:rFonts w:hint="eastAsia"/>
                <w:sz w:val="24"/>
              </w:rPr>
              <w:t>固定</w:t>
            </w:r>
          </w:p>
          <w:p w14:paraId="02123728">
            <w:pPr>
              <w:wordWrap w:val="0"/>
              <w:jc w:val="center"/>
              <w:rPr>
                <w:sz w:val="24"/>
              </w:rPr>
            </w:pPr>
            <w:r>
              <w:rPr>
                <w:rFonts w:hint="eastAsia"/>
                <w:sz w:val="24"/>
              </w:rPr>
              <w:t>电话</w:t>
            </w:r>
          </w:p>
        </w:tc>
        <w:tc>
          <w:tcPr>
            <w:tcW w:w="2139" w:type="dxa"/>
            <w:gridSpan w:val="2"/>
            <w:vAlign w:val="center"/>
          </w:tcPr>
          <w:p w14:paraId="0FDA9BDA">
            <w:pPr>
              <w:wordWrap w:val="0"/>
              <w:jc w:val="center"/>
              <w:rPr>
                <w:rFonts w:ascii="宋体" w:eastAsia="宋体" w:hAnsi="宋体" w:cs="宋体"/>
                <w:sz w:val="24"/>
              </w:rPr>
            </w:pPr>
            <w:bookmarkStart w:id="24" w:name="cddwfzrdh"/>
            <w:r>
              <w:rPr>
                <w:rFonts w:ascii="宋体" w:eastAsia="宋体" w:hAnsi="宋体" w:cs="宋体"/>
                <w:sz w:val="24"/>
              </w:rPr>
              <w:t>022-83955673</w:t>
            </w:r>
            <w:bookmarkEnd w:id="24"/>
          </w:p>
        </w:tc>
      </w:tr>
      <w:tr w14:paraId="6684EA4E">
        <w:tblPrEx>
          <w:tblW w:w="10635" w:type="dxa"/>
          <w:jc w:val="center"/>
          <w:tblLayout w:type="fixed"/>
          <w:tblCellMar>
            <w:top w:w="0" w:type="dxa"/>
            <w:left w:w="108" w:type="dxa"/>
            <w:bottom w:w="0" w:type="dxa"/>
            <w:right w:w="108" w:type="dxa"/>
          </w:tblCellMar>
        </w:tblPrEx>
        <w:trPr>
          <w:cantSplit/>
          <w:trHeight w:val="549"/>
          <w:jc w:val="center"/>
        </w:trPr>
        <w:tc>
          <w:tcPr>
            <w:tcW w:w="502" w:type="dxa"/>
            <w:vMerge/>
            <w:vAlign w:val="center"/>
          </w:tcPr>
          <w:p w14:paraId="33C23B7D">
            <w:pPr>
              <w:wordWrap w:val="0"/>
              <w:jc w:val="center"/>
              <w:rPr>
                <w:sz w:val="24"/>
              </w:rPr>
            </w:pPr>
          </w:p>
        </w:tc>
        <w:tc>
          <w:tcPr>
            <w:tcW w:w="1277" w:type="dxa"/>
            <w:vAlign w:val="center"/>
          </w:tcPr>
          <w:p w14:paraId="3D70E681">
            <w:pPr>
              <w:wordWrap w:val="0"/>
              <w:jc w:val="center"/>
              <w:rPr>
                <w:sz w:val="24"/>
              </w:rPr>
            </w:pPr>
            <w:r>
              <w:rPr>
                <w:rFonts w:hint="eastAsia"/>
                <w:sz w:val="24"/>
              </w:rPr>
              <w:t>学位</w:t>
            </w:r>
          </w:p>
        </w:tc>
        <w:tc>
          <w:tcPr>
            <w:tcW w:w="1134" w:type="dxa"/>
            <w:gridSpan w:val="2"/>
            <w:vAlign w:val="center"/>
          </w:tcPr>
          <w:p w14:paraId="2F47B044">
            <w:pPr>
              <w:wordWrap w:val="0"/>
              <w:jc w:val="center"/>
              <w:rPr>
                <w:rFonts w:ascii="宋体" w:eastAsia="宋体" w:hAnsi="宋体" w:cs="宋体"/>
                <w:sz w:val="24"/>
              </w:rPr>
            </w:pPr>
            <w:bookmarkStart w:id="25" w:name="xw"/>
            <w:r>
              <w:rPr>
                <w:rFonts w:ascii="宋体" w:eastAsia="宋体" w:hAnsi="宋体" w:cs="宋体"/>
                <w:sz w:val="24"/>
              </w:rPr>
              <w:t>博士</w:t>
            </w:r>
            <w:bookmarkEnd w:id="25"/>
          </w:p>
        </w:tc>
        <w:tc>
          <w:tcPr>
            <w:tcW w:w="828" w:type="dxa"/>
            <w:vAlign w:val="center"/>
          </w:tcPr>
          <w:p w14:paraId="6C41EC87">
            <w:pPr>
              <w:wordWrap w:val="0"/>
              <w:jc w:val="center"/>
              <w:rPr>
                <w:sz w:val="24"/>
              </w:rPr>
            </w:pPr>
            <w:r>
              <w:rPr>
                <w:rFonts w:hint="eastAsia"/>
                <w:sz w:val="24"/>
              </w:rPr>
              <w:t>职称</w:t>
            </w:r>
          </w:p>
        </w:tc>
        <w:tc>
          <w:tcPr>
            <w:tcW w:w="1440" w:type="dxa"/>
            <w:vAlign w:val="center"/>
          </w:tcPr>
          <w:p w14:paraId="381BF05A">
            <w:pPr>
              <w:wordWrap w:val="0"/>
              <w:jc w:val="center"/>
              <w:rPr>
                <w:rFonts w:ascii="宋体" w:eastAsia="宋体" w:hAnsi="宋体" w:cs="宋体"/>
                <w:sz w:val="24"/>
              </w:rPr>
            </w:pPr>
            <w:bookmarkStart w:id="26" w:name="zc"/>
            <w:r>
              <w:rPr>
                <w:rFonts w:ascii="宋体" w:eastAsia="宋体" w:hAnsi="宋体" w:cs="宋体"/>
                <w:sz w:val="24"/>
              </w:rPr>
              <w:t>讲师</w:t>
            </w:r>
            <w:bookmarkEnd w:id="26"/>
          </w:p>
        </w:tc>
        <w:tc>
          <w:tcPr>
            <w:tcW w:w="873" w:type="dxa"/>
            <w:gridSpan w:val="2"/>
            <w:vAlign w:val="center"/>
          </w:tcPr>
          <w:p w14:paraId="22E08989">
            <w:pPr>
              <w:wordWrap w:val="0"/>
              <w:jc w:val="center"/>
              <w:rPr>
                <w:sz w:val="24"/>
              </w:rPr>
            </w:pPr>
            <w:r>
              <w:rPr>
                <w:rFonts w:hint="eastAsia"/>
                <w:sz w:val="24"/>
              </w:rPr>
              <w:t>民族</w:t>
            </w:r>
          </w:p>
        </w:tc>
        <w:tc>
          <w:tcPr>
            <w:tcW w:w="1417" w:type="dxa"/>
            <w:gridSpan w:val="2"/>
            <w:vAlign w:val="center"/>
          </w:tcPr>
          <w:p w14:paraId="1B090245">
            <w:pPr>
              <w:wordWrap w:val="0"/>
              <w:jc w:val="center"/>
              <w:rPr>
                <w:rFonts w:ascii="宋体" w:eastAsia="宋体" w:hAnsi="宋体" w:cs="宋体"/>
                <w:sz w:val="24"/>
              </w:rPr>
            </w:pPr>
            <w:bookmarkStart w:id="27" w:name="mz"/>
            <w:r>
              <w:rPr>
                <w:rFonts w:ascii="宋体" w:eastAsia="宋体" w:hAnsi="宋体" w:cs="宋体"/>
                <w:sz w:val="24"/>
              </w:rPr>
              <w:t>汉族</w:t>
            </w:r>
            <w:bookmarkEnd w:id="27"/>
          </w:p>
        </w:tc>
        <w:tc>
          <w:tcPr>
            <w:tcW w:w="1025" w:type="dxa"/>
            <w:vAlign w:val="center"/>
          </w:tcPr>
          <w:p w14:paraId="40B89C3F">
            <w:pPr>
              <w:wordWrap w:val="0"/>
              <w:jc w:val="center"/>
              <w:rPr>
                <w:sz w:val="24"/>
              </w:rPr>
            </w:pPr>
            <w:r>
              <w:rPr>
                <w:rFonts w:hint="eastAsia"/>
                <w:sz w:val="24"/>
              </w:rPr>
              <w:t>移动</w:t>
            </w:r>
          </w:p>
          <w:p w14:paraId="43A8DF11">
            <w:pPr>
              <w:wordWrap w:val="0"/>
              <w:jc w:val="center"/>
              <w:rPr>
                <w:sz w:val="24"/>
              </w:rPr>
            </w:pPr>
            <w:r>
              <w:rPr>
                <w:rFonts w:hint="eastAsia"/>
                <w:sz w:val="24"/>
              </w:rPr>
              <w:t>电话</w:t>
            </w:r>
          </w:p>
        </w:tc>
        <w:tc>
          <w:tcPr>
            <w:tcW w:w="2139" w:type="dxa"/>
            <w:gridSpan w:val="2"/>
            <w:vAlign w:val="center"/>
          </w:tcPr>
          <w:p w14:paraId="40826C63">
            <w:pPr>
              <w:wordWrap w:val="0"/>
              <w:jc w:val="center"/>
              <w:rPr>
                <w:rFonts w:ascii="宋体" w:eastAsia="宋体" w:hAnsi="宋体" w:cs="宋体"/>
                <w:sz w:val="24"/>
              </w:rPr>
            </w:pPr>
            <w:bookmarkStart w:id="28" w:name="cddwfzrsj"/>
            <w:r>
              <w:rPr>
                <w:rFonts w:ascii="宋体" w:eastAsia="宋体" w:hAnsi="宋体" w:cs="宋体"/>
                <w:sz w:val="24"/>
              </w:rPr>
              <w:t>18622257835</w:t>
            </w:r>
            <w:bookmarkEnd w:id="28"/>
          </w:p>
        </w:tc>
      </w:tr>
      <w:tr w14:paraId="0587A71F">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141D9219">
            <w:pPr>
              <w:wordWrap w:val="0"/>
              <w:jc w:val="center"/>
              <w:rPr>
                <w:sz w:val="24"/>
              </w:rPr>
            </w:pPr>
          </w:p>
        </w:tc>
        <w:tc>
          <w:tcPr>
            <w:tcW w:w="1277" w:type="dxa"/>
            <w:vAlign w:val="center"/>
          </w:tcPr>
          <w:p w14:paraId="4D7A81CD">
            <w:pPr>
              <w:wordWrap w:val="0"/>
              <w:jc w:val="center"/>
              <w:rPr>
                <w:sz w:val="24"/>
              </w:rPr>
            </w:pPr>
            <w:r>
              <w:rPr>
                <w:rFonts w:hint="eastAsia"/>
                <w:sz w:val="24"/>
              </w:rPr>
              <w:t>证件名称</w:t>
            </w:r>
          </w:p>
        </w:tc>
        <w:tc>
          <w:tcPr>
            <w:tcW w:w="1134" w:type="dxa"/>
            <w:gridSpan w:val="2"/>
            <w:vAlign w:val="center"/>
          </w:tcPr>
          <w:p w14:paraId="6FD28291">
            <w:pPr>
              <w:wordWrap w:val="0"/>
              <w:jc w:val="center"/>
              <w:rPr>
                <w:rFonts w:ascii="宋体" w:eastAsia="宋体" w:hAnsi="宋体" w:cs="宋体"/>
                <w:sz w:val="24"/>
              </w:rPr>
            </w:pPr>
            <w:bookmarkStart w:id="29" w:name="zjmc"/>
            <w:r>
              <w:rPr>
                <w:rFonts w:ascii="宋体" w:eastAsia="宋体" w:hAnsi="宋体" w:cs="宋体"/>
                <w:sz w:val="24"/>
              </w:rPr>
              <w:t>身份证</w:t>
            </w:r>
            <w:bookmarkEnd w:id="29"/>
          </w:p>
        </w:tc>
        <w:tc>
          <w:tcPr>
            <w:tcW w:w="828" w:type="dxa"/>
            <w:vAlign w:val="center"/>
          </w:tcPr>
          <w:p w14:paraId="79E7E07F">
            <w:pPr>
              <w:wordWrap w:val="0"/>
              <w:jc w:val="center"/>
              <w:rPr>
                <w:sz w:val="24"/>
              </w:rPr>
            </w:pPr>
            <w:r>
              <w:rPr>
                <w:rFonts w:hint="eastAsia"/>
                <w:sz w:val="24"/>
              </w:rPr>
              <w:t>证件号码</w:t>
            </w:r>
          </w:p>
        </w:tc>
        <w:tc>
          <w:tcPr>
            <w:tcW w:w="3730" w:type="dxa"/>
            <w:gridSpan w:val="5"/>
            <w:vAlign w:val="center"/>
          </w:tcPr>
          <w:p w14:paraId="4F9C50A9">
            <w:pPr>
              <w:wordWrap w:val="0"/>
              <w:jc w:val="left"/>
              <w:rPr>
                <w:rFonts w:ascii="宋体" w:eastAsia="宋体" w:hAnsi="宋体" w:cs="宋体"/>
                <w:sz w:val="24"/>
              </w:rPr>
            </w:pPr>
            <w:bookmarkStart w:id="30" w:name="zjhm"/>
            <w:r>
              <w:rPr>
                <w:rFonts w:ascii="宋体" w:eastAsia="宋体" w:hAnsi="宋体" w:cs="宋体"/>
                <w:sz w:val="24"/>
              </w:rPr>
              <w:t>120105199107194825</w:t>
            </w:r>
            <w:bookmarkEnd w:id="30"/>
          </w:p>
        </w:tc>
        <w:tc>
          <w:tcPr>
            <w:tcW w:w="1025" w:type="dxa"/>
            <w:vAlign w:val="center"/>
          </w:tcPr>
          <w:p w14:paraId="3E87AFD5">
            <w:pPr>
              <w:wordWrap w:val="0"/>
              <w:jc w:val="center"/>
              <w:rPr>
                <w:sz w:val="24"/>
              </w:rPr>
            </w:pPr>
            <w:r>
              <w:rPr>
                <w:rFonts w:hint="eastAsia"/>
                <w:sz w:val="24"/>
              </w:rPr>
              <w:t>电子</w:t>
            </w:r>
          </w:p>
          <w:p w14:paraId="3ACF4C38">
            <w:pPr>
              <w:wordWrap w:val="0"/>
              <w:jc w:val="center"/>
              <w:rPr>
                <w:sz w:val="24"/>
              </w:rPr>
            </w:pPr>
            <w:r>
              <w:rPr>
                <w:rFonts w:hint="eastAsia"/>
                <w:sz w:val="24"/>
              </w:rPr>
              <w:t>邮箱</w:t>
            </w:r>
          </w:p>
        </w:tc>
        <w:tc>
          <w:tcPr>
            <w:tcW w:w="2139" w:type="dxa"/>
            <w:gridSpan w:val="2"/>
            <w:vAlign w:val="center"/>
          </w:tcPr>
          <w:p w14:paraId="3DABDE9B">
            <w:pPr>
              <w:wordWrap w:val="0"/>
              <w:jc w:val="center"/>
              <w:rPr>
                <w:rFonts w:ascii="宋体" w:eastAsia="宋体" w:hAnsi="宋体" w:cs="宋体"/>
                <w:sz w:val="24"/>
              </w:rPr>
            </w:pPr>
            <w:bookmarkStart w:id="31" w:name="cddwfzryx"/>
            <w:r>
              <w:rPr>
                <w:rFonts w:ascii="宋体" w:eastAsia="宋体" w:hAnsi="宋体" w:cs="宋体"/>
                <w:sz w:val="24"/>
              </w:rPr>
              <w:t>highfly19@163.com</w:t>
            </w:r>
            <w:bookmarkEnd w:id="31"/>
          </w:p>
        </w:tc>
      </w:tr>
      <w:tr w14:paraId="1432E200">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4022F653">
            <w:pPr>
              <w:wordWrap w:val="0"/>
              <w:jc w:val="center"/>
              <w:rPr>
                <w:sz w:val="24"/>
              </w:rPr>
            </w:pPr>
          </w:p>
        </w:tc>
        <w:tc>
          <w:tcPr>
            <w:tcW w:w="1277" w:type="dxa"/>
            <w:vAlign w:val="center"/>
          </w:tcPr>
          <w:p w14:paraId="1850B27C">
            <w:pPr>
              <w:wordWrap w:val="0"/>
              <w:jc w:val="center"/>
              <w:rPr>
                <w:sz w:val="24"/>
              </w:rPr>
            </w:pPr>
            <w:r>
              <w:rPr>
                <w:rFonts w:hint="eastAsia"/>
                <w:sz w:val="24"/>
              </w:rPr>
              <w:t>工作单位</w:t>
            </w:r>
          </w:p>
        </w:tc>
        <w:tc>
          <w:tcPr>
            <w:tcW w:w="5692" w:type="dxa"/>
            <w:gridSpan w:val="8"/>
            <w:vAlign w:val="center"/>
          </w:tcPr>
          <w:p w14:paraId="7B2793C8">
            <w:pPr>
              <w:wordWrap w:val="0"/>
              <w:jc w:val="left"/>
              <w:rPr>
                <w:rFonts w:ascii="宋体" w:eastAsia="宋体" w:hAnsi="宋体" w:cs="宋体"/>
                <w:sz w:val="24"/>
              </w:rPr>
            </w:pPr>
            <w:bookmarkStart w:id="32" w:name="sbrdwmc"/>
            <w:r>
              <w:rPr>
                <w:rFonts w:ascii="宋体" w:eastAsia="宋体" w:hAnsi="宋体" w:cs="宋体"/>
                <w:sz w:val="24"/>
              </w:rPr>
              <w:t>沧州市天津工业大学研究院</w:t>
            </w:r>
            <w:bookmarkEnd w:id="32"/>
          </w:p>
        </w:tc>
        <w:tc>
          <w:tcPr>
            <w:tcW w:w="1025" w:type="dxa"/>
            <w:vAlign w:val="center"/>
          </w:tcPr>
          <w:p w14:paraId="27B78693">
            <w:pPr>
              <w:wordWrap w:val="0"/>
              <w:jc w:val="center"/>
              <w:rPr>
                <w:sz w:val="24"/>
              </w:rPr>
            </w:pPr>
            <w:r>
              <w:rPr>
                <w:rFonts w:hint="eastAsia"/>
                <w:sz w:val="24"/>
              </w:rPr>
              <w:t>申报人</w:t>
            </w:r>
          </w:p>
          <w:p w14:paraId="385D5213">
            <w:pPr>
              <w:jc w:val="center"/>
              <w:rPr>
                <w:sz w:val="24"/>
              </w:rPr>
            </w:pPr>
            <w:r>
              <w:rPr>
                <w:rFonts w:hint="eastAsia"/>
                <w:sz w:val="24"/>
              </w:rPr>
              <w:t>类别</w:t>
            </w:r>
          </w:p>
        </w:tc>
        <w:tc>
          <w:tcPr>
            <w:tcW w:w="2139" w:type="dxa"/>
            <w:gridSpan w:val="2"/>
            <w:vAlign w:val="center"/>
          </w:tcPr>
          <w:p w14:paraId="6ADBFAD6">
            <w:pPr>
              <w:jc w:val="center"/>
              <w:rPr>
                <w:rFonts w:ascii="宋体" w:eastAsia="宋体" w:hAnsi="宋体" w:cs="宋体"/>
                <w:sz w:val="24"/>
              </w:rPr>
            </w:pPr>
            <w:bookmarkStart w:id="33" w:name="sbrlb"/>
            <w:r>
              <w:rPr>
                <w:rFonts w:ascii="宋体" w:eastAsia="宋体" w:hAnsi="宋体" w:cs="宋体"/>
                <w:sz w:val="24"/>
              </w:rPr>
              <w:t>在冀非全职人员</w:t>
            </w:r>
            <w:bookmarkEnd w:id="33"/>
          </w:p>
        </w:tc>
      </w:tr>
      <w:tr w14:paraId="0B04A9C6">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7F14D005">
            <w:pPr>
              <w:wordWrap w:val="0"/>
              <w:jc w:val="center"/>
              <w:rPr>
                <w:sz w:val="24"/>
              </w:rPr>
            </w:pPr>
          </w:p>
        </w:tc>
        <w:tc>
          <w:tcPr>
            <w:tcW w:w="1277" w:type="dxa"/>
            <w:vAlign w:val="center"/>
          </w:tcPr>
          <w:p w14:paraId="5C7D4E98">
            <w:pPr>
              <w:wordWrap w:val="0"/>
              <w:jc w:val="center"/>
              <w:rPr>
                <w:sz w:val="24"/>
              </w:rPr>
            </w:pPr>
            <w:r>
              <w:rPr>
                <w:rFonts w:hint="eastAsia"/>
                <w:sz w:val="24"/>
              </w:rPr>
              <w:t>个人通讯地址</w:t>
            </w:r>
          </w:p>
        </w:tc>
        <w:tc>
          <w:tcPr>
            <w:tcW w:w="5692" w:type="dxa"/>
            <w:gridSpan w:val="8"/>
            <w:vAlign w:val="center"/>
          </w:tcPr>
          <w:p w14:paraId="4E3D03F2">
            <w:pPr>
              <w:wordWrap w:val="0"/>
              <w:jc w:val="left"/>
              <w:rPr>
                <w:rFonts w:ascii="宋体" w:eastAsia="宋体" w:hAnsi="宋体" w:cs="宋体"/>
                <w:sz w:val="24"/>
              </w:rPr>
            </w:pPr>
            <w:bookmarkStart w:id="34" w:name="txdz"/>
            <w:r>
              <w:rPr>
                <w:rFonts w:ascii="宋体" w:eastAsia="宋体" w:hAnsi="宋体" w:cs="宋体"/>
                <w:sz w:val="24"/>
              </w:rPr>
              <w:t>天津市西青区宾水西道399号</w:t>
            </w:r>
            <w:bookmarkEnd w:id="34"/>
          </w:p>
        </w:tc>
        <w:tc>
          <w:tcPr>
            <w:tcW w:w="1025" w:type="dxa"/>
            <w:vAlign w:val="center"/>
          </w:tcPr>
          <w:p w14:paraId="75A86A22">
            <w:pPr>
              <w:wordWrap w:val="0"/>
              <w:jc w:val="center"/>
              <w:rPr>
                <w:sz w:val="24"/>
              </w:rPr>
            </w:pPr>
            <w:r>
              <w:rPr>
                <w:rFonts w:hint="eastAsia"/>
                <w:sz w:val="24"/>
              </w:rPr>
              <w:t>邮政</w:t>
            </w:r>
          </w:p>
          <w:p w14:paraId="15CD35E1">
            <w:pPr>
              <w:wordWrap w:val="0"/>
              <w:jc w:val="center"/>
              <w:rPr>
                <w:sz w:val="24"/>
              </w:rPr>
            </w:pPr>
            <w:r>
              <w:rPr>
                <w:rFonts w:hint="eastAsia"/>
                <w:sz w:val="24"/>
              </w:rPr>
              <w:t>编码</w:t>
            </w:r>
          </w:p>
        </w:tc>
        <w:tc>
          <w:tcPr>
            <w:tcW w:w="2139" w:type="dxa"/>
            <w:gridSpan w:val="2"/>
            <w:vAlign w:val="center"/>
          </w:tcPr>
          <w:p w14:paraId="7C98BFD8">
            <w:pPr>
              <w:wordWrap w:val="0"/>
              <w:jc w:val="center"/>
              <w:rPr>
                <w:rFonts w:ascii="宋体" w:eastAsia="宋体" w:hAnsi="宋体" w:cs="宋体"/>
                <w:sz w:val="24"/>
              </w:rPr>
            </w:pPr>
            <w:bookmarkStart w:id="35" w:name="yzbm"/>
            <w:r>
              <w:rPr>
                <w:rFonts w:ascii="宋体" w:eastAsia="宋体" w:hAnsi="宋体" w:cs="宋体"/>
                <w:sz w:val="24"/>
              </w:rPr>
              <w:t>061000</w:t>
            </w:r>
            <w:bookmarkEnd w:id="35"/>
          </w:p>
        </w:tc>
      </w:tr>
      <w:tr w14:paraId="7236417B">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4CF1BE69">
            <w:pPr>
              <w:wordWrap w:val="0"/>
              <w:jc w:val="center"/>
              <w:rPr>
                <w:sz w:val="24"/>
              </w:rPr>
            </w:pPr>
          </w:p>
        </w:tc>
        <w:tc>
          <w:tcPr>
            <w:tcW w:w="1277" w:type="dxa"/>
            <w:vAlign w:val="center"/>
          </w:tcPr>
          <w:p w14:paraId="7122A5CC">
            <w:pPr>
              <w:wordWrap w:val="0"/>
              <w:jc w:val="center"/>
              <w:rPr>
                <w:sz w:val="24"/>
              </w:rPr>
            </w:pPr>
            <w:r>
              <w:rPr>
                <w:rFonts w:hint="eastAsia"/>
                <w:sz w:val="24"/>
              </w:rPr>
              <w:t>主要研究领域</w:t>
            </w:r>
          </w:p>
        </w:tc>
        <w:tc>
          <w:tcPr>
            <w:tcW w:w="8856" w:type="dxa"/>
            <w:gridSpan w:val="11"/>
            <w:vAlign w:val="center"/>
          </w:tcPr>
          <w:p w14:paraId="593F7347">
            <w:pPr>
              <w:wordWrap w:val="0"/>
              <w:jc w:val="left"/>
              <w:rPr>
                <w:rFonts w:ascii="宋体" w:eastAsia="宋体" w:hAnsi="宋体" w:cs="宋体"/>
                <w:sz w:val="24"/>
              </w:rPr>
            </w:pPr>
            <w:bookmarkStart w:id="36" w:name="zyyjly"/>
            <w:r>
              <w:rPr>
                <w:rFonts w:ascii="宋体" w:eastAsia="宋体" w:hAnsi="宋体" w:cs="宋体"/>
                <w:sz w:val="24"/>
              </w:rPr>
              <w:t>膜法水处理技术；电化学水处理技术；环境功能材料</w:t>
            </w:r>
            <w:bookmarkEnd w:id="36"/>
          </w:p>
        </w:tc>
      </w:tr>
      <w:tr w14:paraId="4BB08146">
        <w:tblPrEx>
          <w:tblW w:w="10635" w:type="dxa"/>
          <w:jc w:val="center"/>
          <w:tblLayout w:type="fixed"/>
          <w:tblCellMar>
            <w:top w:w="0" w:type="dxa"/>
            <w:left w:w="108" w:type="dxa"/>
            <w:bottom w:w="0" w:type="dxa"/>
            <w:right w:w="108" w:type="dxa"/>
          </w:tblCellMar>
        </w:tblPrEx>
        <w:trPr>
          <w:cantSplit/>
          <w:trHeight w:val="539"/>
          <w:jc w:val="center"/>
        </w:trPr>
        <w:tc>
          <w:tcPr>
            <w:tcW w:w="502" w:type="dxa"/>
            <w:vMerge w:val="restart"/>
          </w:tcPr>
          <w:p w14:paraId="267B11F5">
            <w:pPr>
              <w:wordWrap w:val="0"/>
              <w:rPr>
                <w:sz w:val="24"/>
              </w:rPr>
            </w:pPr>
          </w:p>
          <w:p w14:paraId="5A6CAAA9">
            <w:pPr>
              <w:wordWrap w:val="0"/>
              <w:rPr>
                <w:sz w:val="24"/>
              </w:rPr>
            </w:pPr>
          </w:p>
          <w:p w14:paraId="15DBFA40">
            <w:pPr>
              <w:wordWrap w:val="0"/>
              <w:rPr>
                <w:sz w:val="24"/>
              </w:rPr>
            </w:pPr>
          </w:p>
          <w:p w14:paraId="331C2F75">
            <w:pPr>
              <w:wordWrap w:val="0"/>
              <w:rPr>
                <w:sz w:val="24"/>
              </w:rPr>
            </w:pPr>
          </w:p>
          <w:p w14:paraId="5B557CE9">
            <w:pPr>
              <w:wordWrap w:val="0"/>
              <w:rPr>
                <w:sz w:val="24"/>
              </w:rPr>
            </w:pPr>
          </w:p>
          <w:p w14:paraId="79A5D593">
            <w:pPr>
              <w:wordWrap w:val="0"/>
              <w:rPr>
                <w:sz w:val="24"/>
              </w:rPr>
            </w:pPr>
          </w:p>
          <w:p w14:paraId="69FF6DEC">
            <w:pPr>
              <w:wordWrap w:val="0"/>
              <w:rPr>
                <w:sz w:val="24"/>
              </w:rPr>
            </w:pPr>
            <w:r>
              <w:rPr>
                <w:rFonts w:hint="eastAsia"/>
                <w:sz w:val="24"/>
              </w:rPr>
              <w:t>申报</w:t>
            </w:r>
          </w:p>
          <w:p w14:paraId="0728EAF4">
            <w:pPr>
              <w:wordWrap w:val="0"/>
              <w:rPr>
                <w:sz w:val="24"/>
              </w:rPr>
            </w:pPr>
            <w:r>
              <w:rPr>
                <w:rFonts w:hint="eastAsia"/>
                <w:sz w:val="24"/>
              </w:rPr>
              <w:t>单</w:t>
            </w:r>
          </w:p>
          <w:p w14:paraId="47CA3B8D">
            <w:pPr>
              <w:wordWrap w:val="0"/>
              <w:rPr>
                <w:sz w:val="24"/>
              </w:rPr>
            </w:pPr>
            <w:r>
              <w:rPr>
                <w:rFonts w:hint="eastAsia"/>
                <w:sz w:val="24"/>
              </w:rPr>
              <w:t>位</w:t>
            </w:r>
          </w:p>
          <w:p w14:paraId="345B70CE">
            <w:pPr>
              <w:wordWrap w:val="0"/>
              <w:rPr>
                <w:sz w:val="24"/>
              </w:rPr>
            </w:pPr>
            <w:r>
              <w:rPr>
                <w:rFonts w:hint="eastAsia"/>
                <w:sz w:val="24"/>
              </w:rPr>
              <w:t>概</w:t>
            </w:r>
          </w:p>
          <w:p w14:paraId="33036DD9">
            <w:pPr>
              <w:wordWrap w:val="0"/>
              <w:rPr>
                <w:sz w:val="24"/>
              </w:rPr>
            </w:pPr>
            <w:r>
              <w:rPr>
                <w:rFonts w:hint="eastAsia"/>
                <w:sz w:val="24"/>
              </w:rPr>
              <w:t>况</w:t>
            </w:r>
          </w:p>
          <w:p w14:paraId="2599DD99">
            <w:pPr>
              <w:wordWrap w:val="0"/>
              <w:rPr>
                <w:sz w:val="24"/>
              </w:rPr>
            </w:pPr>
          </w:p>
          <w:p w14:paraId="1AD7002A">
            <w:pPr>
              <w:wordWrap w:val="0"/>
              <w:rPr>
                <w:sz w:val="24"/>
              </w:rPr>
            </w:pPr>
          </w:p>
          <w:p w14:paraId="452E0CF8">
            <w:pPr>
              <w:wordWrap w:val="0"/>
              <w:rPr>
                <w:sz w:val="24"/>
              </w:rPr>
            </w:pPr>
          </w:p>
        </w:tc>
        <w:tc>
          <w:tcPr>
            <w:tcW w:w="1277" w:type="dxa"/>
            <w:vAlign w:val="center"/>
          </w:tcPr>
          <w:p w14:paraId="12B46B66">
            <w:pPr>
              <w:wordWrap w:val="0"/>
              <w:jc w:val="center"/>
              <w:rPr>
                <w:sz w:val="24"/>
              </w:rPr>
            </w:pPr>
            <w:r>
              <w:rPr>
                <w:rFonts w:hint="eastAsia"/>
                <w:sz w:val="24"/>
              </w:rPr>
              <w:t>单位名称</w:t>
            </w:r>
          </w:p>
        </w:tc>
        <w:tc>
          <w:tcPr>
            <w:tcW w:w="4275" w:type="dxa"/>
            <w:gridSpan w:val="6"/>
            <w:vAlign w:val="center"/>
          </w:tcPr>
          <w:p w14:paraId="2E88F1B6">
            <w:pPr>
              <w:wordWrap w:val="0"/>
              <w:jc w:val="left"/>
              <w:rPr>
                <w:rFonts w:ascii="宋体" w:eastAsia="宋体" w:hAnsi="宋体" w:cs="宋体"/>
                <w:sz w:val="24"/>
              </w:rPr>
            </w:pPr>
            <w:bookmarkStart w:id="37" w:name="cddwmc"/>
            <w:r>
              <w:rPr>
                <w:rFonts w:ascii="宋体" w:eastAsia="宋体" w:hAnsi="宋体" w:cs="宋体"/>
                <w:sz w:val="24"/>
              </w:rPr>
              <w:t>沧州市天津工业大学研究院</w:t>
            </w:r>
            <w:bookmarkEnd w:id="37"/>
          </w:p>
        </w:tc>
        <w:tc>
          <w:tcPr>
            <w:tcW w:w="1417" w:type="dxa"/>
            <w:gridSpan w:val="2"/>
            <w:vAlign w:val="center"/>
          </w:tcPr>
          <w:p w14:paraId="56AD9BCC">
            <w:pPr>
              <w:wordWrap w:val="0"/>
              <w:jc w:val="center"/>
              <w:rPr>
                <w:sz w:val="24"/>
              </w:rPr>
            </w:pPr>
            <w:r>
              <w:rPr>
                <w:rFonts w:hint="eastAsia"/>
                <w:sz w:val="24"/>
              </w:rPr>
              <w:t>法定代表人</w:t>
            </w:r>
          </w:p>
        </w:tc>
        <w:tc>
          <w:tcPr>
            <w:tcW w:w="3164" w:type="dxa"/>
            <w:gridSpan w:val="3"/>
            <w:vAlign w:val="center"/>
          </w:tcPr>
          <w:p w14:paraId="5D3EC24A">
            <w:pPr>
              <w:wordWrap w:val="0"/>
              <w:jc w:val="center"/>
              <w:rPr>
                <w:rFonts w:ascii="宋体" w:eastAsia="宋体" w:hAnsi="宋体" w:cs="宋体"/>
                <w:sz w:val="24"/>
              </w:rPr>
            </w:pPr>
            <w:bookmarkStart w:id="38" w:name="cddwfr1"/>
            <w:r>
              <w:rPr>
                <w:rFonts w:ascii="宋体" w:eastAsia="宋体" w:hAnsi="宋体" w:cs="宋体"/>
                <w:sz w:val="24"/>
              </w:rPr>
              <w:t>魏俊富</w:t>
            </w:r>
            <w:bookmarkEnd w:id="38"/>
          </w:p>
        </w:tc>
      </w:tr>
      <w:tr w14:paraId="7C46B2CD">
        <w:tblPrEx>
          <w:tblW w:w="10635" w:type="dxa"/>
          <w:jc w:val="center"/>
          <w:tblLayout w:type="fixed"/>
          <w:tblCellMar>
            <w:top w:w="0" w:type="dxa"/>
            <w:left w:w="108" w:type="dxa"/>
            <w:bottom w:w="0" w:type="dxa"/>
            <w:right w:w="108" w:type="dxa"/>
          </w:tblCellMar>
        </w:tblPrEx>
        <w:trPr>
          <w:cantSplit/>
          <w:trHeight w:val="561"/>
          <w:jc w:val="center"/>
        </w:trPr>
        <w:tc>
          <w:tcPr>
            <w:tcW w:w="502" w:type="dxa"/>
            <w:vMerge/>
          </w:tcPr>
          <w:p w14:paraId="4D5C45F4">
            <w:pPr>
              <w:wordWrap w:val="0"/>
              <w:rPr>
                <w:sz w:val="24"/>
              </w:rPr>
            </w:pPr>
          </w:p>
        </w:tc>
        <w:tc>
          <w:tcPr>
            <w:tcW w:w="1277" w:type="dxa"/>
            <w:vAlign w:val="center"/>
          </w:tcPr>
          <w:p w14:paraId="67F46E37">
            <w:pPr>
              <w:wordWrap w:val="0"/>
              <w:jc w:val="center"/>
              <w:rPr>
                <w:sz w:val="24"/>
              </w:rPr>
            </w:pPr>
            <w:r>
              <w:rPr>
                <w:rFonts w:hint="eastAsia"/>
                <w:sz w:val="24"/>
              </w:rPr>
              <w:t>单位地址</w:t>
            </w:r>
          </w:p>
        </w:tc>
        <w:tc>
          <w:tcPr>
            <w:tcW w:w="4275" w:type="dxa"/>
            <w:gridSpan w:val="6"/>
            <w:vAlign w:val="center"/>
          </w:tcPr>
          <w:p w14:paraId="2735263F">
            <w:pPr>
              <w:wordWrap w:val="0"/>
              <w:jc w:val="left"/>
              <w:rPr>
                <w:rFonts w:ascii="宋体" w:eastAsia="宋体" w:hAnsi="宋体" w:cs="宋体"/>
                <w:sz w:val="24"/>
              </w:rPr>
            </w:pPr>
            <w:bookmarkStart w:id="39" w:name="cddwdz1"/>
            <w:r>
              <w:rPr>
                <w:rFonts w:ascii="宋体" w:eastAsia="宋体" w:hAnsi="宋体" w:cs="宋体"/>
                <w:sz w:val="24"/>
              </w:rPr>
              <w:t>沧州高新区丰台园13号东侧</w:t>
            </w:r>
            <w:bookmarkEnd w:id="39"/>
          </w:p>
        </w:tc>
        <w:tc>
          <w:tcPr>
            <w:tcW w:w="1417" w:type="dxa"/>
            <w:gridSpan w:val="2"/>
            <w:vAlign w:val="center"/>
          </w:tcPr>
          <w:p w14:paraId="3D0918CD">
            <w:pPr>
              <w:wordWrap w:val="0"/>
              <w:jc w:val="center"/>
              <w:rPr>
                <w:sz w:val="24"/>
              </w:rPr>
            </w:pPr>
            <w:r>
              <w:rPr>
                <w:rFonts w:hint="eastAsia"/>
                <w:sz w:val="24"/>
              </w:rPr>
              <w:t>注册（纳税）地区</w:t>
            </w:r>
          </w:p>
        </w:tc>
        <w:tc>
          <w:tcPr>
            <w:tcW w:w="3164" w:type="dxa"/>
            <w:gridSpan w:val="3"/>
            <w:vAlign w:val="center"/>
          </w:tcPr>
          <w:p w14:paraId="2109491D">
            <w:pPr>
              <w:wordWrap w:val="0"/>
              <w:jc w:val="center"/>
              <w:rPr>
                <w:rFonts w:ascii="宋体" w:eastAsia="宋体" w:hAnsi="宋体" w:cs="宋体"/>
                <w:sz w:val="24"/>
              </w:rPr>
            </w:pPr>
            <w:bookmarkStart w:id="40" w:name="cddwssdq"/>
            <w:r>
              <w:rPr>
                <w:rFonts w:ascii="宋体" w:eastAsia="宋体" w:hAnsi="宋体" w:cs="宋体"/>
                <w:sz w:val="24"/>
              </w:rPr>
              <w:t>河北省-沧州市-沧州高新技术产业开发区</w:t>
            </w:r>
            <w:bookmarkEnd w:id="40"/>
          </w:p>
        </w:tc>
      </w:tr>
      <w:tr w14:paraId="7FCABC74">
        <w:tblPrEx>
          <w:tblW w:w="10635" w:type="dxa"/>
          <w:jc w:val="center"/>
          <w:tblLayout w:type="fixed"/>
          <w:tblCellMar>
            <w:top w:w="0" w:type="dxa"/>
            <w:left w:w="108" w:type="dxa"/>
            <w:bottom w:w="0" w:type="dxa"/>
            <w:right w:w="108" w:type="dxa"/>
          </w:tblCellMar>
        </w:tblPrEx>
        <w:trPr>
          <w:cantSplit/>
          <w:trHeight w:val="492"/>
          <w:jc w:val="center"/>
        </w:trPr>
        <w:tc>
          <w:tcPr>
            <w:tcW w:w="502" w:type="dxa"/>
            <w:vMerge/>
          </w:tcPr>
          <w:p w14:paraId="3F465770">
            <w:pPr>
              <w:wordWrap w:val="0"/>
              <w:rPr>
                <w:sz w:val="24"/>
              </w:rPr>
            </w:pPr>
          </w:p>
        </w:tc>
        <w:tc>
          <w:tcPr>
            <w:tcW w:w="1277" w:type="dxa"/>
            <w:vAlign w:val="center"/>
          </w:tcPr>
          <w:p w14:paraId="08952BFF">
            <w:pPr>
              <w:wordWrap w:val="0"/>
              <w:rPr>
                <w:sz w:val="24"/>
              </w:rPr>
            </w:pPr>
            <w:r>
              <w:rPr>
                <w:sz w:val="24"/>
              </w:rPr>
              <w:t>统一社会信用代码</w:t>
            </w:r>
          </w:p>
        </w:tc>
        <w:tc>
          <w:tcPr>
            <w:tcW w:w="8856" w:type="dxa"/>
            <w:gridSpan w:val="11"/>
            <w:vAlign w:val="center"/>
          </w:tcPr>
          <w:p w14:paraId="5DC593FA">
            <w:pPr>
              <w:wordWrap w:val="0"/>
              <w:rPr>
                <w:rFonts w:ascii="宋体" w:eastAsia="宋体" w:hAnsi="宋体" w:cs="宋体"/>
                <w:sz w:val="24"/>
              </w:rPr>
            </w:pPr>
            <w:bookmarkStart w:id="41" w:name="cddwxydm"/>
            <w:r>
              <w:rPr>
                <w:rFonts w:ascii="宋体" w:eastAsia="宋体" w:hAnsi="宋体" w:cs="宋体"/>
                <w:sz w:val="24"/>
              </w:rPr>
              <w:t>12130900MB1L19626Q</w:t>
            </w:r>
            <w:bookmarkEnd w:id="41"/>
          </w:p>
        </w:tc>
      </w:tr>
      <w:tr w14:paraId="1E76262A">
        <w:tblPrEx>
          <w:tblW w:w="10635" w:type="dxa"/>
          <w:jc w:val="center"/>
          <w:tblLayout w:type="fixed"/>
          <w:tblCellMar>
            <w:top w:w="0" w:type="dxa"/>
            <w:left w:w="108" w:type="dxa"/>
            <w:bottom w:w="0" w:type="dxa"/>
            <w:right w:w="108" w:type="dxa"/>
          </w:tblCellMar>
        </w:tblPrEx>
        <w:trPr>
          <w:cantSplit/>
          <w:trHeight w:val="402"/>
          <w:jc w:val="center"/>
        </w:trPr>
        <w:tc>
          <w:tcPr>
            <w:tcW w:w="502" w:type="dxa"/>
            <w:vMerge/>
          </w:tcPr>
          <w:p w14:paraId="1FAC97CB">
            <w:pPr>
              <w:wordWrap w:val="0"/>
              <w:rPr>
                <w:sz w:val="24"/>
              </w:rPr>
            </w:pPr>
          </w:p>
        </w:tc>
        <w:tc>
          <w:tcPr>
            <w:tcW w:w="1277" w:type="dxa"/>
            <w:vAlign w:val="center"/>
          </w:tcPr>
          <w:p w14:paraId="3B47FEB8">
            <w:pPr>
              <w:wordWrap w:val="0"/>
              <w:jc w:val="center"/>
              <w:rPr>
                <w:sz w:val="24"/>
              </w:rPr>
            </w:pPr>
            <w:r>
              <w:rPr>
                <w:rFonts w:hint="eastAsia"/>
                <w:sz w:val="24"/>
              </w:rPr>
              <w:t>开户名称</w:t>
            </w:r>
          </w:p>
        </w:tc>
        <w:tc>
          <w:tcPr>
            <w:tcW w:w="4275" w:type="dxa"/>
            <w:gridSpan w:val="6"/>
            <w:vAlign w:val="center"/>
          </w:tcPr>
          <w:p w14:paraId="5403A69E">
            <w:pPr>
              <w:wordWrap w:val="0"/>
              <w:rPr>
                <w:rFonts w:ascii="宋体" w:eastAsia="宋体" w:hAnsi="宋体" w:cs="宋体"/>
                <w:sz w:val="24"/>
              </w:rPr>
            </w:pPr>
            <w:bookmarkStart w:id="42" w:name="cddwkhmc"/>
            <w:r>
              <w:rPr>
                <w:rFonts w:ascii="宋体" w:eastAsia="宋体" w:hAnsi="宋体" w:cs="宋体"/>
                <w:sz w:val="24"/>
              </w:rPr>
              <w:t>沧州市天津工业大学研究院</w:t>
            </w:r>
            <w:bookmarkEnd w:id="42"/>
          </w:p>
        </w:tc>
        <w:tc>
          <w:tcPr>
            <w:tcW w:w="1417" w:type="dxa"/>
            <w:gridSpan w:val="2"/>
            <w:vAlign w:val="center"/>
          </w:tcPr>
          <w:p w14:paraId="2B1BEA12">
            <w:pPr>
              <w:wordWrap w:val="0"/>
              <w:jc w:val="center"/>
              <w:rPr>
                <w:sz w:val="24"/>
              </w:rPr>
            </w:pPr>
            <w:r>
              <w:rPr>
                <w:sz w:val="24"/>
              </w:rPr>
              <w:t>开户银行</w:t>
            </w:r>
          </w:p>
          <w:p w14:paraId="68EF72E1">
            <w:pPr>
              <w:wordWrap w:val="0"/>
              <w:jc w:val="center"/>
              <w:rPr>
                <w:sz w:val="24"/>
              </w:rPr>
            </w:pPr>
            <w:r>
              <w:rPr>
                <w:sz w:val="24"/>
              </w:rPr>
              <w:t>行号</w:t>
            </w:r>
          </w:p>
        </w:tc>
        <w:tc>
          <w:tcPr>
            <w:tcW w:w="3164" w:type="dxa"/>
            <w:gridSpan w:val="3"/>
            <w:vAlign w:val="center"/>
          </w:tcPr>
          <w:p w14:paraId="4517005F">
            <w:pPr>
              <w:wordWrap w:val="0"/>
              <w:rPr>
                <w:rFonts w:ascii="宋体" w:eastAsia="宋体" w:hAnsi="宋体" w:cs="宋体"/>
                <w:sz w:val="24"/>
              </w:rPr>
            </w:pPr>
            <w:bookmarkStart w:id="43" w:name="cddwhh"/>
            <w:r>
              <w:rPr>
                <w:rFonts w:ascii="宋体" w:eastAsia="宋体" w:hAnsi="宋体" w:cs="宋体"/>
                <w:sz w:val="24"/>
              </w:rPr>
              <w:t>104143000127</w:t>
            </w:r>
            <w:bookmarkEnd w:id="43"/>
          </w:p>
        </w:tc>
      </w:tr>
      <w:tr w14:paraId="5E60B7A0">
        <w:tblPrEx>
          <w:tblW w:w="10635" w:type="dxa"/>
          <w:jc w:val="center"/>
          <w:tblLayout w:type="fixed"/>
          <w:tblCellMar>
            <w:top w:w="0" w:type="dxa"/>
            <w:left w:w="108" w:type="dxa"/>
            <w:bottom w:w="0" w:type="dxa"/>
            <w:right w:w="108" w:type="dxa"/>
          </w:tblCellMar>
        </w:tblPrEx>
        <w:trPr>
          <w:cantSplit/>
          <w:trHeight w:val="543"/>
          <w:jc w:val="center"/>
        </w:trPr>
        <w:tc>
          <w:tcPr>
            <w:tcW w:w="502" w:type="dxa"/>
            <w:vMerge/>
          </w:tcPr>
          <w:p w14:paraId="35A2D115">
            <w:pPr>
              <w:wordWrap w:val="0"/>
              <w:rPr>
                <w:sz w:val="24"/>
              </w:rPr>
            </w:pPr>
          </w:p>
        </w:tc>
        <w:tc>
          <w:tcPr>
            <w:tcW w:w="1277" w:type="dxa"/>
            <w:vAlign w:val="center"/>
          </w:tcPr>
          <w:p w14:paraId="423BD278">
            <w:pPr>
              <w:wordWrap w:val="0"/>
              <w:jc w:val="center"/>
              <w:rPr>
                <w:sz w:val="24"/>
              </w:rPr>
            </w:pPr>
            <w:r>
              <w:rPr>
                <w:rFonts w:hint="eastAsia"/>
                <w:sz w:val="24"/>
              </w:rPr>
              <w:t>开户银行</w:t>
            </w:r>
          </w:p>
        </w:tc>
        <w:tc>
          <w:tcPr>
            <w:tcW w:w="4275" w:type="dxa"/>
            <w:gridSpan w:val="6"/>
            <w:vAlign w:val="center"/>
          </w:tcPr>
          <w:p w14:paraId="0C061625">
            <w:pPr>
              <w:wordWrap w:val="0"/>
              <w:jc w:val="center"/>
              <w:rPr>
                <w:rFonts w:ascii="宋体" w:eastAsia="宋体" w:hAnsi="宋体" w:cs="宋体"/>
                <w:sz w:val="24"/>
              </w:rPr>
            </w:pPr>
            <w:bookmarkStart w:id="44" w:name="cddwkhh"/>
            <w:r>
              <w:rPr>
                <w:rFonts w:ascii="宋体" w:eastAsia="宋体" w:hAnsi="宋体" w:cs="宋体"/>
                <w:sz w:val="24"/>
              </w:rPr>
              <w:t>中国银行沧州市解放路支行</w:t>
            </w:r>
            <w:bookmarkEnd w:id="44"/>
          </w:p>
        </w:tc>
        <w:tc>
          <w:tcPr>
            <w:tcW w:w="1417" w:type="dxa"/>
            <w:gridSpan w:val="2"/>
            <w:vAlign w:val="center"/>
          </w:tcPr>
          <w:p w14:paraId="608C4708">
            <w:pPr>
              <w:wordWrap w:val="0"/>
              <w:jc w:val="center"/>
              <w:rPr>
                <w:sz w:val="24"/>
              </w:rPr>
            </w:pPr>
            <w:r>
              <w:rPr>
                <w:rFonts w:hint="eastAsia"/>
                <w:sz w:val="24"/>
              </w:rPr>
              <w:t>帐号</w:t>
            </w:r>
          </w:p>
        </w:tc>
        <w:tc>
          <w:tcPr>
            <w:tcW w:w="3164" w:type="dxa"/>
            <w:gridSpan w:val="3"/>
            <w:vAlign w:val="center"/>
          </w:tcPr>
          <w:p w14:paraId="008DE397">
            <w:pPr>
              <w:wordWrap w:val="0"/>
              <w:rPr>
                <w:rFonts w:ascii="宋体" w:eastAsia="宋体" w:hAnsi="宋体" w:cs="宋体"/>
                <w:sz w:val="24"/>
              </w:rPr>
            </w:pPr>
            <w:bookmarkStart w:id="45" w:name="cddwzh"/>
            <w:r>
              <w:rPr>
                <w:rFonts w:ascii="宋体" w:eastAsia="宋体" w:hAnsi="宋体" w:cs="宋体"/>
                <w:sz w:val="24"/>
              </w:rPr>
              <w:t>101210203993</w:t>
            </w:r>
            <w:bookmarkEnd w:id="45"/>
          </w:p>
        </w:tc>
      </w:tr>
      <w:tr w14:paraId="027FBA91">
        <w:tblPrEx>
          <w:tblW w:w="10635" w:type="dxa"/>
          <w:jc w:val="center"/>
          <w:tblLayout w:type="fixed"/>
          <w:tblCellMar>
            <w:top w:w="0" w:type="dxa"/>
            <w:left w:w="108" w:type="dxa"/>
            <w:bottom w:w="0" w:type="dxa"/>
            <w:right w:w="108" w:type="dxa"/>
          </w:tblCellMar>
        </w:tblPrEx>
        <w:trPr>
          <w:cantSplit/>
          <w:trHeight w:val="135"/>
          <w:jc w:val="center"/>
        </w:trPr>
        <w:tc>
          <w:tcPr>
            <w:tcW w:w="502" w:type="dxa"/>
            <w:vMerge/>
          </w:tcPr>
          <w:p w14:paraId="3F714F91">
            <w:pPr>
              <w:wordWrap w:val="0"/>
              <w:rPr>
                <w:sz w:val="24"/>
              </w:rPr>
            </w:pPr>
          </w:p>
        </w:tc>
        <w:tc>
          <w:tcPr>
            <w:tcW w:w="1277" w:type="dxa"/>
            <w:tcBorders>
              <w:bottom w:val="single" w:sz="4" w:space="0" w:color="auto"/>
            </w:tcBorders>
            <w:vAlign w:val="center"/>
          </w:tcPr>
          <w:p w14:paraId="790635D4">
            <w:pPr>
              <w:wordWrap w:val="0"/>
              <w:jc w:val="center"/>
              <w:rPr>
                <w:sz w:val="24"/>
              </w:rPr>
            </w:pPr>
            <w:r>
              <w:rPr>
                <w:rFonts w:hint="eastAsia"/>
                <w:sz w:val="24"/>
              </w:rPr>
              <w:t>职工总数</w:t>
            </w:r>
          </w:p>
        </w:tc>
        <w:tc>
          <w:tcPr>
            <w:tcW w:w="1962" w:type="dxa"/>
            <w:gridSpan w:val="3"/>
            <w:tcBorders>
              <w:bottom w:val="single" w:sz="4" w:space="0" w:color="auto"/>
            </w:tcBorders>
            <w:vAlign w:val="center"/>
          </w:tcPr>
          <w:p w14:paraId="7E4C0324">
            <w:pPr>
              <w:wordWrap w:val="0"/>
              <w:jc w:val="center"/>
              <w:rPr>
                <w:sz w:val="24"/>
              </w:rPr>
            </w:pPr>
            <w:bookmarkStart w:id="46" w:name="cddwzrs"/>
            <w:r>
              <w:rPr>
                <w:rFonts w:ascii="宋体" w:eastAsia="宋体" w:hAnsi="宋体" w:cs="宋体" w:hint="eastAsia"/>
                <w:sz w:val="24"/>
              </w:rPr>
              <w:t>66</w:t>
            </w:r>
            <w:bookmarkEnd w:id="46"/>
            <w:r>
              <w:rPr>
                <w:rFonts w:hint="eastAsia"/>
                <w:sz w:val="24"/>
              </w:rPr>
              <w:t>人</w:t>
            </w:r>
          </w:p>
        </w:tc>
        <w:tc>
          <w:tcPr>
            <w:tcW w:w="1440" w:type="dxa"/>
            <w:tcBorders>
              <w:bottom w:val="single" w:sz="4" w:space="0" w:color="auto"/>
            </w:tcBorders>
            <w:vAlign w:val="center"/>
          </w:tcPr>
          <w:p w14:paraId="45218978">
            <w:pPr>
              <w:wordWrap w:val="0"/>
              <w:jc w:val="center"/>
              <w:rPr>
                <w:sz w:val="24"/>
              </w:rPr>
            </w:pPr>
            <w:r>
              <w:rPr>
                <w:rFonts w:hint="eastAsia"/>
                <w:sz w:val="24"/>
              </w:rPr>
              <w:t>技术人员数</w:t>
            </w:r>
          </w:p>
        </w:tc>
        <w:tc>
          <w:tcPr>
            <w:tcW w:w="873" w:type="dxa"/>
            <w:gridSpan w:val="2"/>
            <w:tcBorders>
              <w:bottom w:val="single" w:sz="4" w:space="0" w:color="auto"/>
            </w:tcBorders>
            <w:vAlign w:val="center"/>
          </w:tcPr>
          <w:p w14:paraId="32A39125">
            <w:pPr>
              <w:wordWrap w:val="0"/>
              <w:jc w:val="center"/>
              <w:rPr>
                <w:sz w:val="24"/>
              </w:rPr>
            </w:pPr>
            <w:bookmarkStart w:id="47" w:name="cddwjjsry"/>
            <w:r>
              <w:rPr>
                <w:rFonts w:ascii="宋体" w:eastAsia="宋体" w:hAnsi="宋体" w:cs="宋体" w:hint="eastAsia"/>
                <w:sz w:val="24"/>
              </w:rPr>
              <w:t>60</w:t>
            </w:r>
            <w:bookmarkEnd w:id="47"/>
            <w:r>
              <w:rPr>
                <w:rFonts w:hint="eastAsia"/>
                <w:sz w:val="24"/>
              </w:rPr>
              <w:t>人</w:t>
            </w:r>
          </w:p>
        </w:tc>
        <w:tc>
          <w:tcPr>
            <w:tcW w:w="1417" w:type="dxa"/>
            <w:gridSpan w:val="2"/>
            <w:tcBorders>
              <w:bottom w:val="single" w:sz="4" w:space="0" w:color="auto"/>
            </w:tcBorders>
            <w:vAlign w:val="center"/>
          </w:tcPr>
          <w:p w14:paraId="4803F608">
            <w:pPr>
              <w:wordWrap w:val="0"/>
              <w:ind w:left="480" w:hanging="480" w:hangingChars="200"/>
              <w:jc w:val="center"/>
              <w:rPr>
                <w:sz w:val="24"/>
              </w:rPr>
            </w:pPr>
            <w:r>
              <w:rPr>
                <w:rFonts w:hint="eastAsia"/>
                <w:sz w:val="24"/>
              </w:rPr>
              <w:t>中高级</w:t>
            </w:r>
          </w:p>
          <w:p w14:paraId="5B027695">
            <w:pPr>
              <w:wordWrap w:val="0"/>
              <w:ind w:left="480" w:hanging="480" w:hangingChars="200"/>
              <w:jc w:val="center"/>
              <w:rPr>
                <w:sz w:val="24"/>
              </w:rPr>
            </w:pPr>
            <w:r>
              <w:rPr>
                <w:rFonts w:hint="eastAsia"/>
                <w:sz w:val="24"/>
              </w:rPr>
              <w:t>技术人员数</w:t>
            </w:r>
          </w:p>
        </w:tc>
        <w:tc>
          <w:tcPr>
            <w:tcW w:w="3164" w:type="dxa"/>
            <w:gridSpan w:val="3"/>
            <w:tcBorders>
              <w:bottom w:val="single" w:sz="4" w:space="0" w:color="auto"/>
            </w:tcBorders>
            <w:vAlign w:val="center"/>
          </w:tcPr>
          <w:p w14:paraId="088C1EA1">
            <w:pPr>
              <w:wordWrap w:val="0"/>
              <w:jc w:val="center"/>
              <w:rPr>
                <w:sz w:val="24"/>
              </w:rPr>
            </w:pPr>
            <w:bookmarkStart w:id="48" w:name="cddwzgjry"/>
            <w:r>
              <w:rPr>
                <w:rFonts w:ascii="宋体" w:eastAsia="宋体" w:hAnsi="宋体" w:cs="宋体" w:hint="eastAsia"/>
                <w:sz w:val="24"/>
              </w:rPr>
              <w:t>60</w:t>
            </w:r>
            <w:bookmarkEnd w:id="48"/>
            <w:r>
              <w:rPr>
                <w:rFonts w:hint="eastAsia"/>
                <w:sz w:val="24"/>
              </w:rPr>
              <w:t>人</w:t>
            </w:r>
          </w:p>
        </w:tc>
      </w:tr>
      <w:tr w14:paraId="6B877D5F">
        <w:tblPrEx>
          <w:tblW w:w="10635" w:type="dxa"/>
          <w:jc w:val="center"/>
          <w:tblLayout w:type="fixed"/>
          <w:tblCellMar>
            <w:top w:w="0" w:type="dxa"/>
            <w:left w:w="108" w:type="dxa"/>
            <w:bottom w:w="0" w:type="dxa"/>
            <w:right w:w="108" w:type="dxa"/>
          </w:tblCellMar>
        </w:tblPrEx>
        <w:trPr>
          <w:cantSplit/>
          <w:trHeight w:val="135"/>
          <w:jc w:val="center"/>
        </w:trPr>
        <w:tc>
          <w:tcPr>
            <w:tcW w:w="502" w:type="dxa"/>
            <w:vMerge/>
          </w:tcPr>
          <w:p w14:paraId="7925095D">
            <w:pPr>
              <w:wordWrap w:val="0"/>
              <w:rPr>
                <w:sz w:val="24"/>
              </w:rPr>
            </w:pPr>
          </w:p>
        </w:tc>
        <w:tc>
          <w:tcPr>
            <w:tcW w:w="1277" w:type="dxa"/>
            <w:tcBorders>
              <w:bottom w:val="single" w:sz="4" w:space="0" w:color="auto"/>
            </w:tcBorders>
            <w:vAlign w:val="center"/>
          </w:tcPr>
          <w:p w14:paraId="1CE539F0">
            <w:pPr>
              <w:wordWrap w:val="0"/>
              <w:jc w:val="center"/>
              <w:rPr>
                <w:sz w:val="24"/>
              </w:rPr>
            </w:pPr>
            <w:r>
              <w:rPr>
                <w:rFonts w:hint="eastAsia"/>
                <w:sz w:val="24"/>
              </w:rPr>
              <w:t>是否为省级以上高新技术</w:t>
            </w:r>
          </w:p>
          <w:p w14:paraId="20EC6E0D">
            <w:pPr>
              <w:wordWrap w:val="0"/>
              <w:jc w:val="center"/>
              <w:rPr>
                <w:sz w:val="24"/>
              </w:rPr>
            </w:pPr>
            <w:r>
              <w:rPr>
                <w:rFonts w:hint="eastAsia"/>
                <w:sz w:val="24"/>
              </w:rPr>
              <w:t>企业</w:t>
            </w:r>
          </w:p>
        </w:tc>
        <w:tc>
          <w:tcPr>
            <w:tcW w:w="1962" w:type="dxa"/>
            <w:gridSpan w:val="3"/>
            <w:tcBorders>
              <w:bottom w:val="single" w:sz="4" w:space="0" w:color="auto"/>
            </w:tcBorders>
            <w:vAlign w:val="center"/>
          </w:tcPr>
          <w:p w14:paraId="2946B59A">
            <w:pPr>
              <w:wordWrap w:val="0"/>
              <w:jc w:val="center"/>
              <w:rPr>
                <w:rFonts w:ascii="宋体" w:eastAsia="宋体" w:hAnsi="宋体" w:cs="宋体"/>
                <w:sz w:val="24"/>
              </w:rPr>
            </w:pPr>
            <w:bookmarkStart w:id="49" w:name="cddwgx"/>
            <w:r>
              <w:rPr>
                <w:rFonts w:ascii="宋体" w:eastAsia="宋体" w:hAnsi="宋体" w:cs="宋体"/>
                <w:sz w:val="24"/>
              </w:rPr>
              <w:t>否</w:t>
            </w:r>
            <w:bookmarkEnd w:id="49"/>
          </w:p>
        </w:tc>
        <w:tc>
          <w:tcPr>
            <w:tcW w:w="1440" w:type="dxa"/>
            <w:tcBorders>
              <w:bottom w:val="single" w:sz="4" w:space="0" w:color="auto"/>
            </w:tcBorders>
            <w:vAlign w:val="center"/>
          </w:tcPr>
          <w:p w14:paraId="18B1965C">
            <w:pPr>
              <w:wordWrap w:val="0"/>
              <w:jc w:val="center"/>
              <w:rPr>
                <w:sz w:val="24"/>
              </w:rPr>
            </w:pPr>
            <w:r>
              <w:rPr>
                <w:rFonts w:hint="eastAsia"/>
                <w:sz w:val="24"/>
              </w:rPr>
              <w:t>是否为省级以上科技型中小企业</w:t>
            </w:r>
          </w:p>
        </w:tc>
        <w:tc>
          <w:tcPr>
            <w:tcW w:w="873" w:type="dxa"/>
            <w:gridSpan w:val="2"/>
            <w:tcBorders>
              <w:bottom w:val="single" w:sz="4" w:space="0" w:color="auto"/>
            </w:tcBorders>
            <w:vAlign w:val="center"/>
          </w:tcPr>
          <w:p w14:paraId="6FE210D9">
            <w:pPr>
              <w:wordWrap w:val="0"/>
              <w:jc w:val="center"/>
              <w:rPr>
                <w:rFonts w:ascii="宋体" w:eastAsia="宋体" w:hAnsi="宋体" w:cs="宋体"/>
                <w:sz w:val="24"/>
              </w:rPr>
            </w:pPr>
            <w:bookmarkStart w:id="50" w:name="cddwkx"/>
            <w:r>
              <w:rPr>
                <w:rFonts w:ascii="宋体" w:eastAsia="宋体" w:hAnsi="宋体" w:cs="宋体"/>
                <w:sz w:val="24"/>
              </w:rPr>
              <w:t>否</w:t>
            </w:r>
            <w:bookmarkEnd w:id="50"/>
          </w:p>
        </w:tc>
        <w:tc>
          <w:tcPr>
            <w:tcW w:w="1417" w:type="dxa"/>
            <w:gridSpan w:val="2"/>
            <w:tcBorders>
              <w:bottom w:val="single" w:sz="4" w:space="0" w:color="auto"/>
            </w:tcBorders>
            <w:vAlign w:val="center"/>
          </w:tcPr>
          <w:p w14:paraId="4EAD5555">
            <w:pPr>
              <w:wordWrap w:val="0"/>
              <w:ind w:left="480" w:hanging="480" w:hangingChars="200"/>
              <w:jc w:val="center"/>
              <w:rPr>
                <w:sz w:val="24"/>
              </w:rPr>
            </w:pPr>
            <w:r>
              <w:rPr>
                <w:rFonts w:hint="eastAsia"/>
                <w:sz w:val="24"/>
              </w:rPr>
              <w:t>所属园区</w:t>
            </w:r>
          </w:p>
        </w:tc>
        <w:tc>
          <w:tcPr>
            <w:tcW w:w="3164" w:type="dxa"/>
            <w:gridSpan w:val="3"/>
            <w:tcBorders>
              <w:bottom w:val="single" w:sz="4" w:space="0" w:color="auto"/>
            </w:tcBorders>
            <w:vAlign w:val="center"/>
          </w:tcPr>
          <w:p w14:paraId="6AAF8B7F">
            <w:pPr>
              <w:wordWrap w:val="0"/>
              <w:jc w:val="center"/>
              <w:rPr>
                <w:rFonts w:ascii="宋体" w:eastAsia="宋体" w:hAnsi="宋体" w:cs="宋体"/>
                <w:sz w:val="24"/>
              </w:rPr>
            </w:pPr>
            <w:bookmarkStart w:id="51" w:name="cddwyq"/>
            <w:r>
              <w:rPr>
                <w:rFonts w:ascii="宋体" w:eastAsia="宋体" w:hAnsi="宋体" w:cs="宋体"/>
                <w:sz w:val="24"/>
              </w:rPr>
              <w:t>沧州市-沧州高新区</w:t>
            </w:r>
            <w:bookmarkEnd w:id="51"/>
          </w:p>
        </w:tc>
      </w:tr>
      <w:tr w14:paraId="6B85B231">
        <w:tblPrEx>
          <w:tblW w:w="10635" w:type="dxa"/>
          <w:jc w:val="center"/>
          <w:tblLayout w:type="fixed"/>
          <w:tblCellMar>
            <w:top w:w="0" w:type="dxa"/>
            <w:left w:w="108" w:type="dxa"/>
            <w:bottom w:w="0" w:type="dxa"/>
            <w:right w:w="108" w:type="dxa"/>
          </w:tblCellMar>
        </w:tblPrEx>
        <w:trPr>
          <w:cantSplit/>
          <w:trHeight w:val="574"/>
          <w:jc w:val="center"/>
        </w:trPr>
        <w:tc>
          <w:tcPr>
            <w:tcW w:w="502" w:type="dxa"/>
            <w:vMerge/>
          </w:tcPr>
          <w:p w14:paraId="47E1977A">
            <w:pPr>
              <w:wordWrap w:val="0"/>
              <w:rPr>
                <w:sz w:val="24"/>
              </w:rPr>
            </w:pPr>
          </w:p>
        </w:tc>
        <w:tc>
          <w:tcPr>
            <w:tcW w:w="3239" w:type="dxa"/>
            <w:gridSpan w:val="4"/>
            <w:vAlign w:val="center"/>
          </w:tcPr>
          <w:p w14:paraId="347D07CD">
            <w:pPr>
              <w:wordWrap w:val="0"/>
              <w:jc w:val="center"/>
              <w:rPr>
                <w:sz w:val="24"/>
              </w:rPr>
            </w:pPr>
            <w:r>
              <w:rPr>
                <w:rFonts w:hint="eastAsia"/>
                <w:sz w:val="24"/>
              </w:rPr>
              <w:t>上年度单位研发投入</w:t>
            </w:r>
          </w:p>
        </w:tc>
        <w:tc>
          <w:tcPr>
            <w:tcW w:w="2313" w:type="dxa"/>
            <w:gridSpan w:val="3"/>
            <w:vAlign w:val="center"/>
          </w:tcPr>
          <w:p w14:paraId="3BA10D34">
            <w:pPr>
              <w:wordWrap w:val="0"/>
              <w:jc w:val="center"/>
              <w:rPr>
                <w:sz w:val="24"/>
              </w:rPr>
            </w:pPr>
            <w:r>
              <w:rPr>
                <w:rFonts w:hint="eastAsia"/>
                <w:sz w:val="24"/>
              </w:rPr>
              <w:t>上年度单位销售收入</w:t>
            </w:r>
          </w:p>
        </w:tc>
        <w:tc>
          <w:tcPr>
            <w:tcW w:w="4581" w:type="dxa"/>
            <w:gridSpan w:val="5"/>
            <w:vAlign w:val="center"/>
          </w:tcPr>
          <w:p w14:paraId="2C84538A">
            <w:pPr>
              <w:wordWrap w:val="0"/>
              <w:jc w:val="center"/>
              <w:rPr>
                <w:sz w:val="24"/>
              </w:rPr>
            </w:pPr>
            <w:r>
              <w:rPr>
                <w:rFonts w:hint="eastAsia"/>
                <w:sz w:val="24"/>
              </w:rPr>
              <w:t>上年度单位研发投入 / 销售收入</w:t>
            </w:r>
          </w:p>
        </w:tc>
      </w:tr>
      <w:tr w14:paraId="6AC7D300">
        <w:tblPrEx>
          <w:tblW w:w="10635" w:type="dxa"/>
          <w:jc w:val="center"/>
          <w:tblLayout w:type="fixed"/>
          <w:tblCellMar>
            <w:top w:w="0" w:type="dxa"/>
            <w:left w:w="108" w:type="dxa"/>
            <w:bottom w:w="0" w:type="dxa"/>
            <w:right w:w="108" w:type="dxa"/>
          </w:tblCellMar>
        </w:tblPrEx>
        <w:trPr>
          <w:cantSplit/>
          <w:trHeight w:val="499"/>
          <w:jc w:val="center"/>
        </w:trPr>
        <w:tc>
          <w:tcPr>
            <w:tcW w:w="502" w:type="dxa"/>
            <w:vMerge/>
          </w:tcPr>
          <w:p w14:paraId="0311F292">
            <w:pPr>
              <w:wordWrap w:val="0"/>
              <w:rPr>
                <w:sz w:val="24"/>
              </w:rPr>
            </w:pPr>
          </w:p>
        </w:tc>
        <w:tc>
          <w:tcPr>
            <w:tcW w:w="3239" w:type="dxa"/>
            <w:gridSpan w:val="4"/>
            <w:vAlign w:val="center"/>
          </w:tcPr>
          <w:p w14:paraId="62938CC0">
            <w:pPr>
              <w:wordWrap w:val="0"/>
              <w:jc w:val="center"/>
              <w:rPr>
                <w:sz w:val="24"/>
              </w:rPr>
            </w:pPr>
            <w:bookmarkStart w:id="52" w:name="cddwyftr"/>
            <w:r>
              <w:rPr>
                <w:rFonts w:ascii="宋体" w:eastAsia="宋体" w:hAnsi="宋体" w:cs="宋体" w:hint="eastAsia"/>
                <w:sz w:val="24"/>
              </w:rPr>
              <w:t>1500.0</w:t>
            </w:r>
            <w:bookmarkEnd w:id="52"/>
            <w:r>
              <w:rPr>
                <w:rFonts w:hint="eastAsia"/>
                <w:sz w:val="24"/>
              </w:rPr>
              <w:t>万元</w:t>
            </w:r>
          </w:p>
        </w:tc>
        <w:tc>
          <w:tcPr>
            <w:tcW w:w="2313" w:type="dxa"/>
            <w:gridSpan w:val="3"/>
            <w:vAlign w:val="center"/>
          </w:tcPr>
          <w:p w14:paraId="518B870E">
            <w:pPr>
              <w:wordWrap w:val="0"/>
              <w:jc w:val="center"/>
              <w:rPr>
                <w:sz w:val="24"/>
              </w:rPr>
            </w:pPr>
            <w:bookmarkStart w:id="53" w:name="cddwxssr"/>
            <w:r>
              <w:rPr>
                <w:rFonts w:ascii="宋体" w:eastAsia="宋体" w:hAnsi="宋体" w:cs="宋体" w:hint="eastAsia"/>
                <w:sz w:val="24"/>
              </w:rPr>
              <w:t>0.0</w:t>
            </w:r>
            <w:bookmarkEnd w:id="53"/>
            <w:r>
              <w:rPr>
                <w:rFonts w:hint="eastAsia"/>
                <w:sz w:val="24"/>
              </w:rPr>
              <w:t>万元</w:t>
            </w:r>
          </w:p>
        </w:tc>
        <w:tc>
          <w:tcPr>
            <w:tcW w:w="4581" w:type="dxa"/>
            <w:gridSpan w:val="5"/>
            <w:vAlign w:val="center"/>
          </w:tcPr>
          <w:p w14:paraId="70C904BE">
            <w:pPr>
              <w:wordWrap w:val="0"/>
              <w:jc w:val="center"/>
              <w:rPr>
                <w:sz w:val="24"/>
              </w:rPr>
            </w:pPr>
            <w:bookmarkStart w:id="54" w:name="cddwbl"/>
            <w:r>
              <w:rPr>
                <w:rFonts w:ascii="宋体" w:eastAsia="宋体" w:hAnsi="宋体" w:cs="宋体" w:hint="eastAsia"/>
                <w:sz w:val="24"/>
              </w:rPr>
              <w:t>0</w:t>
            </w:r>
            <w:bookmarkEnd w:id="54"/>
            <w:r>
              <w:rPr>
                <w:rFonts w:hint="eastAsia"/>
                <w:sz w:val="24"/>
              </w:rPr>
              <w:t>%</w:t>
            </w:r>
          </w:p>
        </w:tc>
      </w:tr>
      <w:tr w14:paraId="3C3C25BD">
        <w:tblPrEx>
          <w:tblW w:w="10635" w:type="dxa"/>
          <w:jc w:val="center"/>
          <w:tblLayout w:type="fixed"/>
          <w:tblCellMar>
            <w:top w:w="0" w:type="dxa"/>
            <w:left w:w="108" w:type="dxa"/>
            <w:bottom w:w="0" w:type="dxa"/>
            <w:right w:w="108" w:type="dxa"/>
          </w:tblCellMar>
        </w:tblPrEx>
        <w:trPr>
          <w:cantSplit/>
          <w:trHeight w:val="450"/>
          <w:jc w:val="center"/>
        </w:trPr>
        <w:tc>
          <w:tcPr>
            <w:tcW w:w="502" w:type="dxa"/>
            <w:vMerge/>
          </w:tcPr>
          <w:p w14:paraId="0EF68916">
            <w:pPr>
              <w:wordWrap w:val="0"/>
              <w:rPr>
                <w:sz w:val="24"/>
              </w:rPr>
            </w:pPr>
          </w:p>
        </w:tc>
        <w:tc>
          <w:tcPr>
            <w:tcW w:w="3239" w:type="dxa"/>
            <w:gridSpan w:val="4"/>
            <w:vAlign w:val="center"/>
          </w:tcPr>
          <w:p w14:paraId="22F5BBA1">
            <w:pPr>
              <w:wordWrap w:val="0"/>
              <w:jc w:val="center"/>
              <w:rPr>
                <w:sz w:val="24"/>
              </w:rPr>
            </w:pPr>
            <w:r>
              <w:rPr>
                <w:rFonts w:hint="eastAsia"/>
                <w:sz w:val="24"/>
              </w:rPr>
              <w:t>注册资本</w:t>
            </w:r>
          </w:p>
        </w:tc>
        <w:tc>
          <w:tcPr>
            <w:tcW w:w="1453" w:type="dxa"/>
            <w:gridSpan w:val="2"/>
            <w:vAlign w:val="center"/>
          </w:tcPr>
          <w:p w14:paraId="482BD087">
            <w:pPr>
              <w:wordWrap w:val="0"/>
              <w:jc w:val="center"/>
              <w:rPr>
                <w:sz w:val="24"/>
              </w:rPr>
            </w:pPr>
            <w:bookmarkStart w:id="55" w:name="cddwzczb"/>
            <w:r>
              <w:rPr>
                <w:rFonts w:ascii="宋体" w:eastAsia="宋体" w:hAnsi="宋体" w:cs="宋体" w:hint="eastAsia"/>
                <w:sz w:val="24"/>
              </w:rPr>
              <w:t>500.0</w:t>
            </w:r>
            <w:bookmarkEnd w:id="55"/>
            <w:r>
              <w:rPr>
                <w:rFonts w:hint="eastAsia"/>
                <w:sz w:val="24"/>
              </w:rPr>
              <w:t>万元</w:t>
            </w:r>
          </w:p>
        </w:tc>
        <w:tc>
          <w:tcPr>
            <w:tcW w:w="860" w:type="dxa"/>
            <w:vAlign w:val="center"/>
          </w:tcPr>
          <w:p w14:paraId="53EB97FE">
            <w:pPr>
              <w:wordWrap w:val="0"/>
              <w:jc w:val="center"/>
              <w:rPr>
                <w:sz w:val="24"/>
              </w:rPr>
            </w:pPr>
            <w:r>
              <w:rPr>
                <w:rFonts w:hint="eastAsia"/>
                <w:sz w:val="24"/>
              </w:rPr>
              <w:t>注册时间</w:t>
            </w:r>
          </w:p>
        </w:tc>
        <w:tc>
          <w:tcPr>
            <w:tcW w:w="1417" w:type="dxa"/>
            <w:gridSpan w:val="2"/>
            <w:vAlign w:val="center"/>
          </w:tcPr>
          <w:p w14:paraId="1032DA05">
            <w:pPr>
              <w:wordWrap w:val="0"/>
              <w:jc w:val="center"/>
              <w:rPr>
                <w:rFonts w:ascii="宋体" w:eastAsia="宋体" w:hAnsi="宋体" w:cs="宋体"/>
                <w:sz w:val="24"/>
              </w:rPr>
            </w:pPr>
            <w:bookmarkStart w:id="56" w:name="cddwzcsj"/>
            <w:r>
              <w:rPr>
                <w:rFonts w:ascii="宋体" w:eastAsia="宋体" w:hAnsi="宋体" w:cs="宋体"/>
                <w:sz w:val="24"/>
              </w:rPr>
              <w:t>2022-07-27</w:t>
            </w:r>
            <w:bookmarkEnd w:id="56"/>
          </w:p>
        </w:tc>
        <w:tc>
          <w:tcPr>
            <w:tcW w:w="1514" w:type="dxa"/>
            <w:gridSpan w:val="2"/>
            <w:vAlign w:val="center"/>
          </w:tcPr>
          <w:p w14:paraId="1201D9CF">
            <w:pPr>
              <w:wordWrap w:val="0"/>
              <w:jc w:val="center"/>
              <w:rPr>
                <w:sz w:val="24"/>
              </w:rPr>
            </w:pPr>
            <w:r>
              <w:rPr>
                <w:rFonts w:hint="eastAsia"/>
                <w:sz w:val="24"/>
              </w:rPr>
              <w:t>拥有</w:t>
            </w:r>
          </w:p>
          <w:p w14:paraId="09E2B721">
            <w:pPr>
              <w:wordWrap w:val="0"/>
              <w:jc w:val="center"/>
              <w:rPr>
                <w:sz w:val="24"/>
              </w:rPr>
            </w:pPr>
            <w:r>
              <w:rPr>
                <w:rFonts w:hint="eastAsia"/>
                <w:sz w:val="24"/>
              </w:rPr>
              <w:t>专利数量</w:t>
            </w:r>
          </w:p>
        </w:tc>
        <w:tc>
          <w:tcPr>
            <w:tcW w:w="1650" w:type="dxa"/>
            <w:vAlign w:val="center"/>
          </w:tcPr>
          <w:p w14:paraId="59982123">
            <w:pPr>
              <w:wordWrap w:val="0"/>
              <w:jc w:val="center"/>
              <w:rPr>
                <w:rFonts w:ascii="宋体" w:eastAsia="宋体" w:hAnsi="宋体" w:cs="宋体"/>
                <w:sz w:val="24"/>
              </w:rPr>
            </w:pPr>
            <w:bookmarkStart w:id="57" w:name="cddwzls"/>
            <w:r>
              <w:rPr>
                <w:rFonts w:ascii="宋体" w:eastAsia="宋体" w:hAnsi="宋体" w:cs="宋体"/>
                <w:sz w:val="24"/>
              </w:rPr>
              <w:t>3</w:t>
            </w:r>
            <w:bookmarkEnd w:id="57"/>
          </w:p>
        </w:tc>
      </w:tr>
      <w:tr w14:paraId="137CA47B">
        <w:tblPrEx>
          <w:tblW w:w="10635" w:type="dxa"/>
          <w:jc w:val="center"/>
          <w:tblLayout w:type="fixed"/>
          <w:tblCellMar>
            <w:top w:w="0" w:type="dxa"/>
            <w:left w:w="108" w:type="dxa"/>
            <w:bottom w:w="0" w:type="dxa"/>
            <w:right w:w="108" w:type="dxa"/>
          </w:tblCellMar>
        </w:tblPrEx>
        <w:trPr>
          <w:cantSplit/>
          <w:trHeight w:val="552"/>
          <w:jc w:val="center"/>
        </w:trPr>
        <w:tc>
          <w:tcPr>
            <w:tcW w:w="502" w:type="dxa"/>
            <w:vMerge/>
          </w:tcPr>
          <w:p w14:paraId="6A809E52">
            <w:pPr>
              <w:wordWrap w:val="0"/>
              <w:rPr>
                <w:sz w:val="24"/>
              </w:rPr>
            </w:pPr>
          </w:p>
        </w:tc>
        <w:tc>
          <w:tcPr>
            <w:tcW w:w="3239" w:type="dxa"/>
            <w:gridSpan w:val="4"/>
            <w:vAlign w:val="center"/>
          </w:tcPr>
          <w:p w14:paraId="6346A7BF">
            <w:pPr>
              <w:wordWrap w:val="0"/>
              <w:jc w:val="center"/>
              <w:rPr>
                <w:sz w:val="24"/>
              </w:rPr>
            </w:pPr>
            <w:r>
              <w:rPr>
                <w:rFonts w:hint="eastAsia"/>
                <w:sz w:val="24"/>
              </w:rPr>
              <w:t>单位性质</w:t>
            </w:r>
          </w:p>
        </w:tc>
        <w:tc>
          <w:tcPr>
            <w:tcW w:w="1453" w:type="dxa"/>
            <w:gridSpan w:val="2"/>
            <w:vAlign w:val="center"/>
          </w:tcPr>
          <w:p w14:paraId="289E432C">
            <w:pPr>
              <w:wordWrap w:val="0"/>
              <w:jc w:val="center"/>
              <w:rPr>
                <w:rFonts w:ascii="宋体" w:eastAsia="宋体" w:hAnsi="宋体" w:cs="宋体"/>
                <w:sz w:val="24"/>
              </w:rPr>
            </w:pPr>
            <w:bookmarkStart w:id="58" w:name="cddwdwxz"/>
            <w:r>
              <w:rPr>
                <w:rFonts w:ascii="宋体" w:eastAsia="宋体" w:hAnsi="宋体" w:cs="宋体"/>
                <w:sz w:val="24"/>
              </w:rPr>
              <w:t>科研院所（非企业）</w:t>
            </w:r>
            <w:bookmarkEnd w:id="58"/>
          </w:p>
        </w:tc>
        <w:tc>
          <w:tcPr>
            <w:tcW w:w="860" w:type="dxa"/>
            <w:vAlign w:val="center"/>
          </w:tcPr>
          <w:p w14:paraId="5A83C154">
            <w:pPr>
              <w:wordWrap w:val="0"/>
              <w:jc w:val="center"/>
              <w:rPr>
                <w:sz w:val="24"/>
              </w:rPr>
            </w:pPr>
            <w:r>
              <w:rPr>
                <w:rFonts w:hint="eastAsia"/>
                <w:sz w:val="24"/>
              </w:rPr>
              <w:t>单位规模</w:t>
            </w:r>
          </w:p>
        </w:tc>
        <w:tc>
          <w:tcPr>
            <w:tcW w:w="4581" w:type="dxa"/>
            <w:gridSpan w:val="5"/>
            <w:vAlign w:val="center"/>
          </w:tcPr>
          <w:p w14:paraId="0B9CA543">
            <w:pPr>
              <w:wordWrap w:val="0"/>
              <w:jc w:val="center"/>
              <w:rPr>
                <w:rFonts w:ascii="宋体" w:eastAsia="宋体" w:hAnsi="宋体" w:cs="宋体"/>
                <w:sz w:val="24"/>
              </w:rPr>
            </w:pPr>
            <w:bookmarkStart w:id="59" w:name="cddwdwgm"/>
            <w:r>
              <w:rPr>
                <w:rFonts w:ascii="宋体" w:eastAsia="宋体" w:hAnsi="宋体" w:cs="宋体"/>
                <w:sz w:val="24"/>
              </w:rPr>
              <w:t>其他</w:t>
            </w:r>
            <w:bookmarkEnd w:id="59"/>
          </w:p>
        </w:tc>
      </w:tr>
      <w:tr w14:paraId="7B610567">
        <w:tblPrEx>
          <w:tblW w:w="10635" w:type="dxa"/>
          <w:jc w:val="center"/>
          <w:tblLayout w:type="fixed"/>
          <w:tblCellMar>
            <w:top w:w="0" w:type="dxa"/>
            <w:left w:w="108" w:type="dxa"/>
            <w:bottom w:w="0" w:type="dxa"/>
            <w:right w:w="108" w:type="dxa"/>
          </w:tblCellMar>
        </w:tblPrEx>
        <w:trPr>
          <w:cantSplit/>
          <w:trHeight w:val="552"/>
          <w:jc w:val="center"/>
        </w:trPr>
        <w:tc>
          <w:tcPr>
            <w:tcW w:w="502" w:type="dxa"/>
            <w:vMerge/>
          </w:tcPr>
          <w:p w14:paraId="2FBEAB72">
            <w:pPr>
              <w:wordWrap w:val="0"/>
              <w:rPr>
                <w:sz w:val="24"/>
              </w:rPr>
            </w:pPr>
          </w:p>
        </w:tc>
        <w:tc>
          <w:tcPr>
            <w:tcW w:w="3239" w:type="dxa"/>
            <w:gridSpan w:val="4"/>
            <w:vAlign w:val="center"/>
          </w:tcPr>
          <w:p w14:paraId="40C4070F">
            <w:pPr>
              <w:wordWrap w:val="0"/>
              <w:jc w:val="center"/>
              <w:rPr>
                <w:sz w:val="24"/>
              </w:rPr>
            </w:pPr>
            <w:r>
              <w:rPr>
                <w:rFonts w:hint="eastAsia"/>
                <w:sz w:val="24"/>
              </w:rPr>
              <w:t>其它特征</w:t>
            </w:r>
          </w:p>
        </w:tc>
        <w:tc>
          <w:tcPr>
            <w:tcW w:w="6894" w:type="dxa"/>
            <w:gridSpan w:val="8"/>
            <w:vAlign w:val="center"/>
          </w:tcPr>
          <w:p w14:paraId="3B4FB1B3">
            <w:pPr>
              <w:wordWrap w:val="0"/>
              <w:jc w:val="left"/>
              <w:rPr>
                <w:rFonts w:ascii="宋体" w:eastAsia="宋体" w:hAnsi="宋体" w:cs="宋体"/>
                <w:sz w:val="24"/>
              </w:rPr>
            </w:pPr>
            <w:bookmarkStart w:id="60" w:name="cddwqt"/>
            <w:bookmarkEnd w:id="60"/>
          </w:p>
        </w:tc>
      </w:tr>
      <w:tr w14:paraId="666F5557">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vAlign w:val="center"/>
          </w:tcPr>
          <w:p w14:paraId="54193767">
            <w:pPr>
              <w:wordWrap w:val="0"/>
              <w:jc w:val="center"/>
              <w:rPr>
                <w:sz w:val="24"/>
              </w:rPr>
            </w:pPr>
            <w:r>
              <w:rPr>
                <w:sz w:val="24"/>
              </w:rPr>
              <w:t>合作单位</w:t>
            </w:r>
            <w:r>
              <w:rPr>
                <w:rFonts w:hint="eastAsia"/>
                <w:sz w:val="24"/>
              </w:rPr>
              <w:t>概况</w:t>
            </w:r>
          </w:p>
        </w:tc>
      </w:tr>
      <w:tr w14:paraId="274B0BD7">
        <w:tblPrEx>
          <w:tblW w:w="10635" w:type="dxa"/>
          <w:jc w:val="center"/>
          <w:tblLayout w:type="fixed"/>
          <w:tblCellMar>
            <w:top w:w="0" w:type="dxa"/>
            <w:left w:w="108" w:type="dxa"/>
            <w:bottom w:w="0" w:type="dxa"/>
            <w:right w:w="108" w:type="dxa"/>
          </w:tblCellMar>
        </w:tblPrEx>
        <w:trPr>
          <w:cantSplit/>
          <w:trHeight w:val="450"/>
          <w:jc w:val="center"/>
        </w:trPr>
        <w:tc>
          <w:tcPr>
            <w:tcW w:w="2376" w:type="dxa"/>
            <w:gridSpan w:val="3"/>
            <w:vAlign w:val="center"/>
          </w:tcPr>
          <w:p w14:paraId="5829CC29">
            <w:pPr>
              <w:wordWrap w:val="0"/>
              <w:jc w:val="center"/>
              <w:rPr>
                <w:sz w:val="24"/>
              </w:rPr>
            </w:pPr>
            <w:r>
              <w:rPr>
                <w:rFonts w:hint="eastAsia"/>
                <w:sz w:val="24"/>
              </w:rPr>
              <w:t>单位名称</w:t>
            </w:r>
          </w:p>
        </w:tc>
        <w:tc>
          <w:tcPr>
            <w:tcW w:w="1365" w:type="dxa"/>
            <w:gridSpan w:val="2"/>
            <w:vAlign w:val="center"/>
          </w:tcPr>
          <w:p w14:paraId="568A2DC4">
            <w:pPr>
              <w:wordWrap w:val="0"/>
              <w:jc w:val="center"/>
              <w:rPr>
                <w:sz w:val="24"/>
              </w:rPr>
            </w:pPr>
            <w:r>
              <w:rPr>
                <w:rFonts w:hint="eastAsia"/>
                <w:sz w:val="24"/>
              </w:rPr>
              <w:t>国别</w:t>
            </w:r>
          </w:p>
        </w:tc>
        <w:tc>
          <w:tcPr>
            <w:tcW w:w="1453" w:type="dxa"/>
            <w:gridSpan w:val="2"/>
            <w:vAlign w:val="center"/>
          </w:tcPr>
          <w:p w14:paraId="0E0A8F20">
            <w:pPr>
              <w:wordWrap w:val="0"/>
              <w:jc w:val="center"/>
              <w:rPr>
                <w:sz w:val="24"/>
              </w:rPr>
            </w:pPr>
            <w:r>
              <w:rPr>
                <w:rFonts w:hint="eastAsia"/>
                <w:sz w:val="24"/>
              </w:rPr>
              <w:t>所属地区</w:t>
            </w:r>
          </w:p>
        </w:tc>
        <w:tc>
          <w:tcPr>
            <w:tcW w:w="1434" w:type="dxa"/>
            <w:gridSpan w:val="2"/>
            <w:vAlign w:val="center"/>
          </w:tcPr>
          <w:p w14:paraId="462166B6">
            <w:pPr>
              <w:wordWrap w:val="0"/>
              <w:jc w:val="center"/>
              <w:rPr>
                <w:sz w:val="24"/>
              </w:rPr>
            </w:pPr>
            <w:r>
              <w:rPr>
                <w:rFonts w:hint="eastAsia"/>
                <w:sz w:val="24"/>
              </w:rPr>
              <w:t>单位地址</w:t>
            </w:r>
          </w:p>
        </w:tc>
        <w:tc>
          <w:tcPr>
            <w:tcW w:w="843" w:type="dxa"/>
            <w:vAlign w:val="center"/>
          </w:tcPr>
          <w:p w14:paraId="0A6E34C7">
            <w:pPr>
              <w:wordWrap w:val="0"/>
              <w:jc w:val="center"/>
              <w:rPr>
                <w:sz w:val="24"/>
              </w:rPr>
            </w:pPr>
            <w:r>
              <w:rPr>
                <w:rFonts w:hint="eastAsia"/>
                <w:sz w:val="24"/>
              </w:rPr>
              <w:t>单位性质</w:t>
            </w:r>
          </w:p>
        </w:tc>
        <w:tc>
          <w:tcPr>
            <w:tcW w:w="1514" w:type="dxa"/>
            <w:gridSpan w:val="2"/>
            <w:vAlign w:val="center"/>
          </w:tcPr>
          <w:p w14:paraId="40EB75E8">
            <w:pPr>
              <w:wordWrap w:val="0"/>
              <w:jc w:val="center"/>
              <w:rPr>
                <w:sz w:val="24"/>
              </w:rPr>
            </w:pPr>
            <w:r>
              <w:rPr>
                <w:rFonts w:hint="eastAsia"/>
                <w:sz w:val="24"/>
              </w:rPr>
              <w:t>联系人</w:t>
            </w:r>
          </w:p>
        </w:tc>
        <w:tc>
          <w:tcPr>
            <w:tcW w:w="1650" w:type="dxa"/>
            <w:vAlign w:val="center"/>
          </w:tcPr>
          <w:p w14:paraId="2417274A">
            <w:pPr>
              <w:wordWrap w:val="0"/>
              <w:jc w:val="center"/>
              <w:rPr>
                <w:sz w:val="24"/>
              </w:rPr>
            </w:pPr>
            <w:r>
              <w:rPr>
                <w:rFonts w:hint="eastAsia"/>
                <w:sz w:val="24"/>
              </w:rPr>
              <w:t>手机</w:t>
            </w:r>
          </w:p>
        </w:tc>
      </w:tr>
      <w:tr w14:paraId="610DFEA1">
        <w:tblPrEx>
          <w:tblW w:w="10635" w:type="dxa"/>
          <w:jc w:val="center"/>
          <w:tblLayout w:type="fixed"/>
          <w:tblCellMar>
            <w:top w:w="0" w:type="dxa"/>
            <w:left w:w="108" w:type="dxa"/>
            <w:bottom w:w="0" w:type="dxa"/>
            <w:right w:w="108" w:type="dxa"/>
          </w:tblCellMar>
        </w:tblPrEx>
        <w:trPr>
          <w:cantSplit/>
          <w:trHeight w:val="450"/>
          <w:jc w:val="center"/>
        </w:trPr>
        <w:tc>
          <w:tcPr>
            <w:tcW w:w="2376" w:type="dxa"/>
            <w:gridSpan w:val="3"/>
            <w:vAlign w:val="center"/>
          </w:tcPr>
          <w:p w14:paraId="0511F54D">
            <w:pPr>
              <w:wordWrap w:val="0"/>
              <w:rPr>
                <w:sz w:val="24"/>
              </w:rPr>
            </w:pPr>
          </w:p>
        </w:tc>
        <w:tc>
          <w:tcPr>
            <w:tcW w:w="1365" w:type="dxa"/>
            <w:gridSpan w:val="2"/>
            <w:vAlign w:val="center"/>
          </w:tcPr>
          <w:p w14:paraId="1CFC354F">
            <w:pPr>
              <w:wordWrap w:val="0"/>
              <w:jc w:val="center"/>
              <w:rPr>
                <w:sz w:val="24"/>
              </w:rPr>
            </w:pPr>
          </w:p>
        </w:tc>
        <w:tc>
          <w:tcPr>
            <w:tcW w:w="1453" w:type="dxa"/>
            <w:gridSpan w:val="2"/>
            <w:vAlign w:val="center"/>
          </w:tcPr>
          <w:p w14:paraId="1295E33B">
            <w:pPr>
              <w:wordWrap w:val="0"/>
              <w:rPr>
                <w:sz w:val="24"/>
              </w:rPr>
            </w:pPr>
          </w:p>
        </w:tc>
        <w:tc>
          <w:tcPr>
            <w:tcW w:w="1434" w:type="dxa"/>
            <w:gridSpan w:val="2"/>
            <w:vAlign w:val="center"/>
          </w:tcPr>
          <w:p w14:paraId="1B3B0582">
            <w:pPr>
              <w:wordWrap w:val="0"/>
              <w:rPr>
                <w:sz w:val="24"/>
              </w:rPr>
            </w:pPr>
          </w:p>
        </w:tc>
        <w:tc>
          <w:tcPr>
            <w:tcW w:w="843" w:type="dxa"/>
            <w:vAlign w:val="center"/>
          </w:tcPr>
          <w:p w14:paraId="424F131C">
            <w:pPr>
              <w:wordWrap w:val="0"/>
              <w:jc w:val="center"/>
              <w:rPr>
                <w:sz w:val="24"/>
              </w:rPr>
            </w:pPr>
          </w:p>
        </w:tc>
        <w:tc>
          <w:tcPr>
            <w:tcW w:w="1514" w:type="dxa"/>
            <w:gridSpan w:val="2"/>
            <w:vAlign w:val="center"/>
          </w:tcPr>
          <w:p w14:paraId="6E9CEC91">
            <w:pPr>
              <w:wordWrap w:val="0"/>
              <w:jc w:val="center"/>
              <w:rPr>
                <w:sz w:val="24"/>
              </w:rPr>
            </w:pPr>
          </w:p>
        </w:tc>
        <w:tc>
          <w:tcPr>
            <w:tcW w:w="1650" w:type="dxa"/>
            <w:vAlign w:val="center"/>
          </w:tcPr>
          <w:p w14:paraId="152C56E3">
            <w:pPr>
              <w:wordWrap w:val="0"/>
              <w:rPr>
                <w:sz w:val="24"/>
              </w:rPr>
            </w:pPr>
          </w:p>
        </w:tc>
      </w:tr>
      <w:tr w14:paraId="04148F6B">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tcPr>
          <w:p w14:paraId="70EE6138">
            <w:pPr>
              <w:wordWrap w:val="0"/>
              <w:jc w:val="center"/>
              <w:rPr>
                <w:b/>
                <w:sz w:val="36"/>
                <w:szCs w:val="36"/>
              </w:rPr>
            </w:pPr>
            <w:r>
              <w:rPr>
                <w:rFonts w:hint="eastAsia"/>
                <w:b/>
                <w:szCs w:val="28"/>
              </w:rPr>
              <w:t>项目立项背景及意义</w:t>
            </w:r>
          </w:p>
        </w:tc>
      </w:tr>
      <w:tr w14:paraId="4A328620">
        <w:tblPrEx>
          <w:tblW w:w="10635" w:type="dxa"/>
          <w:jc w:val="center"/>
          <w:tblLayout w:type="fixed"/>
          <w:tblCellMar>
            <w:top w:w="0" w:type="dxa"/>
            <w:left w:w="108" w:type="dxa"/>
            <w:bottom w:w="0" w:type="dxa"/>
            <w:right w:w="108" w:type="dxa"/>
          </w:tblCellMar>
        </w:tblPrEx>
        <w:trPr>
          <w:jc w:val="center"/>
        </w:trPr>
        <w:tc>
          <w:tcPr>
            <w:tcW w:w="10635" w:type="dxa"/>
            <w:gridSpan w:val="13"/>
          </w:tcPr>
          <w:p w14:paraId="23CEA8E8">
            <w:pPr>
              <w:widowControl/>
              <w:spacing w:before="0" w:after="0"/>
              <w:jc w:val="left"/>
              <w:rPr>
                <w:rFonts w:ascii="宋体" w:hAnsi="宋体" w:cs="宋体"/>
                <w:kern w:val="0"/>
                <w:sz w:val="24"/>
              </w:rPr>
            </w:pPr>
            <w:bookmarkStart w:id="61" w:name="lxbj"/>
            <w:r>
              <w:rPr>
                <w:rFonts w:ascii="宋体" w:hAnsi="宋体" w:cs="宋体"/>
                <w:color w:val="000000"/>
                <w:kern w:val="0"/>
                <w:sz w:val="24"/>
              </w:rPr>
              <w:t>我国常见工业废水中的污染物主要包括：重金属离子、工业染料、药品及个人护理用品、农药和抗生素等。其中，长期积累的重金属污染问题随着我国工业化进程加快而逐渐显露，部分流域和区域重金属污染事件频发，造成了严重的社会影响。</w:t>
            </w:r>
            <w:r>
              <w:rPr>
                <w:rFonts w:ascii="宋体" w:hAnsi="宋体" w:cs="宋体"/>
                <w:color w:val="000000"/>
                <w:kern w:val="0"/>
                <w:sz w:val="24"/>
              </w:rPr>
              <w:t>为进一步加强重金属污染物控制，生态环境部印发的《关于进一步加强重金属污染防控的意见》明确提出要坚持精准治污、科学治污，全面提升铅、汞、镉、铬、砷等重金属污染治理能力。</w:t>
            </w:r>
            <w:r>
              <w:rPr>
                <w:rFonts w:ascii="宋体" w:hAnsi="宋体" w:cs="宋体"/>
                <w:color w:val="000000"/>
                <w:kern w:val="0"/>
                <w:sz w:val="24"/>
              </w:rPr>
              <w:t>结合“十四五”规划所提出的双循环发展，我国重金属污染的修复理念正在从传统的污染治理转变为资源化回收。</w:t>
            </w:r>
            <w:r>
              <w:rPr>
                <w:rFonts w:ascii="宋体" w:hAnsi="宋体" w:cs="宋体"/>
                <w:b/>
                <w:bCs/>
                <w:color w:val="000000"/>
                <w:kern w:val="0"/>
                <w:sz w:val="24"/>
              </w:rPr>
              <w:t>开发“高效率、高选择性”为特点的重金属靶向去除和高质回收技术，在保障水质安全的同时实现重金属的资源化利用，是助推水环境治理过程“减污降碳”协同增效的关键。</w:t>
            </w:r>
            <w:r>
              <w:rPr>
                <w:rFonts w:ascii="宋体" w:hAnsi="宋体" w:cs="宋体"/>
                <w:color w:val="000000"/>
                <w:kern w:val="0"/>
                <w:sz w:val="24"/>
              </w:rPr>
              <w:t>实际水体成分复杂，给重金属的高效去除和选择性回收带来了很大挑战。将电化学与膜分离耦合的电活性膜分离技术作为一种新型绿色高效的分离-催化技术，通过将电化学活性材料复合于膜内流体通道中可实现污染物的电催化氧化还原和高效去除。</w:t>
            </w:r>
            <w:r>
              <w:rPr>
                <w:rFonts w:ascii="宋体" w:hAnsi="宋体" w:cs="宋体"/>
                <w:b/>
                <w:bCs/>
                <w:color w:val="000000"/>
                <w:kern w:val="0"/>
                <w:sz w:val="24"/>
              </w:rPr>
              <w:t>因此，开发一种高选择性</w:t>
            </w:r>
            <w:r>
              <w:rPr>
                <w:rFonts w:ascii="宋体" w:hAnsi="宋体" w:cs="宋体"/>
                <w:b/>
                <w:bCs/>
                <w:kern w:val="0"/>
                <w:sz w:val="24"/>
              </w:rPr>
              <w:t>和催化活性、稳定性强的电催化膜，构建选择吸附-电催化膜过滤系统，有望实现废水中重金属的高效去除和资源化回收。</w:t>
            </w:r>
          </w:p>
          <w:p>
            <w:pPr>
              <w:wordWrap w:val="0"/>
              <w:spacing w:line="440" w:lineRule="exact"/>
              <w:ind w:firstLine="480" w:firstLineChars="200"/>
              <w:jc w:val="left"/>
              <w:rPr>
                <w:sz w:val="24"/>
              </w:rPr>
            </w:pPr>
            <w:bookmarkEnd w:id="61"/>
          </w:p>
        </w:tc>
      </w:tr>
      <w:tr w14:paraId="18EC3EE7">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tcPr>
          <w:p w14:paraId="0F505C29">
            <w:pPr>
              <w:wordWrap w:val="0"/>
              <w:jc w:val="center"/>
              <w:rPr>
                <w:b/>
                <w:szCs w:val="28"/>
              </w:rPr>
            </w:pPr>
            <w:r>
              <w:rPr>
                <w:rFonts w:hint="eastAsia"/>
                <w:b/>
                <w:szCs w:val="28"/>
              </w:rPr>
              <w:t>项目简介</w:t>
            </w:r>
          </w:p>
        </w:tc>
      </w:tr>
      <w:tr w14:paraId="419D2C72">
        <w:tblPrEx>
          <w:tblW w:w="10635" w:type="dxa"/>
          <w:jc w:val="center"/>
          <w:tblLayout w:type="fixed"/>
          <w:tblCellMar>
            <w:top w:w="0" w:type="dxa"/>
            <w:left w:w="108" w:type="dxa"/>
            <w:bottom w:w="0" w:type="dxa"/>
            <w:right w:w="108" w:type="dxa"/>
          </w:tblCellMar>
        </w:tblPrEx>
        <w:trPr>
          <w:jc w:val="center"/>
        </w:trPr>
        <w:tc>
          <w:tcPr>
            <w:tcW w:w="10635" w:type="dxa"/>
            <w:gridSpan w:val="13"/>
          </w:tcPr>
          <w:p w14:paraId="3A35EBA0">
            <w:pPr>
              <w:widowControl/>
              <w:spacing w:before="0" w:after="0"/>
              <w:jc w:val="left"/>
              <w:rPr>
                <w:rFonts w:ascii="宋体" w:hAnsi="宋体" w:cs="宋体"/>
                <w:kern w:val="0"/>
                <w:sz w:val="24"/>
              </w:rPr>
            </w:pPr>
            <w:bookmarkStart w:id="62" w:name="xmjj"/>
            <w:r>
              <w:rPr>
                <w:rFonts w:ascii="SimSun" w:eastAsia="SimSun" w:hAnsi="SimSun" w:cs="SimSun"/>
                <w:kern w:val="0"/>
                <w:sz w:val="24"/>
              </w:rPr>
              <w:t>废水中重金属的选择性去除和资源化回收是解决重金属污染、实现有价金属循环的关键。“效率低、选择性差”是当前水处理技术应对复杂水环境中重金属污染的主要瓶颈。核心问题是选择性吸附剂脱附难、重金属回收过程繁琐，而传统电还原体系传质受限、副反应多。膜技术因具有分离效率高、出水水质好等显著优势，是十分有前景的净水技术。但去除重金属离子需要采用纳滤或反渗透，存在严重膜污染问题，且无法实现对重金属的高质回收。本项目拟开发可选择性吸附重金属离子和重金属有机络合物并将其电还原为金属单质的电催化膜，构建高效去除和资源化回收废水中重金属的电催化膜过滤系统。通过锆基异质金属有机框架与</w:t>
            </w:r>
            <w:r>
              <w:rPr>
                <w:rFonts w:ascii="Calibri" w:eastAsia="Calibri" w:hAnsi="Calibri" w:cs="Calibri"/>
                <w:kern w:val="0"/>
                <w:sz w:val="24"/>
              </w:rPr>
              <w:t>MXene</w:t>
            </w:r>
            <w:r>
              <w:rPr>
                <w:rFonts w:ascii="SimSun" w:eastAsia="SimSun" w:hAnsi="SimSun" w:cs="SimSun"/>
                <w:kern w:val="0"/>
                <w:sz w:val="24"/>
              </w:rPr>
              <w:t>界面耦合，构筑高选择性、具有稳定二维纳米流体通道的</w:t>
            </w:r>
            <w:r>
              <w:rPr>
                <w:rFonts w:ascii="Calibri" w:eastAsia="Calibri" w:hAnsi="Calibri" w:cs="Calibri"/>
                <w:kern w:val="0"/>
                <w:sz w:val="24"/>
              </w:rPr>
              <w:t>MXene/Zr-MOFs</w:t>
            </w:r>
            <w:r>
              <w:rPr>
                <w:rFonts w:ascii="SimSun" w:eastAsia="SimSun" w:hAnsi="SimSun" w:cs="SimSun"/>
                <w:kern w:val="0"/>
                <w:sz w:val="24"/>
              </w:rPr>
              <w:t>电催化膜，强化传质的同时膜孔道构成限域效应，提升电催化反应的处理效果。精确调控电催化膜组成和微观结构以提升选择吸附能力、电催化活性和稳定性，实现电催化膜过滤系统高效可持续运行。研究电催化膜的形成过程，分析其选择性吸附</w:t>
            </w:r>
            <w:r>
              <w:rPr>
                <w:rFonts w:ascii="Calibri" w:eastAsia="Calibri" w:hAnsi="Calibri" w:cs="Calibri"/>
                <w:kern w:val="0"/>
                <w:sz w:val="24"/>
              </w:rPr>
              <w:t>-</w:t>
            </w:r>
            <w:r>
              <w:rPr>
                <w:rFonts w:ascii="SimSun" w:eastAsia="SimSun" w:hAnsi="SimSun" w:cs="SimSun"/>
                <w:kern w:val="0"/>
                <w:sz w:val="24"/>
              </w:rPr>
              <w:t>电催化还原重金属的行为与构效关系，明确电催化膜过滤系统选择性回收重金属的技术原理，为我国废水低碳处理与资源化提供理论和技术支撑。</w:t>
            </w:r>
          </w:p>
          <w:p>
            <w:pPr>
              <w:wordWrap w:val="0"/>
              <w:spacing w:line="440" w:lineRule="exact"/>
              <w:ind w:firstLine="480" w:firstLineChars="200"/>
              <w:jc w:val="left"/>
              <w:rPr>
                <w:sz w:val="24"/>
              </w:rPr>
            </w:pPr>
            <w:bookmarkEnd w:id="62"/>
          </w:p>
        </w:tc>
      </w:tr>
    </w:tbl>
    <w:p w14:paraId="45BEEAA7">
      <w:pPr>
        <w:wordWrap w:val="0"/>
        <w:spacing w:line="20" w:lineRule="exact"/>
      </w:pPr>
      <w:r>
        <w:br w:type="page"/>
      </w:r>
    </w:p>
    <w:tbl>
      <w:tblPr>
        <w:tblStyle w:val="TableNormal"/>
        <w:tblW w:w="10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62"/>
      </w:tblGrid>
      <w:tr w14:paraId="64B5F0C8">
        <w:tblPrEx>
          <w:tblW w:w="10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62" w:type="dxa"/>
          </w:tcPr>
          <w:p w14:paraId="483CEF52">
            <w:pPr>
              <w:wordWrap w:val="0"/>
              <w:jc w:val="center"/>
              <w:rPr>
                <w:b/>
                <w:szCs w:val="28"/>
              </w:rPr>
            </w:pPr>
            <w:r>
              <w:rPr>
                <w:rFonts w:hint="eastAsia"/>
                <w:b/>
                <w:szCs w:val="28"/>
              </w:rPr>
              <w:t>研究属性</w:t>
            </w:r>
          </w:p>
        </w:tc>
      </w:tr>
      <w:tr w14:paraId="1D3DB373">
        <w:tblPrEx>
          <w:tblW w:w="10262" w:type="dxa"/>
          <w:jc w:val="center"/>
          <w:tblLayout w:type="fixed"/>
          <w:tblCellMar>
            <w:top w:w="0" w:type="dxa"/>
            <w:left w:w="108" w:type="dxa"/>
            <w:bottom w:w="0" w:type="dxa"/>
            <w:right w:w="108" w:type="dxa"/>
          </w:tblCellMar>
        </w:tblPrEx>
        <w:trPr>
          <w:jc w:val="center"/>
        </w:trPr>
        <w:tc>
          <w:tcPr>
            <w:tcW w:w="10262" w:type="dxa"/>
          </w:tcPr>
          <w:p w14:paraId="26C1DA1C">
            <w:pPr>
              <w:wordWrap w:val="0"/>
              <w:snapToGrid w:val="0"/>
              <w:spacing w:after="120" w:afterLines="50" w:line="440" w:lineRule="exact"/>
              <w:jc w:val="left"/>
              <w:rPr>
                <w:sz w:val="24"/>
              </w:rPr>
            </w:pPr>
            <w:r>
              <w:rPr>
                <w:rFonts w:hint="eastAsia"/>
                <w:sz w:val="24"/>
              </w:rPr>
              <w:t>特别提醒</w:t>
            </w:r>
            <w:r>
              <w:rPr>
                <w:rFonts w:hint="eastAsia"/>
                <w:color w:val="0D0D0D"/>
                <w:sz w:val="24"/>
              </w:rPr>
              <w:t>申报</w:t>
            </w:r>
            <w:r>
              <w:rPr>
                <w:rFonts w:hint="eastAsia"/>
                <w:sz w:val="24"/>
              </w:rPr>
              <w:t>人注意：请阅读后，选择研究属性，并阐明选择理由。申报项目具有多重研究属性的，申报人应当选择最相符、最侧重、最能体现申报项目特点的一类研究属性</w:t>
            </w:r>
            <w:r>
              <w:rPr>
                <w:sz w:val="24"/>
              </w:rPr>
              <w:t>。</w:t>
            </w:r>
          </w:p>
          <w:p w14:paraId="75D93504">
            <w:pPr>
              <w:pStyle w:val="Default"/>
              <w:wordWrap w:val="0"/>
              <w:spacing w:line="360" w:lineRule="auto"/>
              <w:ind w:firstLine="240" w:firstLineChars="100"/>
              <w:rPr>
                <w:rFonts w:ascii="Times New Roman" w:eastAsia="宋体" w:hAnsi="Times New Roman" w:hint="default"/>
                <w:kern w:val="2"/>
                <w:szCs w:val="24"/>
              </w:rPr>
            </w:pPr>
            <w:r>
              <w:rPr>
                <w:rFonts w:ascii="Times New Roman" w:eastAsia="宋体" w:hAnsi="Times New Roman"/>
                <w:kern w:val="2"/>
                <w:szCs w:val="24"/>
              </w:rPr>
              <w:t>“</w:t>
            </w:r>
            <w:r>
              <w:rPr>
                <w:rFonts w:ascii="Times New Roman" w:eastAsia="宋体" w:hAnsi="Times New Roman"/>
                <w:b/>
                <w:kern w:val="2"/>
                <w:szCs w:val="24"/>
              </w:rPr>
              <w:t>自由探索类基础研究</w:t>
            </w:r>
            <w:r>
              <w:rPr>
                <w:rFonts w:ascii="Times New Roman" w:eastAsia="宋体" w:hAnsi="Times New Roman"/>
                <w:kern w:val="2"/>
                <w:szCs w:val="24"/>
              </w:rPr>
              <w:t>”：选题源于科研人员好奇心或创新性学术灵感，且不以满足现阶段应用需求为目的的原创性、前沿性基础研究。</w:t>
            </w:r>
          </w:p>
          <w:p w14:paraId="28D3DA48">
            <w:pPr>
              <w:pStyle w:val="Default"/>
              <w:wordWrap w:val="0"/>
              <w:spacing w:line="360" w:lineRule="auto"/>
              <w:rPr>
                <w:rFonts w:ascii="Times New Roman" w:eastAsia="宋体" w:hAnsi="Times New Roman" w:hint="default"/>
                <w:kern w:val="2"/>
                <w:szCs w:val="24"/>
              </w:rPr>
            </w:pPr>
            <w:r>
              <w:rPr>
                <w:rFonts w:ascii="Times New Roman" w:eastAsia="宋体" w:hAnsi="Times New Roman" w:hint="default"/>
                <w:kern w:val="2"/>
                <w:szCs w:val="24"/>
              </w:rPr>
              <w:t xml:space="preserve">  </w:t>
            </w:r>
            <w:r>
              <w:rPr>
                <w:rFonts w:ascii="Times New Roman" w:eastAsia="宋体" w:hAnsi="Times New Roman"/>
                <w:kern w:val="2"/>
                <w:szCs w:val="24"/>
              </w:rPr>
              <w:t>“</w:t>
            </w:r>
            <w:r>
              <w:rPr>
                <w:rFonts w:ascii="Times New Roman" w:eastAsia="宋体" w:hAnsi="Times New Roman"/>
                <w:b/>
                <w:kern w:val="2"/>
                <w:szCs w:val="24"/>
              </w:rPr>
              <w:t>目标导向类基础研究</w:t>
            </w:r>
            <w:r>
              <w:rPr>
                <w:rFonts w:ascii="Times New Roman" w:eastAsia="宋体" w:hAnsi="Times New Roman"/>
                <w:kern w:val="2"/>
                <w:szCs w:val="24"/>
              </w:rPr>
              <w:t>”：以经济社会发展需要或国家需求为牵引的基础研究。</w:t>
            </w:r>
          </w:p>
          <w:p w14:paraId="474D61EC">
            <w:pPr>
              <w:wordWrap w:val="0"/>
              <w:spacing w:line="100" w:lineRule="atLeast"/>
              <w:jc w:val="left"/>
              <w:rPr>
                <w:sz w:val="21"/>
                <w:szCs w:val="20"/>
              </w:rPr>
            </w:pPr>
          </w:p>
          <w:p w14:paraId="7EB2679B">
            <w:pPr>
              <w:wordWrap w:val="0"/>
              <w:spacing w:line="440" w:lineRule="exact"/>
              <w:jc w:val="left"/>
              <w:rPr>
                <w:sz w:val="21"/>
                <w:szCs w:val="20"/>
              </w:rPr>
            </w:pPr>
            <w:r>
              <w:rPr>
                <w:rFonts w:hint="eastAsia"/>
                <w:sz w:val="24"/>
                <w:szCs w:val="22"/>
              </w:rPr>
              <w:t>研究的属性：</w:t>
            </w:r>
            <w:bookmarkStart w:id="63" w:name="kxwtsx"/>
            <w:r>
              <w:rPr>
                <w:rFonts w:ascii="宋体" w:eastAsia="宋体" w:hAnsi="宋体" w:cs="宋体" w:hint="eastAsia"/>
                <w:sz w:val="24"/>
                <w:szCs w:val="22"/>
              </w:rPr>
              <w:t>目标导向类基础研究</w:t>
            </w:r>
            <w:bookmarkEnd w:id="63"/>
          </w:p>
        </w:tc>
      </w:tr>
      <w:tr w14:paraId="74617EC3">
        <w:tblPrEx>
          <w:tblW w:w="10262" w:type="dxa"/>
          <w:jc w:val="center"/>
          <w:tblLayout w:type="fixed"/>
          <w:tblCellMar>
            <w:top w:w="0" w:type="dxa"/>
            <w:left w:w="108" w:type="dxa"/>
            <w:bottom w:w="0" w:type="dxa"/>
            <w:right w:w="108" w:type="dxa"/>
          </w:tblCellMar>
        </w:tblPrEx>
        <w:trPr>
          <w:jc w:val="center"/>
        </w:trPr>
        <w:tc>
          <w:tcPr>
            <w:tcW w:w="10262" w:type="dxa"/>
          </w:tcPr>
          <w:p w14:paraId="631A0C48">
            <w:pPr>
              <w:pStyle w:val="Default"/>
              <w:wordWrap w:val="0"/>
              <w:spacing w:line="360" w:lineRule="auto"/>
              <w:rPr>
                <w:rFonts w:ascii="Times New Roman" w:eastAsia="宋体" w:hAnsi="Times New Roman" w:hint="default"/>
                <w:kern w:val="2"/>
                <w:szCs w:val="24"/>
              </w:rPr>
            </w:pPr>
            <w:r>
              <w:rPr>
                <w:rFonts w:ascii="Times New Roman" w:eastAsia="宋体" w:hAnsi="Times New Roman" w:hint="default"/>
                <w:kern w:val="2"/>
                <w:szCs w:val="24"/>
              </w:rPr>
              <w:t>选择该</w:t>
            </w:r>
            <w:r>
              <w:rPr>
                <w:rFonts w:ascii="Times New Roman" w:eastAsia="宋体" w:hAnsi="Times New Roman"/>
                <w:kern w:val="2"/>
                <w:szCs w:val="24"/>
              </w:rPr>
              <w:t>研究</w:t>
            </w:r>
            <w:r>
              <w:rPr>
                <w:rFonts w:ascii="Times New Roman" w:eastAsia="宋体" w:hAnsi="Times New Roman" w:hint="default"/>
                <w:kern w:val="2"/>
                <w:szCs w:val="24"/>
              </w:rPr>
              <w:t>属性的理由（800字以内）：</w:t>
            </w:r>
          </w:p>
          <w:p w14:paraId="79560743">
            <w:pPr>
              <w:widowControl/>
              <w:spacing w:before="0" w:after="0"/>
              <w:jc w:val="left"/>
              <w:rPr>
                <w:rFonts w:ascii="宋体" w:hAnsi="宋体" w:cs="宋体"/>
                <w:kern w:val="0"/>
                <w:sz w:val="24"/>
              </w:rPr>
            </w:pPr>
            <w:bookmarkStart w:id="64" w:name="kxwtsxsm"/>
            <w:r>
              <w:rPr>
                <w:rFonts w:ascii="宋体" w:hAnsi="宋体" w:cs="宋体"/>
                <w:color w:val="000000"/>
                <w:kern w:val="0"/>
                <w:sz w:val="21"/>
                <w:szCs w:val="21"/>
              </w:rPr>
              <w:t>1. 需求与瓶颈 </w:t>
            </w:r>
          </w:p>
          <w:p>
            <w:pPr>
              <w:widowControl/>
              <w:spacing w:before="0" w:after="0"/>
              <w:jc w:val="left"/>
              <w:rPr>
                <w:rFonts w:ascii="宋体" w:hAnsi="宋体" w:cs="宋体"/>
                <w:kern w:val="0"/>
                <w:sz w:val="24"/>
              </w:rPr>
            </w:pPr>
            <w:r>
              <w:rPr>
                <w:rFonts w:ascii="宋体" w:hAnsi="宋体" w:cs="宋体"/>
                <w:color w:val="000000"/>
                <w:kern w:val="0"/>
                <w:sz w:val="21"/>
                <w:szCs w:val="21"/>
              </w:rPr>
              <w:t>废水中重金属的选择性去除和资源化回收是解决重金属污染、实现有价金属循环的关键。电还原技术是具</w:t>
            </w:r>
            <w:r>
              <w:rPr>
                <w:rFonts w:ascii="宋体" w:hAnsi="宋体" w:cs="宋体"/>
                <w:color w:val="000000"/>
                <w:kern w:val="0"/>
                <w:sz w:val="21"/>
                <w:szCs w:val="21"/>
              </w:rPr>
              <w:t>有便捷性、通用性、环境相容性等优势的资源化回收重金属的核心技术之一，但由于电还原体系电子利用率低、</w:t>
            </w:r>
            <w:r>
              <w:rPr>
                <w:rFonts w:ascii="宋体" w:hAnsi="宋体" w:cs="宋体"/>
                <w:color w:val="000000"/>
                <w:kern w:val="0"/>
                <w:sz w:val="21"/>
                <w:szCs w:val="21"/>
              </w:rPr>
              <w:t>能耗高，规模化应用受到了极大限制。对于络合态重金属，通常依赖强氧化剂或大量能量输入破坏络合物有机配体释放重金属离子后再通过电还原回收。电催化膜技术是将传统膜处理技术和电催化技术结合起来的一种新型有</w:t>
            </w:r>
            <w:r>
              <w:rPr>
                <w:rFonts w:ascii="宋体" w:hAnsi="宋体" w:cs="宋体"/>
                <w:color w:val="000000"/>
                <w:kern w:val="0"/>
                <w:sz w:val="21"/>
                <w:szCs w:val="21"/>
              </w:rPr>
              <w:t>效的水处理技术，具有电催化和膜分离的双重优势，从而能有效去除水中污染物。开发一种高催化活性且高稳</w:t>
            </w:r>
            <w:r>
              <w:rPr>
                <w:rFonts w:ascii="宋体" w:hAnsi="宋体" w:cs="宋体"/>
                <w:color w:val="000000"/>
                <w:kern w:val="0"/>
                <w:sz w:val="21"/>
                <w:szCs w:val="21"/>
              </w:rPr>
              <w:t>定的电催化膜，在离子迁移过程中嵌入选择性强化机制，构建选择性吸附</w:t>
            </w:r>
            <w:r>
              <w:rPr>
                <w:rFonts w:ascii="Calibri" w:eastAsia="Calibri" w:hAnsi="Calibri" w:cs="Calibri"/>
                <w:color w:val="000000"/>
                <w:kern w:val="0"/>
                <w:sz w:val="21"/>
                <w:szCs w:val="21"/>
              </w:rPr>
              <w:t>-</w:t>
            </w:r>
            <w:r>
              <w:rPr>
                <w:rFonts w:ascii="宋体" w:hAnsi="宋体" w:cs="宋体"/>
                <w:color w:val="000000"/>
                <w:kern w:val="0"/>
                <w:sz w:val="21"/>
                <w:szCs w:val="21"/>
              </w:rPr>
              <w:t>电催化膜过滤系统，有望实现废水中重</w:t>
            </w:r>
            <w:r>
              <w:rPr>
                <w:rFonts w:ascii="宋体" w:hAnsi="宋体" w:cs="宋体"/>
                <w:color w:val="000000"/>
                <w:kern w:val="0"/>
                <w:sz w:val="21"/>
                <w:szCs w:val="21"/>
              </w:rPr>
              <w:t>金属离子和重金属有机络合物的高效去除和同步高质回收。</w:t>
            </w:r>
          </w:p>
          <w:p>
            <w:pPr>
              <w:widowControl/>
              <w:spacing w:before="0" w:after="0"/>
              <w:jc w:val="left"/>
              <w:rPr>
                <w:rFonts w:ascii="宋体" w:hAnsi="宋体" w:cs="宋体"/>
                <w:kern w:val="0"/>
                <w:sz w:val="24"/>
              </w:rPr>
            </w:pPr>
            <w:r>
              <w:rPr>
                <w:rFonts w:ascii="宋体" w:hAnsi="宋体" w:cs="宋体"/>
                <w:color w:val="000000"/>
                <w:kern w:val="0"/>
                <w:sz w:val="21"/>
                <w:szCs w:val="21"/>
              </w:rPr>
              <w:t>2. 解决方案 </w:t>
            </w:r>
          </w:p>
          <w:p>
            <w:pPr>
              <w:widowControl/>
              <w:spacing w:before="0" w:after="0"/>
              <w:jc w:val="left"/>
              <w:rPr>
                <w:rFonts w:ascii="宋体" w:hAnsi="宋体" w:cs="宋体"/>
                <w:kern w:val="0"/>
                <w:sz w:val="24"/>
              </w:rPr>
            </w:pPr>
            <w:r>
              <w:rPr>
                <w:rFonts w:ascii="宋体" w:hAnsi="宋体" w:cs="宋体"/>
                <w:color w:val="000000"/>
                <w:kern w:val="0"/>
                <w:sz w:val="21"/>
                <w:szCs w:val="21"/>
              </w:rPr>
              <w:t>为突破以上瓶颈，本项目拟开发可选择性吸附重金属并将其电还原为金属单质的电催化膜，精确调控其组成和微</w:t>
            </w:r>
            <w:r>
              <w:rPr>
                <w:rFonts w:ascii="宋体" w:hAnsi="宋体" w:cs="宋体"/>
                <w:color w:val="000000"/>
                <w:kern w:val="0"/>
                <w:sz w:val="21"/>
                <w:szCs w:val="21"/>
              </w:rPr>
              <w:t>观结构以提升选择吸附性能、电催化活性和稳定性，形成可高效去除重金属并将其高质回收的选择性吸附</w:t>
            </w:r>
            <w:r>
              <w:rPr>
                <w:rFonts w:ascii="Calibri" w:eastAsia="Calibri" w:hAnsi="Calibri" w:cs="Calibri"/>
                <w:color w:val="000000"/>
                <w:kern w:val="0"/>
                <w:sz w:val="21"/>
                <w:szCs w:val="21"/>
              </w:rPr>
              <w:t xml:space="preserve">- </w:t>
            </w:r>
            <w:r>
              <w:rPr>
                <w:rFonts w:ascii="宋体" w:hAnsi="宋体" w:cs="宋体"/>
                <w:color w:val="000000"/>
                <w:kern w:val="0"/>
                <w:sz w:val="21"/>
                <w:szCs w:val="21"/>
              </w:rPr>
              <w:t>电催化膜过滤系统。为系统揭示核心科学问题，拟开展以下研究： </w:t>
            </w:r>
          </w:p>
          <w:p>
            <w:pPr>
              <w:widowControl/>
              <w:spacing w:before="0" w:after="0"/>
              <w:jc w:val="left"/>
              <w:rPr>
                <w:rFonts w:ascii="宋体" w:hAnsi="宋体" w:cs="宋体"/>
                <w:kern w:val="0"/>
                <w:sz w:val="24"/>
              </w:rPr>
            </w:pPr>
            <w:r>
              <w:rPr>
                <w:rFonts w:ascii="宋体" w:hAnsi="宋体" w:cs="宋体"/>
                <w:color w:val="000000"/>
                <w:kern w:val="0"/>
                <w:sz w:val="21"/>
                <w:szCs w:val="21"/>
              </w:rPr>
              <w:t>（1）探究电催化膜的构建原理与调控策略</w:t>
            </w:r>
            <w:r>
              <w:rPr>
                <w:rFonts w:ascii="Calibri" w:eastAsia="Calibri" w:hAnsi="Calibri" w:cs="Calibri"/>
                <w:color w:val="000000"/>
                <w:kern w:val="0"/>
                <w:sz w:val="21"/>
                <w:szCs w:val="21"/>
              </w:rPr>
              <w:t>; </w:t>
            </w:r>
          </w:p>
          <w:p>
            <w:pPr>
              <w:widowControl/>
              <w:spacing w:before="0" w:after="0"/>
              <w:jc w:val="left"/>
              <w:rPr>
                <w:rFonts w:ascii="宋体" w:hAnsi="宋体" w:cs="宋体"/>
                <w:kern w:val="0"/>
                <w:sz w:val="24"/>
              </w:rPr>
            </w:pPr>
            <w:r>
              <w:rPr>
                <w:rFonts w:ascii="宋体" w:hAnsi="宋体" w:cs="宋体"/>
                <w:color w:val="000000"/>
                <w:kern w:val="0"/>
                <w:sz w:val="21"/>
                <w:szCs w:val="21"/>
              </w:rPr>
              <w:t>（2）研究电催化膜选择性吸附</w:t>
            </w:r>
            <w:r>
              <w:rPr>
                <w:rFonts w:ascii="Calibri" w:eastAsia="Calibri" w:hAnsi="Calibri" w:cs="Calibri"/>
                <w:color w:val="000000"/>
                <w:kern w:val="0"/>
                <w:sz w:val="21"/>
                <w:szCs w:val="21"/>
              </w:rPr>
              <w:t>-</w:t>
            </w:r>
            <w:r>
              <w:rPr>
                <w:rFonts w:ascii="宋体" w:hAnsi="宋体" w:cs="宋体"/>
                <w:color w:val="000000"/>
                <w:kern w:val="0"/>
                <w:sz w:val="21"/>
                <w:szCs w:val="21"/>
              </w:rPr>
              <w:t>电催化还原重金属效能和机制，解析膜材料微观结构与吸</w:t>
            </w:r>
            <w:r>
              <w:rPr>
                <w:rFonts w:ascii="宋体" w:hAnsi="宋体" w:cs="宋体"/>
                <w:color w:val="000000"/>
                <w:kern w:val="0"/>
                <w:sz w:val="21"/>
                <w:szCs w:val="21"/>
              </w:rPr>
              <w:t>附</w:t>
            </w:r>
            <w:r>
              <w:rPr>
                <w:rFonts w:ascii="Calibri" w:eastAsia="Calibri" w:hAnsi="Calibri" w:cs="Calibri"/>
                <w:color w:val="000000"/>
                <w:kern w:val="0"/>
                <w:sz w:val="21"/>
                <w:szCs w:val="21"/>
              </w:rPr>
              <w:t>-</w:t>
            </w:r>
            <w:r>
              <w:rPr>
                <w:rFonts w:ascii="宋体" w:hAnsi="宋体" w:cs="宋体"/>
                <w:color w:val="000000"/>
                <w:kern w:val="0"/>
                <w:sz w:val="21"/>
                <w:szCs w:val="21"/>
              </w:rPr>
              <w:t>电催化性能间的构效关系； </w:t>
            </w:r>
          </w:p>
          <w:p>
            <w:pPr>
              <w:widowControl/>
              <w:spacing w:before="0" w:after="0"/>
              <w:jc w:val="left"/>
              <w:rPr>
                <w:rFonts w:ascii="宋体" w:hAnsi="宋体" w:cs="宋体"/>
                <w:kern w:val="0"/>
                <w:sz w:val="24"/>
              </w:rPr>
            </w:pPr>
            <w:r>
              <w:rPr>
                <w:rFonts w:ascii="宋体" w:hAnsi="宋体" w:cs="宋体"/>
                <w:color w:val="000000"/>
                <w:kern w:val="0"/>
                <w:sz w:val="21"/>
                <w:szCs w:val="21"/>
              </w:rPr>
              <w:t>（3）构建选择性吸附</w:t>
            </w:r>
            <w:r>
              <w:rPr>
                <w:rFonts w:ascii="Calibri" w:eastAsia="Calibri" w:hAnsi="Calibri" w:cs="Calibri"/>
                <w:color w:val="000000"/>
                <w:kern w:val="0"/>
                <w:sz w:val="21"/>
                <w:szCs w:val="21"/>
              </w:rPr>
              <w:t>-</w:t>
            </w:r>
            <w:r>
              <w:rPr>
                <w:rFonts w:ascii="宋体" w:hAnsi="宋体" w:cs="宋体"/>
                <w:color w:val="000000"/>
                <w:kern w:val="0"/>
                <w:sz w:val="21"/>
                <w:szCs w:val="21"/>
              </w:rPr>
              <w:t>电催化膜反应器，探明电化学过程物态转变过程、微界面电子转移规律及热</w:t>
            </w:r>
            <w:r>
              <w:rPr>
                <w:rFonts w:ascii="Calibri" w:eastAsia="Calibri" w:hAnsi="Calibri" w:cs="Calibri"/>
                <w:color w:val="000000"/>
                <w:kern w:val="0"/>
                <w:sz w:val="21"/>
                <w:szCs w:val="21"/>
              </w:rPr>
              <w:t>/</w:t>
            </w:r>
            <w:r>
              <w:rPr>
                <w:rFonts w:ascii="宋体" w:hAnsi="宋体" w:cs="宋体"/>
                <w:color w:val="000000"/>
                <w:kern w:val="0"/>
                <w:sz w:val="21"/>
                <w:szCs w:val="21"/>
              </w:rPr>
              <w:t>动力学特性； </w:t>
            </w:r>
          </w:p>
          <w:p>
            <w:pPr>
              <w:widowControl/>
              <w:spacing w:before="0" w:after="0"/>
              <w:jc w:val="left"/>
              <w:rPr>
                <w:rFonts w:ascii="宋体" w:hAnsi="宋体" w:cs="宋体"/>
                <w:kern w:val="0"/>
                <w:sz w:val="24"/>
              </w:rPr>
            </w:pPr>
            <w:r>
              <w:rPr>
                <w:rFonts w:ascii="宋体" w:hAnsi="宋体" w:cs="宋体"/>
                <w:color w:val="000000"/>
                <w:kern w:val="0"/>
                <w:sz w:val="21"/>
                <w:szCs w:val="21"/>
              </w:rPr>
              <w:t>（4）明确吸附</w:t>
            </w:r>
            <w:r>
              <w:rPr>
                <w:rFonts w:ascii="Calibri" w:eastAsia="Calibri" w:hAnsi="Calibri" w:cs="Calibri"/>
                <w:color w:val="000000"/>
                <w:kern w:val="0"/>
                <w:sz w:val="21"/>
                <w:szCs w:val="21"/>
              </w:rPr>
              <w:t>-</w:t>
            </w:r>
            <w:r>
              <w:rPr>
                <w:rFonts w:ascii="宋体" w:hAnsi="宋体" w:cs="宋体"/>
                <w:color w:val="000000"/>
                <w:kern w:val="0"/>
                <w:sz w:val="21"/>
                <w:szCs w:val="21"/>
              </w:rPr>
              <w:t>电催化膜过滤系统去除废水中污染物效能、影响因素及相互作用。</w:t>
            </w:r>
          </w:p>
          <w:p>
            <w:pPr>
              <w:widowControl/>
              <w:spacing w:before="0" w:after="0"/>
              <w:jc w:val="left"/>
              <w:rPr>
                <w:rFonts w:ascii="宋体" w:hAnsi="宋体" w:cs="宋体"/>
                <w:kern w:val="0"/>
                <w:sz w:val="24"/>
              </w:rPr>
            </w:pPr>
            <w:r>
              <w:rPr>
                <w:rFonts w:ascii="宋体" w:hAnsi="宋体" w:cs="宋体"/>
                <w:color w:val="000000"/>
                <w:kern w:val="0"/>
                <w:sz w:val="21"/>
                <w:szCs w:val="21"/>
              </w:rPr>
              <w:t>本项目科学问题解决后，基础研究成果将为废水中重金属高效去除和资源化回收技术体系构建和新工艺工</w:t>
            </w:r>
            <w:r>
              <w:rPr>
                <w:rFonts w:ascii="宋体" w:hAnsi="宋体" w:cs="宋体"/>
                <w:color w:val="000000"/>
                <w:kern w:val="0"/>
                <w:sz w:val="21"/>
                <w:szCs w:val="21"/>
              </w:rPr>
              <w:t>程应用提供理论基础和技术支撑。 </w:t>
            </w:r>
          </w:p>
          <w:p>
            <w:pPr>
              <w:widowControl/>
              <w:spacing w:before="0" w:after="0"/>
              <w:jc w:val="left"/>
              <w:rPr>
                <w:rFonts w:ascii="宋体" w:hAnsi="宋体" w:cs="宋体"/>
                <w:kern w:val="0"/>
                <w:sz w:val="24"/>
              </w:rPr>
            </w:pPr>
            <w:r>
              <w:rPr>
                <w:rFonts w:ascii="宋体" w:hAnsi="宋体" w:cs="宋体"/>
                <w:color w:val="000000"/>
                <w:kern w:val="0"/>
                <w:sz w:val="21"/>
                <w:szCs w:val="21"/>
              </w:rPr>
              <w:t>综上所述，本项目的研究属性符合“目标导向类基础研究”。</w:t>
            </w:r>
          </w:p>
          <w:p>
            <w:pPr>
              <w:wordWrap w:val="0"/>
              <w:spacing w:line="440" w:lineRule="exact"/>
              <w:ind w:firstLine="480" w:firstLineChars="200"/>
              <w:jc w:val="left"/>
              <w:rPr>
                <w:sz w:val="24"/>
              </w:rPr>
            </w:pPr>
            <w:bookmarkEnd w:id="64"/>
          </w:p>
        </w:tc>
      </w:tr>
    </w:tbl>
    <w:p w14:paraId="5B48EE8E">
      <w:pPr>
        <w:tabs>
          <w:tab w:val="left" w:pos="4690"/>
        </w:tabs>
        <w:wordWrap w:val="0"/>
        <w:spacing w:line="20" w:lineRule="exact"/>
        <w:rPr>
          <w:sz w:val="32"/>
          <w:szCs w:val="32"/>
        </w:rPr>
      </w:pPr>
    </w:p>
    <w:p w14:paraId="17F4B733">
      <w:pPr>
        <w:widowControl/>
        <w:wordWrap w:val="0"/>
        <w:jc w:val="left"/>
        <w:rPr>
          <w:sz w:val="2"/>
          <w:szCs w:val="2"/>
        </w:rPr>
      </w:pPr>
      <w:r>
        <w:rPr>
          <w:sz w:val="2"/>
          <w:szCs w:val="2"/>
        </w:rPr>
        <w:br w:type="page"/>
      </w:r>
    </w:p>
    <w:p w14:paraId="2224CB70">
      <w:pPr>
        <w:wordWrap w:val="0"/>
        <w:jc w:val="center"/>
        <w:rPr>
          <w:sz w:val="2"/>
          <w:szCs w:val="2"/>
        </w:rPr>
      </w:pPr>
      <w:bookmarkStart w:id="65" w:name="zw"/>
      <w:bookmarkEnd w:id="65"/>
    </w:p>
    <w:p w14:paraId="2ADFF5D2">
      <w:pPr>
        <w:wordWrap w:val="0"/>
        <w:spacing w:line="440" w:lineRule="exact"/>
        <w:jc w:val="center"/>
        <w:outlineLvl w:val="0"/>
        <w:rPr>
          <w:rFonts w:ascii="KaiTi" w:eastAsia="KaiTi" w:hAnsi="KaiTi" w:cs="SimSun"/>
          <w:b/>
          <w:kern w:val="0"/>
        </w:rPr>
      </w:pPr>
      <w:r>
        <w:rPr>
          <w:rFonts w:ascii="SimSun" w:hAnsi="SimSun" w:hint="eastAsia"/>
          <w:b/>
          <w:sz w:val="32"/>
          <w:szCs w:val="32"/>
        </w:rPr>
        <w:t>申请书正文部分</w:t>
      </w:r>
    </w:p>
    <w:p w14:paraId="420A3397">
      <w:pPr>
        <w:wordWrap w:val="0"/>
        <w:spacing w:line="440" w:lineRule="exact"/>
        <w:jc w:val="center"/>
        <w:outlineLvl w:val="0"/>
        <w:rPr>
          <w:rFonts w:ascii="SimSun" w:hAnsi="SimSun"/>
          <w:b/>
          <w:sz w:val="36"/>
          <w:szCs w:val="36"/>
        </w:rPr>
      </w:pPr>
    </w:p>
    <w:p w14:paraId="06BB5800">
      <w:pPr>
        <w:wordWrap w:val="0"/>
        <w:spacing w:line="440" w:lineRule="exact"/>
        <w:ind w:firstLine="560" w:firstLineChars="200"/>
        <w:outlineLvl w:val="0"/>
        <w:rPr>
          <w:rFonts w:ascii="KaiTi" w:eastAsia="KaiTi" w:hAnsi="KaiTi" w:cs="KaiTi"/>
          <w:b/>
        </w:rPr>
      </w:pPr>
      <w:r>
        <w:rPr>
          <w:rFonts w:ascii="KaiTi" w:eastAsia="KaiTi" w:hAnsi="KaiTi" w:cs="KaiTi" w:hint="eastAsia"/>
          <w:b/>
        </w:rPr>
        <w:t>一、立论依据</w:t>
      </w:r>
    </w:p>
    <w:p w14:paraId="789B4C9E">
      <w:pPr>
        <w:wordWrap w:val="0"/>
        <w:spacing w:line="440" w:lineRule="exact"/>
        <w:ind w:firstLine="560" w:firstLineChars="200"/>
        <w:rPr>
          <w:rFonts w:ascii="KaiTi" w:eastAsia="KaiTi" w:hAnsi="KaiTi" w:cs="KaiTi" w:hint="eastAsia"/>
        </w:rPr>
      </w:pPr>
      <w:r>
        <w:rPr>
          <w:rFonts w:ascii="KaiTi" w:eastAsia="KaiTi" w:hAnsi="KaiTi" w:cs="KaiTi" w:hint="eastAsia"/>
        </w:rPr>
        <w:t>1.国内外研究现状及发展动态分析</w:t>
      </w:r>
    </w:p>
    <w:p w14:paraId="2A8CD8CB">
      <w:pPr>
        <w:keepNext w:val="0"/>
        <w:keepLines w:val="0"/>
        <w:pageBreakBefore w:val="0"/>
        <w:widowControl w:val="0"/>
        <w:kinsoku/>
        <w:wordWrap/>
        <w:overflowPunct/>
        <w:topLinePunct w:val="0"/>
        <w:autoSpaceDE/>
        <w:autoSpaceDN/>
        <w:bidi w:val="0"/>
        <w:adjustRightInd/>
        <w:snapToGrid/>
        <w:spacing w:before="120" w:beforeLines="50" w:line="360" w:lineRule="auto"/>
        <w:ind w:firstLine="480" w:firstLineChars="200"/>
        <w:textAlignment w:val="auto"/>
        <w:rPr>
          <w:rFonts w:eastAsia="KaiTi" w:hint="eastAsia"/>
          <w:b/>
          <w:bCs/>
          <w:color w:val="000000"/>
          <w:sz w:val="24"/>
          <w:szCs w:val="21"/>
          <w:highlight w:val="none"/>
          <w:lang w:val="en-US" w:eastAsia="zh-CN" w:bidi="ar"/>
        </w:rPr>
      </w:pPr>
      <w:r>
        <w:rPr>
          <w:rFonts w:ascii="Times New Roman" w:eastAsia="KaiTi" w:hAnsi="Times New Roman" w:hint="eastAsia"/>
          <w:b w:val="0"/>
          <w:bCs w:val="0"/>
          <w:color w:val="000000"/>
          <w:sz w:val="24"/>
          <w:szCs w:val="21"/>
          <w:lang w:val="en-US" w:eastAsia="zh-CN" w:bidi="ar"/>
        </w:rPr>
        <w:t>金属有机框架（MOFs）材料是一类利用桥连的方法将无机金属与有机配体进行复合获得的具有特殊周期性网格结构的杂化材料，其比表面积大</w:t>
      </w:r>
      <w:r>
        <w:rPr>
          <w:rFonts w:eastAsia="KaiTi" w:hint="eastAsia"/>
          <w:b w:val="0"/>
          <w:bCs w:val="0"/>
          <w:color w:val="000000"/>
          <w:sz w:val="24"/>
          <w:szCs w:val="21"/>
          <w:lang w:val="en-US" w:eastAsia="zh-CN" w:bidi="ar"/>
        </w:rPr>
        <w:t>、</w:t>
      </w:r>
      <w:r>
        <w:rPr>
          <w:rFonts w:ascii="Times New Roman" w:eastAsia="KaiTi" w:hAnsi="Times New Roman" w:hint="eastAsia"/>
          <w:b w:val="0"/>
          <w:bCs w:val="0"/>
          <w:color w:val="000000"/>
          <w:sz w:val="24"/>
          <w:szCs w:val="21"/>
          <w:lang w:val="en-US" w:eastAsia="zh-CN" w:bidi="ar"/>
        </w:rPr>
        <w:t>孔隙率高，还具有分子可设计性等优势特征</w:t>
      </w:r>
      <w:r>
        <w:rPr>
          <w:rFonts w:ascii="Times New Roman" w:eastAsia="KaiTi" w:hAnsi="Times New Roman" w:hint="eastAsia"/>
          <w:b w:val="0"/>
          <w:bCs w:val="0"/>
          <w:color w:val="000000"/>
          <w:sz w:val="24"/>
          <w:szCs w:val="21"/>
          <w:vertAlign w:val="superscript"/>
          <w:lang w:val="en-US" w:eastAsia="zh-CN" w:bidi="ar"/>
        </w:rPr>
        <w:t>[</w:t>
      </w:r>
      <w:r>
        <w:rPr>
          <w:rFonts w:eastAsia="KaiTi" w:hint="eastAsia"/>
          <w:b w:val="0"/>
          <w:bCs w:val="0"/>
          <w:color w:val="000000"/>
          <w:sz w:val="24"/>
          <w:szCs w:val="21"/>
          <w:vertAlign w:val="superscript"/>
          <w:lang w:val="en-US" w:eastAsia="zh-CN" w:bidi="ar"/>
        </w:rPr>
        <w:t>1</w:t>
      </w:r>
      <w:r>
        <w:rPr>
          <w:rFonts w:ascii="Times New Roman" w:eastAsia="KaiTi" w:hAnsi="Times New Roman" w:hint="eastAsia"/>
          <w:b w:val="0"/>
          <w:bCs w:val="0"/>
          <w:color w:val="000000"/>
          <w:sz w:val="24"/>
          <w:szCs w:val="21"/>
          <w:vertAlign w:val="superscript"/>
          <w:lang w:val="en-US" w:eastAsia="zh-CN" w:bidi="ar"/>
        </w:rPr>
        <w:t>]</w:t>
      </w:r>
      <w:r>
        <w:rPr>
          <w:rFonts w:ascii="Times New Roman" w:eastAsia="KaiTi" w:hAnsi="Times New Roman" w:hint="eastAsia"/>
          <w:b w:val="0"/>
          <w:bCs w:val="0"/>
          <w:color w:val="000000"/>
          <w:sz w:val="24"/>
          <w:szCs w:val="21"/>
          <w:lang w:val="en-US" w:eastAsia="zh-CN" w:bidi="ar"/>
        </w:rPr>
        <w:t>，对于处理各种环境问题具有很高的应用价值和潜力。近年，金属有机框架对水体中污染物的去除研究涉及构效关系</w:t>
      </w:r>
      <w:r>
        <w:rPr>
          <w:rFonts w:ascii="Times New Roman" w:eastAsia="KaiTi" w:hAnsi="Times New Roman" w:hint="eastAsia"/>
          <w:b w:val="0"/>
          <w:bCs w:val="0"/>
          <w:color w:val="000000"/>
          <w:sz w:val="24"/>
          <w:szCs w:val="21"/>
          <w:vertAlign w:val="superscript"/>
          <w:lang w:val="en-US" w:eastAsia="zh-CN" w:bidi="ar"/>
        </w:rPr>
        <w:t>[</w:t>
      </w:r>
      <w:r>
        <w:rPr>
          <w:rFonts w:eastAsia="KaiTi" w:hint="eastAsia"/>
          <w:b w:val="0"/>
          <w:bCs w:val="0"/>
          <w:color w:val="000000"/>
          <w:sz w:val="24"/>
          <w:szCs w:val="21"/>
          <w:vertAlign w:val="superscript"/>
          <w:lang w:val="en-US" w:eastAsia="zh-CN" w:bidi="ar"/>
        </w:rPr>
        <w:t>2</w:t>
      </w:r>
      <w:r>
        <w:rPr>
          <w:rFonts w:ascii="Times New Roman" w:eastAsia="KaiTi" w:hAnsi="Times New Roman" w:hint="eastAsia"/>
          <w:b w:val="0"/>
          <w:bCs w:val="0"/>
          <w:color w:val="000000"/>
          <w:sz w:val="24"/>
          <w:szCs w:val="21"/>
          <w:vertAlign w:val="superscript"/>
          <w:lang w:val="en-US" w:eastAsia="zh-CN" w:bidi="ar"/>
        </w:rPr>
        <w:t>]</w:t>
      </w:r>
      <w:r>
        <w:rPr>
          <w:rFonts w:ascii="Times New Roman" w:eastAsia="KaiTi" w:hAnsi="Times New Roman" w:hint="eastAsia"/>
          <w:b w:val="0"/>
          <w:bCs w:val="0"/>
          <w:color w:val="000000"/>
          <w:sz w:val="24"/>
          <w:szCs w:val="21"/>
          <w:lang w:val="en-US" w:eastAsia="zh-CN" w:bidi="ar"/>
        </w:rPr>
        <w:t>、去除机制</w:t>
      </w:r>
      <w:r>
        <w:rPr>
          <w:rFonts w:ascii="Times New Roman" w:eastAsia="KaiTi" w:hAnsi="Times New Roman" w:hint="eastAsia"/>
          <w:b w:val="0"/>
          <w:bCs w:val="0"/>
          <w:color w:val="000000"/>
          <w:sz w:val="24"/>
          <w:szCs w:val="21"/>
          <w:vertAlign w:val="superscript"/>
          <w:lang w:val="en-US" w:eastAsia="zh-CN" w:bidi="ar"/>
        </w:rPr>
        <w:t>[</w:t>
      </w:r>
      <w:r>
        <w:rPr>
          <w:rFonts w:eastAsia="KaiTi" w:hint="eastAsia"/>
          <w:b w:val="0"/>
          <w:bCs w:val="0"/>
          <w:color w:val="000000"/>
          <w:sz w:val="24"/>
          <w:szCs w:val="21"/>
          <w:vertAlign w:val="superscript"/>
          <w:lang w:val="en-US" w:eastAsia="zh-CN" w:bidi="ar"/>
        </w:rPr>
        <w:t>3</w:t>
      </w:r>
      <w:r>
        <w:rPr>
          <w:rFonts w:ascii="Times New Roman" w:eastAsia="KaiTi" w:hAnsi="Times New Roman" w:hint="eastAsia"/>
          <w:b w:val="0"/>
          <w:bCs w:val="0"/>
          <w:color w:val="000000"/>
          <w:sz w:val="24"/>
          <w:szCs w:val="21"/>
          <w:vertAlign w:val="superscript"/>
          <w:lang w:val="en-US" w:eastAsia="zh-CN" w:bidi="ar"/>
        </w:rPr>
        <w:t>]</w:t>
      </w:r>
      <w:r>
        <w:rPr>
          <w:rFonts w:ascii="Times New Roman" w:eastAsia="KaiTi" w:hAnsi="Times New Roman" w:hint="eastAsia"/>
          <w:b w:val="0"/>
          <w:bCs w:val="0"/>
          <w:color w:val="000000"/>
          <w:sz w:val="24"/>
          <w:szCs w:val="21"/>
          <w:lang w:val="en-US" w:eastAsia="zh-CN" w:bidi="ar"/>
        </w:rPr>
        <w:t>、共存物影响</w:t>
      </w:r>
      <w:r>
        <w:rPr>
          <w:rFonts w:ascii="Times New Roman" w:eastAsia="KaiTi" w:hAnsi="Times New Roman" w:hint="eastAsia"/>
          <w:b w:val="0"/>
          <w:bCs w:val="0"/>
          <w:color w:val="000000"/>
          <w:sz w:val="24"/>
          <w:szCs w:val="21"/>
          <w:vertAlign w:val="superscript"/>
          <w:lang w:val="en-US" w:eastAsia="zh-CN" w:bidi="ar"/>
        </w:rPr>
        <w:t>[</w:t>
      </w:r>
      <w:r>
        <w:rPr>
          <w:rFonts w:eastAsia="KaiTi" w:hint="eastAsia"/>
          <w:b w:val="0"/>
          <w:bCs w:val="0"/>
          <w:color w:val="000000"/>
          <w:sz w:val="24"/>
          <w:szCs w:val="21"/>
          <w:vertAlign w:val="superscript"/>
          <w:lang w:val="en-US" w:eastAsia="zh-CN" w:bidi="ar"/>
        </w:rPr>
        <w:t>4</w:t>
      </w:r>
      <w:r>
        <w:rPr>
          <w:rFonts w:ascii="Times New Roman" w:eastAsia="KaiTi" w:hAnsi="Times New Roman" w:hint="eastAsia"/>
          <w:b w:val="0"/>
          <w:bCs w:val="0"/>
          <w:color w:val="000000"/>
          <w:sz w:val="24"/>
          <w:szCs w:val="21"/>
          <w:vertAlign w:val="superscript"/>
          <w:lang w:val="en-US" w:eastAsia="zh-CN" w:bidi="ar"/>
        </w:rPr>
        <w:t>]</w:t>
      </w:r>
      <w:r>
        <w:rPr>
          <w:rFonts w:ascii="Times New Roman" w:eastAsia="KaiTi" w:hAnsi="Times New Roman" w:hint="eastAsia"/>
          <w:b w:val="0"/>
          <w:bCs w:val="0"/>
          <w:color w:val="000000"/>
          <w:sz w:val="24"/>
          <w:szCs w:val="21"/>
          <w:lang w:val="en-US" w:eastAsia="zh-CN" w:bidi="ar"/>
        </w:rPr>
        <w:t>等内容。结果表明，MOF可通过配位、静电、π-π键合、氢键、酸碱、螯合等作用机制</w:t>
      </w:r>
      <w:r>
        <w:rPr>
          <w:rFonts w:eastAsia="KaiTi" w:hint="eastAsia"/>
          <w:b w:val="0"/>
          <w:bCs w:val="0"/>
          <w:color w:val="000000"/>
          <w:sz w:val="24"/>
          <w:szCs w:val="21"/>
          <w:lang w:val="en-US" w:eastAsia="zh-CN" w:bidi="ar"/>
        </w:rPr>
        <w:t>吸附</w:t>
      </w:r>
      <w:r>
        <w:rPr>
          <w:rFonts w:ascii="Times New Roman" w:eastAsia="KaiTi" w:hAnsi="Times New Roman" w:hint="eastAsia"/>
          <w:b w:val="0"/>
          <w:bCs w:val="0"/>
          <w:color w:val="000000"/>
          <w:sz w:val="24"/>
          <w:szCs w:val="21"/>
          <w:lang w:val="en-US" w:eastAsia="zh-CN" w:bidi="ar"/>
        </w:rPr>
        <w:t>去除重金属。研究表明，对MOFs材料进行后修饰或使用含有功能化官能团的有机配体可以强化材料对</w:t>
      </w:r>
      <w:r>
        <w:rPr>
          <w:rFonts w:eastAsia="KaiTi" w:hint="eastAsia"/>
          <w:b w:val="0"/>
          <w:bCs w:val="0"/>
          <w:color w:val="000000"/>
          <w:sz w:val="24"/>
          <w:szCs w:val="21"/>
          <w:lang w:val="en-US" w:eastAsia="zh-CN" w:bidi="ar"/>
        </w:rPr>
        <w:t>重</w:t>
      </w:r>
      <w:r>
        <w:rPr>
          <w:rFonts w:ascii="Times New Roman" w:eastAsia="KaiTi" w:hAnsi="Times New Roman" w:hint="eastAsia"/>
          <w:b w:val="0"/>
          <w:bCs w:val="0"/>
          <w:color w:val="000000"/>
          <w:sz w:val="24"/>
          <w:szCs w:val="21"/>
          <w:lang w:val="en-US" w:eastAsia="zh-CN" w:bidi="ar"/>
        </w:rPr>
        <w:t>金属离子的特异性结合并提高吸附容量，提升</w:t>
      </w:r>
      <w:r>
        <w:rPr>
          <w:rFonts w:eastAsia="KaiTi" w:hint="eastAsia"/>
          <w:b w:val="0"/>
          <w:bCs w:val="0"/>
          <w:color w:val="000000"/>
          <w:sz w:val="24"/>
          <w:szCs w:val="21"/>
          <w:lang w:val="en-US" w:eastAsia="zh-CN" w:bidi="ar"/>
        </w:rPr>
        <w:t>去除</w:t>
      </w:r>
      <w:r>
        <w:rPr>
          <w:rFonts w:ascii="Times New Roman" w:eastAsia="KaiTi" w:hAnsi="Times New Roman" w:hint="eastAsia"/>
          <w:b w:val="0"/>
          <w:bCs w:val="0"/>
          <w:color w:val="000000"/>
          <w:sz w:val="24"/>
          <w:szCs w:val="21"/>
          <w:lang w:val="en-US" w:eastAsia="zh-CN" w:bidi="ar"/>
        </w:rPr>
        <w:t>效能</w:t>
      </w:r>
      <w:r>
        <w:rPr>
          <w:rFonts w:ascii="Times New Roman" w:eastAsia="KaiTi" w:hAnsi="Times New Roman" w:hint="eastAsia"/>
          <w:b w:val="0"/>
          <w:bCs w:val="0"/>
          <w:color w:val="000000"/>
          <w:sz w:val="24"/>
          <w:szCs w:val="21"/>
          <w:vertAlign w:val="superscript"/>
          <w:lang w:val="en-US" w:eastAsia="zh-CN" w:bidi="ar"/>
        </w:rPr>
        <w:t>[</w:t>
      </w:r>
      <w:r>
        <w:rPr>
          <w:rFonts w:eastAsia="KaiTi" w:hint="eastAsia"/>
          <w:b w:val="0"/>
          <w:bCs w:val="0"/>
          <w:color w:val="000000"/>
          <w:sz w:val="24"/>
          <w:szCs w:val="21"/>
          <w:vertAlign w:val="superscript"/>
          <w:lang w:val="en-US" w:eastAsia="zh-CN" w:bidi="ar"/>
        </w:rPr>
        <w:t>5,6</w:t>
      </w:r>
      <w:r>
        <w:rPr>
          <w:rFonts w:ascii="Times New Roman" w:eastAsia="KaiTi" w:hAnsi="Times New Roman" w:hint="eastAsia"/>
          <w:b w:val="0"/>
          <w:bCs w:val="0"/>
          <w:color w:val="000000"/>
          <w:sz w:val="24"/>
          <w:szCs w:val="21"/>
          <w:vertAlign w:val="superscript"/>
          <w:lang w:val="en-US" w:eastAsia="zh-CN" w:bidi="ar"/>
        </w:rPr>
        <w:t>]</w:t>
      </w:r>
      <w:r>
        <w:rPr>
          <w:rFonts w:ascii="Times New Roman" w:eastAsia="KaiTi" w:hAnsi="Times New Roman" w:hint="eastAsia"/>
          <w:b w:val="0"/>
          <w:bCs w:val="0"/>
          <w:color w:val="000000"/>
          <w:sz w:val="24"/>
          <w:szCs w:val="21"/>
          <w:lang w:val="en-US" w:eastAsia="zh-CN" w:bidi="ar"/>
        </w:rPr>
        <w:t>。锆基金属有机框架（Zr-MOFs）</w:t>
      </w:r>
      <w:r>
        <w:rPr>
          <w:rFonts w:eastAsia="KaiTi" w:hint="eastAsia"/>
          <w:b w:val="0"/>
          <w:bCs w:val="0"/>
          <w:color w:val="000000"/>
          <w:sz w:val="24"/>
          <w:szCs w:val="21"/>
          <w:lang w:val="en-US" w:eastAsia="zh-CN" w:bidi="ar"/>
        </w:rPr>
        <w:t>具有高稳定性、较高的比表面积和孔隙可调等特性使其在吸附和选择性分离等方面的应用被广泛研究。UiO-66是第一例基于Zr(IV)的锆基MOF，其水热稳定性超过了大多数报道的MOF，在中性、酸性，甚至碱性范围内的水溶液中均可稳定存在，是迄今为止报道的最稳定的MOF材料之一。Zr-MOFs的孔径可以通过二氯二茂锆(Cp</w:t>
      </w:r>
      <w:r>
        <w:rPr>
          <w:rFonts w:eastAsia="KaiTi" w:hint="eastAsia"/>
          <w:b w:val="0"/>
          <w:bCs w:val="0"/>
          <w:color w:val="000000"/>
          <w:sz w:val="24"/>
          <w:szCs w:val="21"/>
          <w:vertAlign w:val="subscript"/>
          <w:lang w:val="en-US" w:eastAsia="zh-CN" w:bidi="ar"/>
        </w:rPr>
        <w:t>2</w:t>
      </w:r>
      <w:r>
        <w:rPr>
          <w:rFonts w:eastAsia="KaiTi" w:hint="eastAsia"/>
          <w:b w:val="0"/>
          <w:bCs w:val="0"/>
          <w:color w:val="000000"/>
          <w:sz w:val="24"/>
          <w:szCs w:val="21"/>
          <w:lang w:val="en-US" w:eastAsia="zh-CN" w:bidi="ar"/>
        </w:rPr>
        <w:t>ZrCl</w:t>
      </w:r>
      <w:r>
        <w:rPr>
          <w:rFonts w:eastAsia="KaiTi" w:hint="eastAsia"/>
          <w:b w:val="0"/>
          <w:bCs w:val="0"/>
          <w:color w:val="000000"/>
          <w:sz w:val="24"/>
          <w:szCs w:val="21"/>
          <w:vertAlign w:val="subscript"/>
          <w:lang w:val="en-US" w:eastAsia="zh-CN" w:bidi="ar"/>
        </w:rPr>
        <w:t>2</w:t>
      </w:r>
      <w:r>
        <w:rPr>
          <w:rFonts w:eastAsia="KaiTi" w:hint="eastAsia"/>
          <w:b w:val="0"/>
          <w:bCs w:val="0"/>
          <w:color w:val="000000"/>
          <w:sz w:val="24"/>
          <w:szCs w:val="21"/>
          <w:lang w:val="en-US" w:eastAsia="zh-CN" w:bidi="ar"/>
        </w:rPr>
        <w:t>，Cp=</w:t>
      </w:r>
      <w:r>
        <w:rPr>
          <w:rFonts w:ascii="Times New Roman" w:eastAsia="KaiTi" w:hAnsi="Times New Roman" w:cs="Times New Roman" w:hint="default"/>
          <w:b w:val="0"/>
          <w:bCs w:val="0"/>
          <w:color w:val="000000"/>
          <w:sz w:val="24"/>
          <w:szCs w:val="21"/>
          <w:lang w:val="en-US" w:eastAsia="zh-CN" w:bidi="ar"/>
        </w:rPr>
        <w:t>η</w:t>
      </w:r>
      <w:r>
        <w:rPr>
          <w:rFonts w:eastAsia="KaiTi" w:hint="eastAsia"/>
          <w:b w:val="0"/>
          <w:bCs w:val="0"/>
          <w:color w:val="000000"/>
          <w:sz w:val="24"/>
          <w:szCs w:val="21"/>
          <w:vertAlign w:val="superscript"/>
          <w:lang w:val="en-US" w:eastAsia="zh-CN" w:bidi="ar"/>
        </w:rPr>
        <w:t>5</w:t>
      </w:r>
      <w:r>
        <w:rPr>
          <w:rFonts w:eastAsia="KaiTi" w:hint="eastAsia"/>
          <w:b w:val="0"/>
          <w:bCs w:val="0"/>
          <w:color w:val="000000"/>
          <w:sz w:val="24"/>
          <w:szCs w:val="21"/>
          <w:lang w:val="en-US" w:eastAsia="zh-CN" w:bidi="ar"/>
        </w:rPr>
        <w:t>-C</w:t>
      </w:r>
      <w:r>
        <w:rPr>
          <w:rFonts w:eastAsia="KaiTi" w:hint="eastAsia"/>
          <w:b w:val="0"/>
          <w:bCs w:val="0"/>
          <w:color w:val="000000"/>
          <w:sz w:val="24"/>
          <w:szCs w:val="21"/>
          <w:vertAlign w:val="subscript"/>
          <w:lang w:val="en-US" w:eastAsia="zh-CN" w:bidi="ar"/>
        </w:rPr>
        <w:t>5</w:t>
      </w:r>
      <w:r>
        <w:rPr>
          <w:rFonts w:eastAsia="KaiTi" w:hint="eastAsia"/>
          <w:b w:val="0"/>
          <w:bCs w:val="0"/>
          <w:color w:val="000000"/>
          <w:sz w:val="24"/>
          <w:szCs w:val="21"/>
          <w:lang w:val="en-US" w:eastAsia="zh-CN" w:bidi="ar"/>
        </w:rPr>
        <w:t>H</w:t>
      </w:r>
      <w:r>
        <w:rPr>
          <w:rFonts w:eastAsia="KaiTi" w:hint="eastAsia"/>
          <w:b w:val="0"/>
          <w:bCs w:val="0"/>
          <w:color w:val="000000"/>
          <w:sz w:val="24"/>
          <w:szCs w:val="21"/>
          <w:vertAlign w:val="subscript"/>
          <w:lang w:val="en-US" w:eastAsia="zh-CN" w:bidi="ar"/>
        </w:rPr>
        <w:t>5</w:t>
      </w:r>
      <w:r>
        <w:rPr>
          <w:rFonts w:eastAsia="KaiTi" w:hint="eastAsia"/>
          <w:b w:val="0"/>
          <w:bCs w:val="0"/>
          <w:color w:val="000000"/>
          <w:sz w:val="24"/>
          <w:szCs w:val="21"/>
          <w:lang w:val="en-US" w:eastAsia="zh-CN" w:bidi="ar"/>
        </w:rPr>
        <w:t>)的缓慢水解获得的三核锆簇和羧酸盐反应进行构建。2021年，Chen等</w:t>
      </w:r>
      <w:r>
        <w:rPr>
          <w:rFonts w:eastAsia="KaiTi" w:hint="eastAsia"/>
          <w:b w:val="0"/>
          <w:bCs w:val="0"/>
          <w:color w:val="000000"/>
          <w:sz w:val="24"/>
          <w:szCs w:val="21"/>
          <w:vertAlign w:val="superscript"/>
          <w:lang w:val="en-US" w:eastAsia="zh-CN" w:bidi="ar"/>
        </w:rPr>
        <w:t>[7]</w:t>
      </w:r>
      <w:r>
        <w:rPr>
          <w:rFonts w:eastAsia="KaiTi" w:hint="eastAsia"/>
          <w:b w:val="0"/>
          <w:bCs w:val="0"/>
          <w:color w:val="000000"/>
          <w:sz w:val="24"/>
          <w:szCs w:val="21"/>
          <w:lang w:val="en-US" w:eastAsia="zh-CN" w:bidi="ar"/>
        </w:rPr>
        <w:t>以二氯二茂锆和2，5-吡啶二甲酸为原料，在溶剂热条件下合成了一种新型锆基金属有机多面体（Zr-MOP-1）。通过材料表征证明了它是由四个三核二茂锆建筑单元以及六个线性羧酸配体形成的四面体构型。研究表明，Zr-MOP-1对碘分子和碘的单晶结构具有选择性吸附效果。</w:t>
      </w:r>
      <w:r>
        <w:rPr>
          <w:rFonts w:eastAsia="KaiTi" w:hint="eastAsia"/>
          <w:b w:val="0"/>
          <w:bCs w:val="0"/>
          <w:color w:val="000000"/>
          <w:sz w:val="24"/>
          <w:szCs w:val="21"/>
          <w:highlight w:val="none"/>
          <w:lang w:val="en-US" w:eastAsia="zh-CN" w:bidi="ar"/>
        </w:rPr>
        <w:t>我们前期研究将二茂铁作为功能基团接枝到铁基金属有机骨架中（称为Fe-MIL-88B-Fc）用于高选择性地去除水中的As(III)</w:t>
      </w:r>
      <w:r>
        <w:rPr>
          <w:rFonts w:eastAsia="KaiTi" w:hint="eastAsia"/>
          <w:b w:val="0"/>
          <w:bCs w:val="0"/>
          <w:color w:val="000000"/>
          <w:sz w:val="24"/>
          <w:szCs w:val="21"/>
          <w:highlight w:val="none"/>
          <w:vertAlign w:val="superscript"/>
          <w:lang w:val="en-US" w:eastAsia="zh-CN" w:bidi="ar"/>
        </w:rPr>
        <w:t>[8]</w:t>
      </w:r>
      <w:r>
        <w:rPr>
          <w:rFonts w:eastAsia="KaiTi" w:hint="eastAsia"/>
          <w:b w:val="0"/>
          <w:bCs w:val="0"/>
          <w:color w:val="000000"/>
          <w:sz w:val="24"/>
          <w:szCs w:val="21"/>
          <w:highlight w:val="none"/>
          <w:lang w:val="en-US" w:eastAsia="zh-CN" w:bidi="ar"/>
        </w:rPr>
        <w:t>。在1.2 V电压下，Fe-MIL-88B-Fc可以选择性地从含100-1250倍竞争离子的溶液中捕获As(III)并将其氧化成危害较小的As(V)，吸附容量大于110 mg-As g</w:t>
      </w:r>
      <w:r>
        <w:rPr>
          <w:rFonts w:eastAsia="KaiTi" w:hint="eastAsia"/>
          <w:b w:val="0"/>
          <w:bCs w:val="0"/>
          <w:color w:val="000000"/>
          <w:sz w:val="24"/>
          <w:szCs w:val="21"/>
          <w:highlight w:val="none"/>
          <w:vertAlign w:val="superscript"/>
          <w:lang w:val="en-US" w:eastAsia="zh-CN" w:bidi="ar"/>
        </w:rPr>
        <w:t>−1</w:t>
      </w:r>
      <w:r>
        <w:rPr>
          <w:rFonts w:eastAsia="KaiTi" w:hint="eastAsia"/>
          <w:b w:val="0"/>
          <w:bCs w:val="0"/>
          <w:color w:val="000000"/>
          <w:sz w:val="24"/>
          <w:szCs w:val="21"/>
          <w:highlight w:val="none"/>
          <w:lang w:val="en-US" w:eastAsia="zh-CN" w:bidi="ar"/>
        </w:rPr>
        <w:t>。研究表明，As(III)与Fe-MIL-88B-Fc中</w:t>
      </w:r>
      <w:r>
        <w:rPr>
          <w:rFonts w:ascii="Times New Roman" w:eastAsia="KaiTi" w:hAnsi="Times New Roman" w:cs="Times New Roman" w:hint="default"/>
          <w:b w:val="0"/>
          <w:bCs w:val="0"/>
          <w:color w:val="000000"/>
          <w:sz w:val="24"/>
          <w:szCs w:val="21"/>
          <w:highlight w:val="none"/>
          <w:lang w:val="en-US" w:eastAsia="zh-CN" w:bidi="ar"/>
        </w:rPr>
        <w:t>μ3-O</w:t>
      </w:r>
      <w:r>
        <w:rPr>
          <w:rFonts w:eastAsia="KaiTi" w:hint="eastAsia"/>
          <w:b w:val="0"/>
          <w:bCs w:val="0"/>
          <w:color w:val="000000"/>
          <w:sz w:val="24"/>
          <w:szCs w:val="21"/>
          <w:highlight w:val="none"/>
          <w:lang w:val="en-US" w:eastAsia="zh-CN" w:bidi="ar"/>
        </w:rPr>
        <w:t>三聚体的高亲和力（-36.55 kcal mol</w:t>
      </w:r>
      <w:r>
        <w:rPr>
          <w:rFonts w:eastAsia="KaiTi" w:hint="eastAsia"/>
          <w:b w:val="0"/>
          <w:bCs w:val="0"/>
          <w:color w:val="000000"/>
          <w:sz w:val="24"/>
          <w:szCs w:val="21"/>
          <w:highlight w:val="none"/>
          <w:vertAlign w:val="superscript"/>
          <w:lang w:val="en-US" w:eastAsia="zh-CN" w:bidi="ar"/>
        </w:rPr>
        <w:t>−1</w:t>
      </w:r>
      <w:r>
        <w:rPr>
          <w:rFonts w:eastAsia="KaiTi" w:hint="eastAsia"/>
          <w:b w:val="0"/>
          <w:bCs w:val="0"/>
          <w:color w:val="000000"/>
          <w:sz w:val="24"/>
          <w:szCs w:val="21"/>
          <w:highlight w:val="none"/>
          <w:lang w:val="en-US" w:eastAsia="zh-CN" w:bidi="ar"/>
        </w:rPr>
        <w:t>）以及As(III)与氧化还原活性Fc</w:t>
      </w:r>
      <w:r>
        <w:rPr>
          <w:rFonts w:eastAsia="KaiTi" w:hint="eastAsia"/>
          <w:b w:val="0"/>
          <w:bCs w:val="0"/>
          <w:color w:val="000000"/>
          <w:sz w:val="24"/>
          <w:szCs w:val="21"/>
          <w:highlight w:val="none"/>
          <w:vertAlign w:val="superscript"/>
          <w:lang w:val="en-US" w:eastAsia="zh-CN" w:bidi="ar"/>
        </w:rPr>
        <w:t>+</w:t>
      </w:r>
      <w:r>
        <w:rPr>
          <w:rFonts w:eastAsia="KaiTi" w:hint="eastAsia"/>
          <w:b w:val="0"/>
          <w:bCs w:val="0"/>
          <w:color w:val="000000"/>
          <w:sz w:val="24"/>
          <w:szCs w:val="21"/>
          <w:highlight w:val="none"/>
          <w:lang w:val="en-US" w:eastAsia="zh-CN" w:bidi="ar"/>
        </w:rPr>
        <w:t>之间的电子转移协同控制了砷的选择性捕获和高效转化。</w:t>
      </w:r>
      <w:r>
        <w:rPr>
          <w:rFonts w:eastAsia="KaiTi" w:hint="eastAsia"/>
          <w:b/>
          <w:bCs/>
          <w:color w:val="000000"/>
          <w:sz w:val="24"/>
          <w:szCs w:val="21"/>
          <w:highlight w:val="none"/>
          <w:lang w:val="en-US" w:eastAsia="zh-CN" w:bidi="ar"/>
        </w:rPr>
        <w:t>尽管如此，实际废水中通常共存多种离子和有机物，</w:t>
      </w:r>
      <w:bookmarkStart w:id="66" w:name="OLE_LINK52"/>
      <w:r>
        <w:rPr>
          <w:rFonts w:eastAsia="KaiTi" w:hint="eastAsia"/>
          <w:b/>
          <w:bCs/>
          <w:color w:val="000000"/>
          <w:sz w:val="24"/>
          <w:szCs w:val="21"/>
          <w:highlight w:val="none"/>
          <w:lang w:val="en-US" w:eastAsia="zh-CN" w:bidi="ar"/>
        </w:rPr>
        <w:t>锆基异质金属有机框架（M-Zr-MOFs）</w:t>
      </w:r>
      <w:bookmarkEnd w:id="66"/>
      <w:r>
        <w:rPr>
          <w:rFonts w:eastAsia="KaiTi" w:hint="eastAsia"/>
          <w:b/>
          <w:bCs/>
          <w:color w:val="000000"/>
          <w:sz w:val="24"/>
          <w:szCs w:val="21"/>
          <w:highlight w:val="none"/>
          <w:lang w:val="en-US" w:eastAsia="zh-CN" w:bidi="ar"/>
        </w:rPr>
        <w:t>对重金属离子和重金属有机络合物的捕获机制尚不明晰，关于提升其对废水中重金属的吸附效能并使之还原为低价态或金属单质以及界面反应机制的研究鲜有报道，限制了高效吸附型催化材料的开发和应用。</w:t>
      </w:r>
    </w:p>
    <w:p w14:paraId="168BA3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KaiTi" w:eastAsia="KaiTi" w:hAnsi="KaiTi" w:cs="KaiTi" w:hint="default"/>
          <w:b/>
          <w:bCs/>
          <w:color w:val="000000"/>
          <w:sz w:val="24"/>
          <w:szCs w:val="21"/>
          <w:lang w:val="en-US" w:bidi="ar"/>
        </w:rPr>
      </w:pPr>
      <w:r>
        <w:rPr>
          <w:rFonts w:eastAsia="KaiTi" w:hint="eastAsia"/>
          <w:b w:val="0"/>
          <w:bCs w:val="0"/>
          <w:color w:val="000000"/>
          <w:sz w:val="24"/>
          <w:szCs w:val="21"/>
          <w:lang w:val="en-US" w:eastAsia="zh-CN" w:bidi="ar"/>
        </w:rPr>
        <w:t>在实际应用过程中，吸附剂的分离和再生是粉体MOFs材料面临的一个重要的挑战。将粉体MOFs固定在砂粒、碳纳米管、海绵、静电纺丝、纤维膜等基质上，可以有效克服吸附剂在固液分离时易流失导致的材料损失和反应器管道堵塞问题。另一方面，将MOF与其它功能材料复合制备的具有新功能的复合材料通常表现出优于单组分的吸附性能和结构稳定性，增强了材料的实用性能，受到了广泛关注。MXene是具有纳米级厚度的二维过渡金属碳化物、氮化物、碳氮化物。研究表明，MXene因具有高比表面积、较高的表面负电荷以及表面大量的含氧官能团等优点，在处理水体重金属领域有广泛的应用前景</w:t>
      </w:r>
      <w:r>
        <w:rPr>
          <w:rFonts w:eastAsia="KaiTi" w:hint="eastAsia"/>
          <w:b w:val="0"/>
          <w:bCs w:val="0"/>
          <w:color w:val="000000"/>
          <w:sz w:val="24"/>
          <w:szCs w:val="21"/>
          <w:vertAlign w:val="superscript"/>
          <w:lang w:val="en-US" w:eastAsia="zh-CN" w:bidi="ar"/>
        </w:rPr>
        <w:t>[9]</w:t>
      </w:r>
      <w:r>
        <w:rPr>
          <w:rFonts w:eastAsia="KaiTi" w:hint="eastAsia"/>
          <w:b w:val="0"/>
          <w:bCs w:val="0"/>
          <w:color w:val="000000"/>
          <w:sz w:val="24"/>
          <w:szCs w:val="21"/>
          <w:lang w:val="en-US" w:eastAsia="zh-CN" w:bidi="ar"/>
        </w:rPr>
        <w:t xml:space="preserve">。具有高导电性、良好亲水性和优异机械性能的2D </w:t>
      </w:r>
      <w:bookmarkStart w:id="67" w:name="OLE_LINK43"/>
      <w:r>
        <w:rPr>
          <w:rFonts w:eastAsia="KaiTi" w:hint="eastAsia"/>
          <w:b w:val="0"/>
          <w:bCs w:val="0"/>
          <w:color w:val="000000"/>
          <w:sz w:val="24"/>
          <w:szCs w:val="21"/>
          <w:lang w:val="en-US" w:eastAsia="zh-CN" w:bidi="ar"/>
        </w:rPr>
        <w:t>MXene</w:t>
      </w:r>
      <w:bookmarkEnd w:id="67"/>
      <w:r>
        <w:rPr>
          <w:rFonts w:eastAsia="KaiTi" w:hint="eastAsia"/>
          <w:b w:val="0"/>
          <w:bCs w:val="0"/>
          <w:color w:val="000000"/>
          <w:sz w:val="24"/>
          <w:szCs w:val="21"/>
          <w:lang w:val="en-US" w:eastAsia="zh-CN" w:bidi="ar"/>
        </w:rPr>
        <w:t>可用于构建具有独特性能的膜</w:t>
      </w:r>
      <w:r>
        <w:rPr>
          <w:rFonts w:eastAsia="KaiTi" w:hint="eastAsia"/>
          <w:b w:val="0"/>
          <w:bCs w:val="0"/>
          <w:color w:val="000000"/>
          <w:sz w:val="24"/>
          <w:szCs w:val="21"/>
          <w:vertAlign w:val="superscript"/>
          <w:lang w:val="en-US" w:eastAsia="zh-CN" w:bidi="ar"/>
        </w:rPr>
        <w:t>[10]</w:t>
      </w:r>
      <w:r>
        <w:rPr>
          <w:rFonts w:eastAsia="KaiTi" w:hint="eastAsia"/>
          <w:b w:val="0"/>
          <w:bCs w:val="0"/>
          <w:color w:val="000000"/>
          <w:sz w:val="24"/>
          <w:szCs w:val="21"/>
          <w:lang w:val="en-US" w:eastAsia="zh-CN" w:bidi="ar"/>
        </w:rPr>
        <w:t>。另外，MXene是理想的材料桥接载体，可以保证结构的稳定性和活性位点的充分暴露</w:t>
      </w:r>
      <w:r>
        <w:rPr>
          <w:rFonts w:eastAsia="KaiTi" w:hint="eastAsia"/>
          <w:b w:val="0"/>
          <w:bCs w:val="0"/>
          <w:color w:val="000000"/>
          <w:sz w:val="24"/>
          <w:szCs w:val="21"/>
          <w:vertAlign w:val="superscript"/>
          <w:lang w:val="en-US" w:eastAsia="zh-CN" w:bidi="ar"/>
        </w:rPr>
        <w:t>[11,12]</w:t>
      </w:r>
      <w:r>
        <w:rPr>
          <w:rFonts w:eastAsia="KaiTi" w:hint="eastAsia"/>
          <w:b w:val="0"/>
          <w:bCs w:val="0"/>
          <w:color w:val="000000"/>
          <w:sz w:val="24"/>
          <w:szCs w:val="21"/>
          <w:lang w:val="en-US" w:eastAsia="zh-CN" w:bidi="ar"/>
        </w:rPr>
        <w:t>。由MXene和金属点位形成的界面桥可以调节活性中心的费米能级，与传统催化剂载体相比增加了其固有活性</w:t>
      </w:r>
      <w:r>
        <w:rPr>
          <w:rFonts w:eastAsia="KaiTi" w:hint="eastAsia"/>
          <w:b w:val="0"/>
          <w:bCs w:val="0"/>
          <w:color w:val="000000"/>
          <w:sz w:val="24"/>
          <w:szCs w:val="21"/>
          <w:vertAlign w:val="superscript"/>
          <w:lang w:val="en-US" w:eastAsia="zh-CN" w:bidi="ar"/>
        </w:rPr>
        <w:t>[11]</w:t>
      </w:r>
      <w:r>
        <w:rPr>
          <w:rFonts w:eastAsia="KaiTi" w:hint="eastAsia"/>
          <w:b w:val="0"/>
          <w:bCs w:val="0"/>
          <w:color w:val="000000"/>
          <w:sz w:val="24"/>
          <w:szCs w:val="21"/>
          <w:lang w:val="en-US" w:eastAsia="zh-CN" w:bidi="ar"/>
        </w:rPr>
        <w:t>。</w:t>
      </w:r>
      <w:r>
        <w:rPr>
          <w:rFonts w:eastAsia="KaiTi" w:hint="eastAsia"/>
          <w:b/>
          <w:bCs/>
          <w:color w:val="000000"/>
          <w:sz w:val="24"/>
          <w:szCs w:val="21"/>
          <w:lang w:val="en-US" w:eastAsia="zh-CN" w:bidi="ar"/>
        </w:rPr>
        <w:t>综上，本项目提出基于MXene构筑人工纳米二维通道，将</w:t>
      </w:r>
      <w:bookmarkStart w:id="68" w:name="OLE_LINK15"/>
      <w:bookmarkStart w:id="69" w:name="OLE_LINK36"/>
      <w:r>
        <w:rPr>
          <w:rFonts w:eastAsia="KaiTi" w:hint="eastAsia"/>
          <w:b/>
          <w:bCs/>
          <w:color w:val="000000"/>
          <w:sz w:val="24"/>
          <w:szCs w:val="21"/>
          <w:lang w:val="en-US" w:eastAsia="zh-CN" w:bidi="ar"/>
        </w:rPr>
        <w:t>锆基异质金属有机框架</w:t>
      </w:r>
      <w:bookmarkEnd w:id="68"/>
      <w:r>
        <w:rPr>
          <w:rFonts w:eastAsia="KaiTi" w:hint="eastAsia"/>
          <w:b/>
          <w:bCs/>
          <w:color w:val="000000"/>
          <w:sz w:val="24"/>
          <w:szCs w:val="21"/>
          <w:lang w:val="en-US" w:eastAsia="zh-CN" w:bidi="ar"/>
        </w:rPr>
        <w:t>（M-Zr-MOFs）</w:t>
      </w:r>
      <w:bookmarkEnd w:id="69"/>
      <w:r>
        <w:rPr>
          <w:rFonts w:eastAsia="KaiTi" w:hint="eastAsia"/>
          <w:b/>
          <w:bCs/>
          <w:color w:val="000000"/>
          <w:sz w:val="24"/>
          <w:szCs w:val="21"/>
          <w:lang w:val="en-US" w:eastAsia="zh-CN" w:bidi="ar"/>
        </w:rPr>
        <w:t>嵌入MXene片层间，制备具有较大比表面积和层间间距的MXene/M-Zr-MOF电催化膜，形成延伸的纳米通道，利于物质运输扩散，同时在离子迁移过程中嵌入选择性强化机制，理论上</w:t>
      </w:r>
      <w:bookmarkStart w:id="70" w:name="OLE_LINK116"/>
      <w:r>
        <w:rPr>
          <w:rFonts w:eastAsia="KaiTi" w:hint="eastAsia"/>
          <w:b/>
          <w:bCs/>
          <w:color w:val="000000"/>
          <w:sz w:val="24"/>
          <w:szCs w:val="21"/>
          <w:lang w:val="en-US" w:eastAsia="zh-CN" w:bidi="ar"/>
        </w:rPr>
        <w:t>耦合M-Zr-MOF高孔隙率和稳定性、较高催化活性和MXene高导电性、优异机械性能</w:t>
      </w:r>
      <w:bookmarkEnd w:id="70"/>
      <w:r>
        <w:rPr>
          <w:rFonts w:eastAsia="KaiTi" w:hint="eastAsia"/>
          <w:b/>
          <w:bCs/>
          <w:color w:val="000000"/>
          <w:sz w:val="24"/>
          <w:szCs w:val="21"/>
          <w:lang w:val="en-US" w:eastAsia="zh-CN" w:bidi="ar"/>
        </w:rPr>
        <w:t>，实现重金属的选择性吸附去除和电催化还原回收。</w:t>
      </w:r>
    </w:p>
    <w:p w14:paraId="0AE536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KaiTi" w:cs="Times New Roman" w:hint="default"/>
          <w:b/>
          <w:bCs/>
          <w:color w:val="000000"/>
          <w:sz w:val="24"/>
          <w:szCs w:val="21"/>
          <w:vertAlign w:val="baseline"/>
          <w:lang w:val="en-US" w:eastAsia="zh-CN" w:bidi="ar"/>
        </w:rPr>
      </w:pPr>
      <w:bookmarkStart w:id="71" w:name="OLE_LINK50"/>
      <w:r>
        <w:rPr>
          <w:rFonts w:eastAsia="KaiTi" w:hint="eastAsia"/>
          <w:b w:val="0"/>
          <w:bCs w:val="0"/>
          <w:color w:val="000000"/>
          <w:sz w:val="24"/>
          <w:szCs w:val="21"/>
          <w:lang w:val="en-US" w:eastAsia="zh-CN" w:bidi="ar"/>
        </w:rPr>
        <w:t>MOFs</w:t>
      </w:r>
      <w:bookmarkEnd w:id="71"/>
      <w:r>
        <w:rPr>
          <w:rFonts w:eastAsia="KaiTi" w:hint="eastAsia"/>
          <w:b w:val="0"/>
          <w:bCs w:val="0"/>
          <w:color w:val="000000"/>
          <w:sz w:val="24"/>
          <w:szCs w:val="21"/>
          <w:lang w:val="en-US" w:eastAsia="zh-CN" w:bidi="ar"/>
        </w:rPr>
        <w:t>因具有比表面积高、孔道规则、结构可修饰和可接触活性位点多等优点，在电催化领域展现了巨大的应用潜力</w:t>
      </w:r>
      <w:r>
        <w:rPr>
          <w:rFonts w:eastAsia="KaiTi" w:hint="eastAsia"/>
          <w:b w:val="0"/>
          <w:bCs w:val="0"/>
          <w:color w:val="000000"/>
          <w:sz w:val="24"/>
          <w:szCs w:val="21"/>
          <w:vertAlign w:val="superscript"/>
          <w:lang w:val="en-US" w:eastAsia="zh-CN" w:bidi="ar"/>
        </w:rPr>
        <w:t>[13]</w:t>
      </w:r>
      <w:r>
        <w:rPr>
          <w:rFonts w:eastAsia="KaiTi" w:hint="eastAsia"/>
          <w:b w:val="0"/>
          <w:bCs w:val="0"/>
          <w:color w:val="000000"/>
          <w:sz w:val="24"/>
          <w:szCs w:val="21"/>
          <w:lang w:val="en-US" w:eastAsia="zh-CN" w:bidi="ar"/>
        </w:rPr>
        <w:t>。然而，由于传统MOFs材料的导电性和本征活性较低，直接作为电催化剂使用时存在催化活性较低和结构不稳定的问题。通过对其中的配体进行功能化调控，可以显著影响MOFs材料的电子结构，优化其电催化活性和稳定性</w:t>
      </w:r>
      <w:r>
        <w:rPr>
          <w:rFonts w:eastAsia="KaiTi" w:hint="eastAsia"/>
          <w:b w:val="0"/>
          <w:bCs w:val="0"/>
          <w:color w:val="000000"/>
          <w:sz w:val="24"/>
          <w:szCs w:val="21"/>
          <w:vertAlign w:val="superscript"/>
          <w:lang w:val="en-US" w:eastAsia="zh-CN" w:bidi="ar"/>
        </w:rPr>
        <w:t>[14,15]</w:t>
      </w:r>
      <w:r>
        <w:rPr>
          <w:rFonts w:eastAsia="KaiTi" w:hint="eastAsia"/>
          <w:b w:val="0"/>
          <w:bCs w:val="0"/>
          <w:color w:val="000000"/>
          <w:sz w:val="24"/>
          <w:szCs w:val="21"/>
          <w:lang w:val="en-US" w:eastAsia="zh-CN" w:bidi="ar"/>
        </w:rPr>
        <w:t>。Wang 等</w:t>
      </w:r>
      <w:r>
        <w:rPr>
          <w:rFonts w:eastAsia="KaiTi" w:hint="eastAsia"/>
          <w:b w:val="0"/>
          <w:bCs w:val="0"/>
          <w:color w:val="000000"/>
          <w:sz w:val="24"/>
          <w:szCs w:val="21"/>
          <w:vertAlign w:val="superscript"/>
          <w:lang w:val="en-US" w:eastAsia="zh-CN" w:bidi="ar"/>
        </w:rPr>
        <w:t>[16]</w:t>
      </w:r>
      <w:r>
        <w:rPr>
          <w:rFonts w:eastAsia="KaiTi" w:hint="eastAsia"/>
          <w:b w:val="0"/>
          <w:bCs w:val="0"/>
          <w:color w:val="000000"/>
          <w:sz w:val="24"/>
          <w:szCs w:val="21"/>
          <w:lang w:val="en-US" w:eastAsia="zh-CN" w:bidi="ar"/>
        </w:rPr>
        <w:t>通过改进的溶剂热法用2,5-二羟基苯-1,4-二甲酸（BDC-(OH)</w:t>
      </w:r>
      <w:r>
        <w:rPr>
          <w:rFonts w:eastAsia="KaiTi" w:hint="eastAsia"/>
          <w:b w:val="0"/>
          <w:bCs w:val="0"/>
          <w:color w:val="000000"/>
          <w:sz w:val="24"/>
          <w:szCs w:val="21"/>
          <w:vertAlign w:val="subscript"/>
          <w:lang w:val="en-US" w:eastAsia="zh-CN" w:bidi="ar"/>
        </w:rPr>
        <w:t>2</w:t>
      </w:r>
      <w:r>
        <w:rPr>
          <w:rFonts w:eastAsia="KaiTi" w:hint="eastAsia"/>
          <w:b w:val="0"/>
          <w:bCs w:val="0"/>
          <w:color w:val="000000"/>
          <w:sz w:val="24"/>
          <w:szCs w:val="21"/>
          <w:lang w:val="en-US" w:eastAsia="zh-CN" w:bidi="ar"/>
        </w:rPr>
        <w:t>）作为有机配体制备了锆基MOF（UiO-66-(OH)</w:t>
      </w:r>
      <w:r>
        <w:rPr>
          <w:rFonts w:eastAsia="KaiTi" w:hint="eastAsia"/>
          <w:b w:val="0"/>
          <w:bCs w:val="0"/>
          <w:color w:val="000000"/>
          <w:sz w:val="24"/>
          <w:szCs w:val="21"/>
          <w:vertAlign w:val="subscript"/>
          <w:lang w:val="en-US" w:eastAsia="zh-CN" w:bidi="ar"/>
        </w:rPr>
        <w:t>2</w:t>
      </w:r>
      <w:r>
        <w:rPr>
          <w:rFonts w:eastAsia="KaiTi" w:hint="eastAsia"/>
          <w:b w:val="0"/>
          <w:bCs w:val="0"/>
          <w:color w:val="000000"/>
          <w:sz w:val="24"/>
          <w:szCs w:val="21"/>
          <w:lang w:val="en-US" w:eastAsia="zh-CN" w:bidi="ar"/>
        </w:rPr>
        <w:t>）。配体上的羟基官能团不仅是</w:t>
      </w:r>
      <w:r>
        <w:rPr>
          <w:rFonts w:ascii="Times New Roman" w:eastAsia="KaiTi" w:hAnsi="Times New Roman" w:cs="Times New Roman" w:hint="default"/>
          <w:b w:val="0"/>
          <w:bCs w:val="0"/>
          <w:color w:val="000000"/>
          <w:sz w:val="24"/>
          <w:szCs w:val="21"/>
          <w:lang w:val="en-US" w:eastAsia="zh-CN" w:bidi="ar"/>
        </w:rPr>
        <w:t>Cr(Ⅵ)</w:t>
      </w:r>
      <w:r>
        <w:rPr>
          <w:rFonts w:eastAsia="KaiTi" w:hint="eastAsia"/>
          <w:b w:val="0"/>
          <w:bCs w:val="0"/>
          <w:color w:val="000000"/>
          <w:sz w:val="24"/>
          <w:szCs w:val="21"/>
          <w:lang w:val="en-US" w:eastAsia="zh-CN" w:bidi="ar"/>
        </w:rPr>
        <w:t>的还原中心，在</w:t>
      </w:r>
      <w:r>
        <w:rPr>
          <w:rFonts w:ascii="Times New Roman" w:eastAsia="KaiTi" w:hAnsi="Times New Roman" w:cs="Times New Roman" w:hint="default"/>
          <w:b w:val="0"/>
          <w:bCs w:val="0"/>
          <w:color w:val="000000"/>
          <w:sz w:val="24"/>
          <w:szCs w:val="21"/>
          <w:lang w:val="en-US" w:eastAsia="zh-CN" w:bidi="ar"/>
        </w:rPr>
        <w:t>Cr(Ⅵ)</w:t>
      </w:r>
      <w:r>
        <w:rPr>
          <w:rFonts w:eastAsia="KaiTi" w:hint="eastAsia"/>
          <w:b w:val="0"/>
          <w:bCs w:val="0"/>
          <w:color w:val="000000"/>
          <w:sz w:val="24"/>
          <w:szCs w:val="21"/>
          <w:lang w:val="en-US" w:eastAsia="zh-CN" w:bidi="ar"/>
        </w:rPr>
        <w:t>还原为Cr(III)后，配体的苯醌部分还可以成为有效捕获</w:t>
      </w:r>
      <w:r>
        <w:rPr>
          <w:rFonts w:ascii="Times New Roman" w:eastAsia="KaiTi" w:hAnsi="Times New Roman" w:cs="Times New Roman" w:hint="default"/>
          <w:b w:val="0"/>
          <w:bCs w:val="0"/>
          <w:color w:val="000000"/>
          <w:sz w:val="24"/>
          <w:szCs w:val="21"/>
          <w:lang w:val="en-US" w:eastAsia="zh-CN" w:bidi="ar"/>
        </w:rPr>
        <w:t>Cr(Ⅲ)</w:t>
      </w:r>
      <w:r>
        <w:rPr>
          <w:rFonts w:eastAsia="KaiTi" w:hint="eastAsia"/>
          <w:b w:val="0"/>
          <w:bCs w:val="0"/>
          <w:color w:val="000000"/>
          <w:sz w:val="24"/>
          <w:szCs w:val="21"/>
          <w:lang w:val="en-US" w:eastAsia="zh-CN" w:bidi="ar"/>
        </w:rPr>
        <w:t>的锚定位点。结果表明，UiO-66-(OH)</w:t>
      </w:r>
      <w:r>
        <w:rPr>
          <w:rFonts w:eastAsia="KaiTi" w:hint="eastAsia"/>
          <w:b w:val="0"/>
          <w:bCs w:val="0"/>
          <w:color w:val="000000"/>
          <w:sz w:val="24"/>
          <w:szCs w:val="21"/>
          <w:vertAlign w:val="subscript"/>
          <w:lang w:val="en-US" w:eastAsia="zh-CN" w:bidi="ar"/>
        </w:rPr>
        <w:t>2</w:t>
      </w:r>
      <w:r>
        <w:rPr>
          <w:rFonts w:eastAsia="KaiTi" w:hint="eastAsia"/>
          <w:b w:val="0"/>
          <w:bCs w:val="0"/>
          <w:color w:val="000000"/>
          <w:sz w:val="24"/>
          <w:szCs w:val="21"/>
          <w:lang w:val="en-US" w:eastAsia="zh-CN" w:bidi="ar"/>
        </w:rPr>
        <w:t>几乎完全去除了含有5 mg/LCr(VI)的模拟工业废水中的铬，处理后的水中总铬含量降至50 ppb以下，远低于USA-EPA规定的饮用水中总铬含量限值（100 ppb）。此外，</w:t>
      </w:r>
      <w:r>
        <w:rPr>
          <w:rFonts w:eastAsia="KaiTi" w:cs="Times New Roman" w:hint="eastAsia"/>
          <w:b w:val="0"/>
          <w:bCs w:val="0"/>
          <w:color w:val="000000"/>
          <w:sz w:val="24"/>
          <w:szCs w:val="21"/>
          <w:vertAlign w:val="baseline"/>
          <w:lang w:val="en-US" w:eastAsia="zh-CN" w:bidi="ar"/>
        </w:rPr>
        <w:t>在单金属基础上添加另一种金属使形成双金属MOF，利用金属之间的协同作用和活性中心的增加，可以提高MOFs电催化性能</w:t>
      </w:r>
      <w:r>
        <w:rPr>
          <w:rFonts w:eastAsia="KaiTi" w:cs="Times New Roman" w:hint="eastAsia"/>
          <w:b w:val="0"/>
          <w:bCs w:val="0"/>
          <w:color w:val="000000"/>
          <w:sz w:val="24"/>
          <w:szCs w:val="21"/>
          <w:vertAlign w:val="superscript"/>
          <w:lang w:val="en-US" w:eastAsia="zh-CN" w:bidi="ar"/>
        </w:rPr>
        <w:t>[17,18]</w:t>
      </w:r>
      <w:r>
        <w:rPr>
          <w:rFonts w:eastAsia="KaiTi" w:cs="Times New Roman" w:hint="eastAsia"/>
          <w:b w:val="0"/>
          <w:bCs w:val="0"/>
          <w:color w:val="000000"/>
          <w:sz w:val="24"/>
          <w:szCs w:val="21"/>
          <w:vertAlign w:val="baseline"/>
          <w:lang w:val="en-US" w:eastAsia="zh-CN" w:bidi="ar"/>
        </w:rPr>
        <w:t>。Deng等</w:t>
      </w:r>
      <w:r>
        <w:rPr>
          <w:rFonts w:eastAsia="KaiTi" w:cs="Times New Roman" w:hint="eastAsia"/>
          <w:b w:val="0"/>
          <w:bCs w:val="0"/>
          <w:color w:val="000000"/>
          <w:sz w:val="24"/>
          <w:szCs w:val="21"/>
          <w:vertAlign w:val="superscript"/>
          <w:lang w:val="en-US" w:eastAsia="zh-CN" w:bidi="ar"/>
        </w:rPr>
        <w:t>[19]</w:t>
      </w:r>
      <w:r>
        <w:rPr>
          <w:rFonts w:eastAsia="KaiTi" w:cs="Times New Roman" w:hint="eastAsia"/>
          <w:b w:val="0"/>
          <w:bCs w:val="0"/>
          <w:color w:val="000000"/>
          <w:sz w:val="24"/>
          <w:szCs w:val="21"/>
          <w:vertAlign w:val="baseline"/>
          <w:lang w:val="en-US" w:eastAsia="zh-CN" w:bidi="ar"/>
        </w:rPr>
        <w:t>制备了2D Zr-Fc-MOF材料用于海水淡化和有机污染物的降解。结果表明，Zr-Fc MOF作为Fenton催化剂，可促进</w:t>
      </w:r>
      <w:r>
        <w:rPr>
          <w:rFonts w:ascii="Times New Roman" w:eastAsia="SimSun" w:hAnsi="Times New Roman" w:cs="Times New Roman" w:hint="default"/>
          <w:b w:val="0"/>
          <w:bCs w:val="0"/>
          <w:color w:val="000000"/>
          <w:sz w:val="24"/>
          <w:szCs w:val="21"/>
          <w:vertAlign w:val="baseline"/>
          <w:lang w:val="en-US" w:eastAsia="zh-CN" w:bidi="ar"/>
        </w:rPr>
        <w:t>·</w:t>
      </w:r>
      <w:r>
        <w:rPr>
          <w:rFonts w:eastAsia="KaiTi" w:cs="Times New Roman" w:hint="eastAsia"/>
          <w:b w:val="0"/>
          <w:bCs w:val="0"/>
          <w:color w:val="000000"/>
          <w:sz w:val="24"/>
          <w:szCs w:val="21"/>
          <w:vertAlign w:val="baseline"/>
          <w:lang w:val="en-US" w:eastAsia="zh-CN" w:bidi="ar"/>
        </w:rPr>
        <w:t>OH的生成，高效降解亚甲基蓝和苯酚。将Zr-Fc-MOF与多壁碳纳米管和明胶混合得到的自支撑混合基质膜（ZSG）具有优异的光热性能和高Fenton催化活性，可用于从VOCs污染的水中制取清洁水，处理后的“海水”符合世界卫生组织饮用水标准。最近，Rosi组</w:t>
      </w:r>
      <w:r>
        <w:rPr>
          <w:rFonts w:eastAsia="KaiTi" w:cs="Times New Roman" w:hint="eastAsia"/>
          <w:b w:val="0"/>
          <w:bCs w:val="0"/>
          <w:color w:val="000000"/>
          <w:sz w:val="24"/>
          <w:szCs w:val="21"/>
          <w:vertAlign w:val="superscript"/>
          <w:lang w:val="en-US" w:eastAsia="zh-CN" w:bidi="ar"/>
        </w:rPr>
        <w:t>[20]</w:t>
      </w:r>
      <w:r>
        <w:rPr>
          <w:rFonts w:eastAsia="KaiTi" w:cs="Times New Roman" w:hint="eastAsia"/>
          <w:b w:val="0"/>
          <w:bCs w:val="0"/>
          <w:color w:val="000000"/>
          <w:sz w:val="24"/>
          <w:szCs w:val="21"/>
          <w:vertAlign w:val="baseline"/>
          <w:lang w:val="en-US" w:eastAsia="zh-CN" w:bidi="ar"/>
        </w:rPr>
        <w:t>进一步发展了“一锅法”的策略，他们使用双官能团的异烟酸（INA）连接硬性金属阳离子（Zr</w:t>
      </w:r>
      <w:r>
        <w:rPr>
          <w:rFonts w:eastAsia="KaiTi" w:cs="Times New Roman" w:hint="eastAsia"/>
          <w:b w:val="0"/>
          <w:bCs w:val="0"/>
          <w:color w:val="000000"/>
          <w:sz w:val="24"/>
          <w:szCs w:val="21"/>
          <w:vertAlign w:val="superscript"/>
          <w:lang w:val="en-US" w:eastAsia="zh-CN" w:bidi="ar"/>
        </w:rPr>
        <w:t>4+</w:t>
      </w:r>
      <w:r>
        <w:rPr>
          <w:rFonts w:eastAsia="KaiTi" w:cs="Times New Roman" w:hint="eastAsia"/>
          <w:b w:val="0"/>
          <w:bCs w:val="0"/>
          <w:color w:val="000000"/>
          <w:sz w:val="24"/>
          <w:szCs w:val="21"/>
          <w:vertAlign w:val="baseline"/>
          <w:lang w:val="en-US" w:eastAsia="zh-CN" w:bidi="ar"/>
        </w:rPr>
        <w:t>，Hf</w:t>
      </w:r>
      <w:r>
        <w:rPr>
          <w:rFonts w:eastAsia="KaiTi" w:cs="Times New Roman" w:hint="eastAsia"/>
          <w:b w:val="0"/>
          <w:bCs w:val="0"/>
          <w:color w:val="000000"/>
          <w:sz w:val="24"/>
          <w:szCs w:val="21"/>
          <w:vertAlign w:val="superscript"/>
          <w:lang w:val="en-US" w:eastAsia="zh-CN" w:bidi="ar"/>
        </w:rPr>
        <w:t>4+</w:t>
      </w:r>
      <w:r>
        <w:rPr>
          <w:rFonts w:eastAsia="KaiTi" w:cs="Times New Roman" w:hint="eastAsia"/>
          <w:b w:val="0"/>
          <w:bCs w:val="0"/>
          <w:color w:val="000000"/>
          <w:sz w:val="24"/>
          <w:szCs w:val="21"/>
          <w:vertAlign w:val="baseline"/>
          <w:lang w:val="en-US" w:eastAsia="zh-CN" w:bidi="ar"/>
        </w:rPr>
        <w:t>，Dy</w:t>
      </w:r>
      <w:r>
        <w:rPr>
          <w:rFonts w:eastAsia="KaiTi" w:cs="Times New Roman" w:hint="eastAsia"/>
          <w:b w:val="0"/>
          <w:bCs w:val="0"/>
          <w:color w:val="000000"/>
          <w:sz w:val="24"/>
          <w:szCs w:val="21"/>
          <w:vertAlign w:val="superscript"/>
          <w:lang w:val="en-US" w:eastAsia="zh-CN" w:bidi="ar"/>
        </w:rPr>
        <w:t>3+</w:t>
      </w:r>
      <w:r>
        <w:rPr>
          <w:rFonts w:eastAsia="KaiTi" w:cs="Times New Roman" w:hint="eastAsia"/>
          <w:b w:val="0"/>
          <w:bCs w:val="0"/>
          <w:color w:val="000000"/>
          <w:sz w:val="24"/>
          <w:szCs w:val="21"/>
          <w:vertAlign w:val="baseline"/>
          <w:lang w:val="en-US" w:eastAsia="zh-CN" w:bidi="ar"/>
        </w:rPr>
        <w:t>）和软金属阳离子（Co</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，Ni</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，Cu</w:t>
      </w:r>
      <w:r>
        <w:rPr>
          <w:rFonts w:eastAsia="KaiTi" w:cs="Times New Roman" w:hint="eastAsia"/>
          <w:b w:val="0"/>
          <w:bCs w:val="0"/>
          <w:color w:val="000000"/>
          <w:sz w:val="24"/>
          <w:szCs w:val="21"/>
          <w:vertAlign w:val="superscript"/>
          <w:lang w:val="en-US" w:eastAsia="zh-CN" w:bidi="ar"/>
        </w:rPr>
        <w:t>+</w:t>
      </w:r>
      <w:r>
        <w:rPr>
          <w:rFonts w:eastAsia="KaiTi" w:cs="Times New Roman" w:hint="eastAsia"/>
          <w:b w:val="0"/>
          <w:bCs w:val="0"/>
          <w:color w:val="000000"/>
          <w:sz w:val="24"/>
          <w:szCs w:val="21"/>
          <w:vertAlign w:val="baseline"/>
          <w:lang w:val="en-US" w:eastAsia="zh-CN" w:bidi="ar"/>
        </w:rPr>
        <w:t>，Cu</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，Cd</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），进而转化为一系列具有受控拓扑的双金属MOFs。</w:t>
      </w:r>
      <w:r>
        <w:rPr>
          <w:rFonts w:eastAsia="KaiTi" w:cs="Times New Roman" w:hint="eastAsia"/>
          <w:b/>
          <w:bCs/>
          <w:color w:val="000000"/>
          <w:sz w:val="24"/>
          <w:szCs w:val="21"/>
          <w:vertAlign w:val="baseline"/>
          <w:lang w:val="en-US" w:eastAsia="zh-CN" w:bidi="ar"/>
        </w:rPr>
        <w:t>然而，采用二氯二茂锆、金属化合物合成的异质金属MOFs材料在电催化还原回收重金属领域的研究鲜有报道，M-Zr-MOF材料组成、结构与催化活性之间的关系以及Zr与金属间界面电子转移机制尚不清楚，其与MXene的界面耦合效应以及对重金属还原的催化机理和影响机制也不明晰。</w:t>
      </w:r>
      <w:bookmarkStart w:id="72" w:name="OLE_LINK51"/>
    </w:p>
    <w:bookmarkEnd w:id="72"/>
    <w:p w14:paraId="65D3627C">
      <w:p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ascii="KaiTi" w:eastAsia="KaiTi" w:hAnsi="KaiTi" w:cs="KaiTi" w:hint="eastAsia"/>
          <w:b w:val="0"/>
          <w:bCs w:val="0"/>
          <w:color w:val="000000"/>
          <w:sz w:val="24"/>
          <w:szCs w:val="21"/>
          <w:lang w:bidi="ar"/>
        </w:rPr>
        <w:t>本项目</w:t>
      </w:r>
      <w:r>
        <w:rPr>
          <w:rFonts w:ascii="KaiTi" w:eastAsia="KaiTi" w:hAnsi="KaiTi" w:cs="KaiTi" w:hint="eastAsia"/>
          <w:b w:val="0"/>
          <w:bCs w:val="0"/>
          <w:color w:val="000000"/>
          <w:sz w:val="24"/>
          <w:szCs w:val="21"/>
          <w:lang w:val="en-US" w:eastAsia="zh-CN" w:bidi="ar"/>
        </w:rPr>
        <w:t>针对选择性吸附技术和传统电还原技术无法高效去除和资源化回收废水中重金属的技术难题</w:t>
      </w:r>
      <w:r>
        <w:rPr>
          <w:rFonts w:ascii="KaiTi" w:eastAsia="KaiTi" w:hAnsi="KaiTi" w:cs="KaiTi" w:hint="eastAsia"/>
          <w:b w:val="0"/>
          <w:bCs w:val="0"/>
          <w:color w:val="000000"/>
          <w:sz w:val="24"/>
          <w:szCs w:val="21"/>
          <w:lang w:bidi="ar"/>
        </w:rPr>
        <w:t>，基于研究现状和已有研究基础的分析，申请人提出以下假设：</w:t>
      </w:r>
      <w:r>
        <w:rPr>
          <w:rFonts w:ascii="KaiTi" w:eastAsia="KaiTi" w:hAnsi="KaiTi" w:cs="KaiTi" w:hint="eastAsia"/>
          <w:b/>
          <w:bCs/>
          <w:color w:val="000000"/>
          <w:sz w:val="24"/>
          <w:szCs w:val="21"/>
          <w:lang w:val="en-US" w:eastAsia="zh-CN" w:bidi="ar"/>
        </w:rPr>
        <w:t>以</w:t>
      </w:r>
      <w:r>
        <w:rPr>
          <w:rFonts w:eastAsia="KaiTi" w:cs="Times New Roman" w:hint="eastAsia"/>
          <w:b/>
          <w:bCs/>
          <w:color w:val="000000"/>
          <w:sz w:val="24"/>
          <w:szCs w:val="21"/>
          <w:vertAlign w:val="baseline"/>
          <w:lang w:val="en-US" w:eastAsia="zh-CN" w:bidi="ar"/>
        </w:rPr>
        <w:t>M-Zr-MOF为功能性结构单元嵌入MXene片层间，</w:t>
      </w:r>
      <w:bookmarkStart w:id="73" w:name="OLE_LINK118"/>
      <w:r>
        <w:rPr>
          <w:rFonts w:eastAsia="KaiTi" w:cs="Times New Roman" w:hint="eastAsia"/>
          <w:b/>
          <w:bCs/>
          <w:color w:val="000000"/>
          <w:sz w:val="24"/>
          <w:szCs w:val="21"/>
          <w:vertAlign w:val="baseline"/>
          <w:lang w:val="en-US" w:eastAsia="zh-CN" w:bidi="ar"/>
        </w:rPr>
        <w:t>构筑高选择性、具有稳定二维纳米流体通道的</w:t>
      </w:r>
      <w:r>
        <w:rPr>
          <w:rFonts w:eastAsia="KaiTi" w:hint="eastAsia"/>
          <w:b/>
          <w:bCs/>
          <w:color w:val="000000"/>
          <w:sz w:val="24"/>
          <w:szCs w:val="21"/>
          <w:lang w:val="en-US" w:eastAsia="zh-CN" w:bidi="ar"/>
        </w:rPr>
        <w:t>MXene/M-Zr-MOF</w:t>
      </w:r>
      <w:bookmarkEnd w:id="73"/>
      <w:r>
        <w:rPr>
          <w:rFonts w:eastAsia="KaiTi" w:hint="eastAsia"/>
          <w:b/>
          <w:bCs/>
          <w:color w:val="000000"/>
          <w:sz w:val="24"/>
          <w:szCs w:val="21"/>
          <w:lang w:val="en-US" w:eastAsia="zh-CN" w:bidi="ar"/>
        </w:rPr>
        <w:t>电催化膜</w:t>
      </w:r>
      <w:r>
        <w:rPr>
          <w:rFonts w:eastAsia="KaiTi" w:cs="Times New Roman" w:hint="eastAsia"/>
          <w:b/>
          <w:bCs/>
          <w:color w:val="000000"/>
          <w:sz w:val="24"/>
          <w:szCs w:val="21"/>
          <w:vertAlign w:val="baseline"/>
          <w:lang w:val="en-US" w:eastAsia="zh-CN" w:bidi="ar"/>
        </w:rPr>
        <w:t>，用于高效回收废水中重金属。</w:t>
      </w:r>
      <w:r>
        <w:rPr>
          <w:rFonts w:eastAsia="KaiTi" w:cs="Times New Roman" w:hint="eastAsia"/>
          <w:b w:val="0"/>
          <w:bCs w:val="0"/>
          <w:color w:val="000000"/>
          <w:sz w:val="24"/>
          <w:szCs w:val="21"/>
          <w:vertAlign w:val="baseline"/>
          <w:lang w:val="en-US" w:eastAsia="zh-CN" w:bidi="ar"/>
        </w:rPr>
        <w:t>微界面吸附-催化机制是去除和回收重金属研究的重点。它既与金属化合物选择和复合材料结构有关，又与重金属形态和废水性质有关。</w:t>
      </w:r>
      <w:r>
        <w:rPr>
          <w:rFonts w:eastAsia="KaiTi" w:cs="Times New Roman" w:hint="eastAsia"/>
          <w:b/>
          <w:bCs/>
          <w:color w:val="000000"/>
          <w:sz w:val="24"/>
          <w:szCs w:val="21"/>
          <w:vertAlign w:val="baseline"/>
          <w:lang w:val="en-US" w:eastAsia="zh-CN" w:bidi="ar"/>
        </w:rPr>
        <w:t>首先，</w:t>
      </w:r>
      <w:r>
        <w:rPr>
          <w:rFonts w:eastAsia="KaiTi" w:cs="Times New Roman" w:hint="eastAsia"/>
          <w:b w:val="0"/>
          <w:bCs w:val="0"/>
          <w:color w:val="000000"/>
          <w:sz w:val="24"/>
          <w:szCs w:val="21"/>
          <w:vertAlign w:val="baseline"/>
          <w:lang w:val="en-US" w:eastAsia="zh-CN" w:bidi="ar"/>
        </w:rPr>
        <w:t>选择合适的金属化合物制备M-Zr-MOF材料与MXene复合是影响电催化膜吸附能力和催化活性的因素之一，而M-Zr-MOF材料的形貌结构和尺寸会影响MXene层间距，进而影响复合材料的</w:t>
      </w:r>
      <w:bookmarkStart w:id="74" w:name="OLE_LINK24"/>
      <w:r>
        <w:rPr>
          <w:rFonts w:eastAsia="KaiTi" w:cs="Times New Roman" w:hint="eastAsia"/>
          <w:b w:val="0"/>
          <w:bCs w:val="0"/>
          <w:color w:val="000000"/>
          <w:sz w:val="24"/>
          <w:szCs w:val="21"/>
          <w:vertAlign w:val="baseline"/>
          <w:lang w:val="en-US" w:eastAsia="zh-CN" w:bidi="ar"/>
        </w:rPr>
        <w:t>比表面积、活性位点以及离子、分子传递效率和路径</w:t>
      </w:r>
      <w:bookmarkEnd w:id="74"/>
      <w:r>
        <w:rPr>
          <w:rFonts w:eastAsia="KaiTi" w:cs="Times New Roman" w:hint="eastAsia"/>
          <w:b w:val="0"/>
          <w:bCs w:val="0"/>
          <w:color w:val="000000"/>
          <w:sz w:val="24"/>
          <w:szCs w:val="21"/>
          <w:vertAlign w:val="baseline"/>
          <w:lang w:val="en-US" w:eastAsia="zh-CN" w:bidi="ar"/>
        </w:rPr>
        <w:t>。然而，MXene/M-Zr-MOF催化膜成型过程复杂、难以调控等问题亟待解决，且由于缺乏系统研究，MXene/M-Zr-MOF催化膜组分、结构与吸附能力和催化活性之间的关系尚不清楚。因此，有必要研究复合材料“合成-结构-性能”之间的关系，探明性能最优的电催化膜的组成和制备策略。</w:t>
      </w:r>
    </w:p>
    <w:p w14:paraId="74F0ED1F">
      <w:p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bCs/>
          <w:color w:val="000000"/>
          <w:sz w:val="24"/>
          <w:szCs w:val="21"/>
          <w:vertAlign w:val="baseline"/>
          <w:lang w:val="en-US" w:eastAsia="zh-CN" w:bidi="ar"/>
        </w:rPr>
        <w:t>其次，</w:t>
      </w:r>
      <w:r>
        <w:rPr>
          <w:rFonts w:eastAsia="KaiTi" w:cs="Times New Roman" w:hint="eastAsia"/>
          <w:b w:val="0"/>
          <w:bCs w:val="0"/>
          <w:color w:val="000000"/>
          <w:sz w:val="24"/>
          <w:szCs w:val="21"/>
          <w:vertAlign w:val="baseline"/>
          <w:lang w:val="en-US" w:eastAsia="zh-CN" w:bidi="ar"/>
        </w:rPr>
        <w:t>微界面吸附-催化活性与吸附机理、结合能以及电子转移机制息息相关。复合材料对水中重金属的选择性吸附可能与</w:t>
      </w:r>
      <w:bookmarkStart w:id="75" w:name="OLE_LINK26"/>
      <w:r>
        <w:rPr>
          <w:rFonts w:eastAsia="KaiTi" w:cs="Times New Roman" w:hint="eastAsia"/>
          <w:b w:val="0"/>
          <w:bCs w:val="0"/>
          <w:color w:val="000000"/>
          <w:sz w:val="24"/>
          <w:szCs w:val="21"/>
          <w:vertAlign w:val="baseline"/>
          <w:lang w:val="en-US" w:eastAsia="zh-CN" w:bidi="ar"/>
        </w:rPr>
        <w:t>静电、配位、离子交换、氢键、酸碱作用等机制</w:t>
      </w:r>
      <w:bookmarkEnd w:id="75"/>
      <w:r>
        <w:rPr>
          <w:rFonts w:eastAsia="KaiTi" w:cs="Times New Roman" w:hint="eastAsia"/>
          <w:b w:val="0"/>
          <w:bCs w:val="0"/>
          <w:color w:val="000000"/>
          <w:sz w:val="24"/>
          <w:szCs w:val="21"/>
          <w:vertAlign w:val="baseline"/>
          <w:lang w:val="en-US" w:eastAsia="zh-CN" w:bidi="ar"/>
        </w:rPr>
        <w:t>有关。基于不同重金属的形态、离子半径、电负性和水合半径等特性以及</w:t>
      </w:r>
      <w:bookmarkStart w:id="76" w:name="OLE_LINK12"/>
      <w:r>
        <w:rPr>
          <w:rFonts w:eastAsia="KaiTi" w:cs="Times New Roman" w:hint="eastAsia"/>
          <w:b w:val="0"/>
          <w:bCs w:val="0"/>
          <w:color w:val="000000"/>
          <w:sz w:val="24"/>
          <w:szCs w:val="21"/>
          <w:vertAlign w:val="baseline"/>
          <w:lang w:val="en-US" w:eastAsia="zh-CN" w:bidi="ar"/>
        </w:rPr>
        <w:t>MXene/M-Zr-MOF</w:t>
      </w:r>
      <w:bookmarkEnd w:id="76"/>
      <w:r>
        <w:rPr>
          <w:rFonts w:eastAsia="KaiTi" w:cs="Times New Roman" w:hint="eastAsia"/>
          <w:b w:val="0"/>
          <w:bCs w:val="0"/>
          <w:color w:val="000000"/>
          <w:sz w:val="24"/>
          <w:szCs w:val="21"/>
          <w:vertAlign w:val="baseline"/>
          <w:lang w:val="en-US" w:eastAsia="zh-CN" w:bidi="ar"/>
        </w:rPr>
        <w:t>催化膜的物化性质，上述作用机制贡献可能不同，重金属离子和重金属有机络合物的结合位点可能在M-Zr-MOF上不同的官能团或金属或MXene表面，也可能同时存在。复合材料与重金属离子、重金属有机络合物的相互作用和稳定性尚不清楚。重金属的还原可能是直接电还原或间接电还原，也可能同时发生。因此，有必要对上述问题开展研究，探明微界面反应机制。</w:t>
      </w:r>
    </w:p>
    <w:p w14:paraId="7C044D8F">
      <w:p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bCs/>
          <w:color w:val="000000"/>
          <w:sz w:val="24"/>
          <w:szCs w:val="21"/>
          <w:vertAlign w:val="baseline"/>
          <w:lang w:val="en-US" w:eastAsia="zh-CN" w:bidi="ar"/>
        </w:rPr>
        <w:t>最后，</w:t>
      </w:r>
      <w:r>
        <w:rPr>
          <w:rFonts w:eastAsia="KaiTi" w:cs="Times New Roman" w:hint="eastAsia"/>
          <w:b w:val="0"/>
          <w:bCs w:val="0"/>
          <w:color w:val="000000"/>
          <w:sz w:val="24"/>
          <w:szCs w:val="21"/>
          <w:vertAlign w:val="baseline"/>
          <w:lang w:val="en-US" w:eastAsia="zh-CN" w:bidi="ar"/>
        </w:rPr>
        <w:t>实际废水成分复杂，</w:t>
      </w:r>
      <w:bookmarkStart w:id="77" w:name="OLE_LINK101"/>
      <w:r>
        <w:rPr>
          <w:rFonts w:eastAsia="KaiTi" w:cs="Times New Roman" w:hint="eastAsia"/>
          <w:b w:val="0"/>
          <w:bCs w:val="0"/>
          <w:color w:val="000000"/>
          <w:sz w:val="24"/>
          <w:szCs w:val="21"/>
          <w:vertAlign w:val="baseline"/>
          <w:lang w:val="en-US" w:eastAsia="zh-CN" w:bidi="ar"/>
        </w:rPr>
        <w:t>Ca</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、Mg</w:t>
      </w:r>
      <w:r>
        <w:rPr>
          <w:rFonts w:eastAsia="KaiTi" w:cs="Times New Roman" w:hint="eastAsia"/>
          <w:b w:val="0"/>
          <w:bCs w:val="0"/>
          <w:color w:val="000000"/>
          <w:sz w:val="24"/>
          <w:szCs w:val="21"/>
          <w:vertAlign w:val="superscript"/>
          <w:lang w:val="en-US" w:eastAsia="zh-CN" w:bidi="ar"/>
        </w:rPr>
        <w:t>2+</w:t>
      </w:r>
      <w:bookmarkEnd w:id="77"/>
      <w:r>
        <w:rPr>
          <w:rFonts w:eastAsia="KaiTi" w:cs="Times New Roman" w:hint="eastAsia"/>
          <w:b w:val="0"/>
          <w:bCs w:val="0"/>
          <w:color w:val="000000"/>
          <w:sz w:val="24"/>
          <w:szCs w:val="21"/>
          <w:vertAlign w:val="baseline"/>
          <w:lang w:val="en-US" w:eastAsia="zh-CN" w:bidi="ar"/>
        </w:rPr>
        <w:t>、</w:t>
      </w:r>
      <w:bookmarkStart w:id="78" w:name="OLE_LINK109"/>
      <w:r>
        <w:rPr>
          <w:rFonts w:eastAsia="KaiTi" w:cs="Times New Roman" w:hint="eastAsia"/>
          <w:b w:val="0"/>
          <w:bCs w:val="0"/>
          <w:color w:val="000000"/>
          <w:sz w:val="24"/>
          <w:szCs w:val="21"/>
          <w:vertAlign w:val="baseline"/>
          <w:lang w:val="en-US" w:eastAsia="zh-CN" w:bidi="ar"/>
        </w:rPr>
        <w:t>SO</w:t>
      </w:r>
      <w:r>
        <w:rPr>
          <w:rFonts w:eastAsia="KaiTi" w:cs="Times New Roman" w:hint="eastAsia"/>
          <w:b w:val="0"/>
          <w:bCs w:val="0"/>
          <w:color w:val="000000"/>
          <w:sz w:val="24"/>
          <w:szCs w:val="21"/>
          <w:vertAlign w:val="subscript"/>
          <w:lang w:val="en-US" w:eastAsia="zh-CN" w:bidi="ar"/>
        </w:rPr>
        <w:t>4</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、CO</w:t>
      </w:r>
      <w:r>
        <w:rPr>
          <w:rFonts w:eastAsia="KaiTi" w:cs="Times New Roman" w:hint="eastAsia"/>
          <w:b w:val="0"/>
          <w:bCs w:val="0"/>
          <w:color w:val="000000"/>
          <w:sz w:val="24"/>
          <w:szCs w:val="21"/>
          <w:vertAlign w:val="subscript"/>
          <w:lang w:val="en-US" w:eastAsia="zh-CN" w:bidi="ar"/>
        </w:rPr>
        <w:t>3</w:t>
      </w:r>
      <w:r>
        <w:rPr>
          <w:rFonts w:eastAsia="KaiTi" w:cs="Times New Roman" w:hint="eastAsia"/>
          <w:b w:val="0"/>
          <w:bCs w:val="0"/>
          <w:color w:val="000000"/>
          <w:sz w:val="24"/>
          <w:szCs w:val="21"/>
          <w:vertAlign w:val="superscript"/>
          <w:lang w:val="en-US" w:eastAsia="zh-CN" w:bidi="ar"/>
        </w:rPr>
        <w:t>2-</w:t>
      </w:r>
      <w:bookmarkEnd w:id="78"/>
      <w:r>
        <w:rPr>
          <w:rFonts w:eastAsia="KaiTi" w:cs="Times New Roman" w:hint="eastAsia"/>
          <w:b w:val="0"/>
          <w:bCs w:val="0"/>
          <w:color w:val="000000"/>
          <w:sz w:val="24"/>
          <w:szCs w:val="21"/>
          <w:vertAlign w:val="baseline"/>
          <w:lang w:val="en-US" w:eastAsia="zh-CN" w:bidi="ar"/>
        </w:rPr>
        <w:t>等离子或有机物可能对低浓度重金属的捕获产生影响。Ca</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、Mg</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w:t>
      </w:r>
      <w:bookmarkStart w:id="79" w:name="OLE_LINK111"/>
      <w:r>
        <w:rPr>
          <w:rFonts w:eastAsia="KaiTi" w:cs="Times New Roman" w:hint="eastAsia"/>
          <w:b w:val="0"/>
          <w:bCs w:val="0"/>
          <w:color w:val="000000"/>
          <w:sz w:val="24"/>
          <w:szCs w:val="21"/>
          <w:vertAlign w:val="baseline"/>
          <w:lang w:val="en-US" w:eastAsia="zh-CN" w:bidi="ar"/>
        </w:rPr>
        <w:t>SO</w:t>
      </w:r>
      <w:r>
        <w:rPr>
          <w:rFonts w:eastAsia="KaiTi" w:cs="Times New Roman" w:hint="eastAsia"/>
          <w:b w:val="0"/>
          <w:bCs w:val="0"/>
          <w:color w:val="000000"/>
          <w:sz w:val="24"/>
          <w:szCs w:val="21"/>
          <w:vertAlign w:val="subscript"/>
          <w:lang w:val="en-US" w:eastAsia="zh-CN" w:bidi="ar"/>
        </w:rPr>
        <w:t>4</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、CO</w:t>
      </w:r>
      <w:r>
        <w:rPr>
          <w:rFonts w:eastAsia="KaiTi" w:cs="Times New Roman" w:hint="eastAsia"/>
          <w:b w:val="0"/>
          <w:bCs w:val="0"/>
          <w:color w:val="000000"/>
          <w:sz w:val="24"/>
          <w:szCs w:val="21"/>
          <w:vertAlign w:val="subscript"/>
          <w:lang w:val="en-US" w:eastAsia="zh-CN" w:bidi="ar"/>
        </w:rPr>
        <w:t>3</w:t>
      </w:r>
      <w:r>
        <w:rPr>
          <w:rFonts w:eastAsia="KaiTi" w:cs="Times New Roman" w:hint="eastAsia"/>
          <w:b w:val="0"/>
          <w:bCs w:val="0"/>
          <w:color w:val="000000"/>
          <w:sz w:val="24"/>
          <w:szCs w:val="21"/>
          <w:vertAlign w:val="superscript"/>
          <w:lang w:val="en-US" w:eastAsia="zh-CN" w:bidi="ar"/>
        </w:rPr>
        <w:t>2-</w:t>
      </w:r>
      <w:bookmarkEnd w:id="79"/>
      <w:r>
        <w:rPr>
          <w:rFonts w:eastAsia="KaiTi" w:cs="Times New Roman" w:hint="eastAsia"/>
          <w:b w:val="0"/>
          <w:bCs w:val="0"/>
          <w:color w:val="000000"/>
          <w:sz w:val="24"/>
          <w:szCs w:val="21"/>
          <w:vertAlign w:val="baseline"/>
          <w:lang w:val="en-US" w:eastAsia="zh-CN" w:bidi="ar"/>
        </w:rPr>
        <w:t>可能影响</w:t>
      </w:r>
      <w:bookmarkStart w:id="80" w:name="OLE_LINK13"/>
      <w:r>
        <w:rPr>
          <w:rFonts w:eastAsia="KaiTi" w:cs="Times New Roman" w:hint="eastAsia"/>
          <w:b w:val="0"/>
          <w:bCs w:val="0"/>
          <w:color w:val="000000"/>
          <w:sz w:val="24"/>
          <w:szCs w:val="21"/>
          <w:vertAlign w:val="baseline"/>
          <w:lang w:val="en-US" w:eastAsia="zh-CN" w:bidi="ar"/>
        </w:rPr>
        <w:t>MXene/M-Zr-MOF</w:t>
      </w:r>
      <w:bookmarkEnd w:id="80"/>
      <w:r>
        <w:rPr>
          <w:rFonts w:eastAsia="KaiTi" w:cs="Times New Roman" w:hint="eastAsia"/>
          <w:b w:val="0"/>
          <w:bCs w:val="0"/>
          <w:color w:val="000000"/>
          <w:sz w:val="24"/>
          <w:szCs w:val="21"/>
          <w:vertAlign w:val="baseline"/>
          <w:lang w:val="en-US" w:eastAsia="zh-CN" w:bidi="ar"/>
        </w:rPr>
        <w:t>对重金属离子的静电作用，有机物分子可能通过氢键、π-π作用与重金属发生竞争。在电催化膜反应器中，催化膜作为阴极催化还原重金属离子和重金属有机络合物为金属单质，通过调控电极电位可能对不同重金属进行选择性回收。催化膜在复杂废水中还存在膜污染的风险，构建高效可持续的吸附-电催化膜过滤系统需要明晰催化膜的污染机制与控制原理。因此，有必要开展水体环境、性质对MXene/M-Zr-MOF电催化膜过滤系统吸附-催化性能的影响，探究该策略在吸附分离和催化方面的普适性。</w:t>
      </w:r>
    </w:p>
    <w:p w14:paraId="403E80D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eastAsia="SimSun" w:hint="eastAsia"/>
          <w:sz w:val="21"/>
          <w:szCs w:val="21"/>
          <w:lang w:eastAsia="zh-CN"/>
        </w:rPr>
      </w:pPr>
      <w:r>
        <w:rPr>
          <w:rFonts w:eastAsia="SimSun" w:hint="eastAsia"/>
          <w:sz w:val="21"/>
          <w:szCs w:val="21"/>
          <w:lang w:eastAsia="zh-CN"/>
        </w:rPr>
        <w:drawing>
          <wp:inline distT="0" distB="0" distL="114300" distR="114300">
            <wp:extent cx="4959985" cy="3513455"/>
            <wp:effectExtent l="0" t="0" r="0" b="0"/>
            <wp:docPr id="2" name="图片 2"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68459" name="图片 2" descr="图片3"/>
                    <pic:cNvPicPr>
                      <a:picLocks noChangeAspect="1"/>
                    </pic:cNvPicPr>
                  </pic:nvPicPr>
                  <pic:blipFill>
                    <a:blip xmlns:r="http://schemas.openxmlformats.org/officeDocument/2006/relationships" r:embed="rId5"/>
                    <a:srcRect r="13862"/>
                    <a:stretch>
                      <a:fillRect/>
                    </a:stretch>
                  </pic:blipFill>
                  <pic:spPr>
                    <a:xfrm>
                      <a:off x="0" y="0"/>
                      <a:ext cx="4959985" cy="3513455"/>
                    </a:xfrm>
                    <a:prstGeom prst="rect">
                      <a:avLst/>
                    </a:prstGeom>
                  </pic:spPr>
                </pic:pic>
              </a:graphicData>
            </a:graphic>
          </wp:inline>
        </w:drawing>
      </w:r>
    </w:p>
    <w:p w14:paraId="19B9782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eastAsia="KaiTi" w:cs="Times New Roman" w:hint="default"/>
          <w:b w:val="0"/>
          <w:bCs w:val="0"/>
          <w:color w:val="000000"/>
          <w:sz w:val="24"/>
          <w:szCs w:val="21"/>
          <w:highlight w:val="none"/>
          <w:vertAlign w:val="baseline"/>
          <w:lang w:val="en-US" w:eastAsia="zh-CN" w:bidi="ar"/>
        </w:rPr>
      </w:pPr>
      <w:r>
        <w:rPr>
          <w:rFonts w:eastAsia="KaiTi" w:cs="Times New Roman" w:hint="eastAsia"/>
          <w:b w:val="0"/>
          <w:bCs w:val="0"/>
          <w:color w:val="000000"/>
          <w:sz w:val="24"/>
          <w:szCs w:val="21"/>
          <w:highlight w:val="none"/>
          <w:vertAlign w:val="baseline"/>
          <w:lang w:val="en-US" w:eastAsia="zh-CN" w:bidi="ar"/>
        </w:rPr>
        <w:t>图1 基于MXene/Zr-MOFs电催化膜选择性回收废水中重金属技术构思</w:t>
      </w:r>
    </w:p>
    <w:p w14:paraId="7F0F29C4">
      <w:pPr>
        <w:spacing w:line="360" w:lineRule="auto"/>
        <w:ind w:firstLine="480" w:firstLineChars="200"/>
        <w:rPr>
          <w:rFonts w:ascii="KaiTi" w:eastAsia="KaiTi" w:hAnsi="KaiTi" w:cs="KaiTi"/>
        </w:rPr>
      </w:pPr>
      <w:r>
        <w:rPr>
          <w:rFonts w:eastAsia="KaiTi" w:cs="Times New Roman" w:hint="eastAsia"/>
          <w:b/>
          <w:bCs/>
          <w:color w:val="000000"/>
          <w:sz w:val="24"/>
          <w:szCs w:val="21"/>
          <w:vertAlign w:val="baseline"/>
          <w:lang w:val="en-US" w:eastAsia="zh-CN" w:bidi="ar"/>
        </w:rPr>
        <w:t>综上所述，本项目制备新型</w:t>
      </w:r>
      <w:bookmarkStart w:id="81" w:name="OLE_LINK14"/>
      <w:r>
        <w:rPr>
          <w:rFonts w:eastAsia="KaiTi" w:cs="Times New Roman" w:hint="eastAsia"/>
          <w:b/>
          <w:bCs/>
          <w:color w:val="000000"/>
          <w:sz w:val="24"/>
          <w:szCs w:val="21"/>
          <w:vertAlign w:val="baseline"/>
          <w:lang w:val="en-US" w:eastAsia="zh-CN" w:bidi="ar"/>
        </w:rPr>
        <w:t>MXene/M-Zr-MOF</w:t>
      </w:r>
      <w:bookmarkEnd w:id="81"/>
      <w:r>
        <w:rPr>
          <w:rFonts w:eastAsia="KaiTi" w:cs="Times New Roman" w:hint="eastAsia"/>
          <w:b/>
          <w:bCs/>
          <w:color w:val="000000"/>
          <w:sz w:val="24"/>
          <w:szCs w:val="21"/>
          <w:vertAlign w:val="baseline"/>
          <w:lang w:val="en-US" w:eastAsia="zh-CN" w:bidi="ar"/>
        </w:rPr>
        <w:t>电催化膜，其</w:t>
      </w:r>
      <w:bookmarkStart w:id="82" w:name="OLE_LINK117"/>
      <w:r>
        <w:rPr>
          <w:rFonts w:eastAsia="KaiTi" w:cs="Times New Roman" w:hint="eastAsia"/>
          <w:b/>
          <w:bCs/>
          <w:color w:val="000000"/>
          <w:sz w:val="24"/>
          <w:szCs w:val="21"/>
          <w:vertAlign w:val="baseline"/>
          <w:lang w:val="en-US" w:eastAsia="zh-CN" w:bidi="ar"/>
        </w:rPr>
        <w:t>基于锆基异质金属有机框架的选择性吸附和催化活性以及与MXene界面耦合的强导电性和机械性能，</w:t>
      </w:r>
      <w:bookmarkEnd w:id="82"/>
      <w:r>
        <w:rPr>
          <w:rFonts w:eastAsia="KaiTi" w:cs="Times New Roman" w:hint="eastAsia"/>
          <w:b/>
          <w:bCs/>
          <w:color w:val="000000"/>
          <w:sz w:val="24"/>
          <w:szCs w:val="21"/>
          <w:vertAlign w:val="baseline"/>
          <w:lang w:val="en-US" w:eastAsia="zh-CN" w:bidi="ar"/>
        </w:rPr>
        <w:t>将其作为膜电极构建选择性吸附-电催化膜过滤系统，在离子迁移过程中嵌入选择性强化机制，选择性电催化还原回收重金属。项目重点考察MXene/</w:t>
      </w:r>
      <w:bookmarkStart w:id="83" w:name="OLE_LINK19"/>
      <w:r>
        <w:rPr>
          <w:rFonts w:eastAsia="KaiTi" w:cs="Times New Roman" w:hint="eastAsia"/>
          <w:b/>
          <w:bCs/>
          <w:color w:val="000000"/>
          <w:sz w:val="24"/>
          <w:szCs w:val="21"/>
          <w:vertAlign w:val="baseline"/>
          <w:lang w:val="en-US" w:eastAsia="zh-CN" w:bidi="ar"/>
        </w:rPr>
        <w:t>M-Zr-MOF</w:t>
      </w:r>
      <w:bookmarkEnd w:id="83"/>
      <w:bookmarkStart w:id="84" w:name="OLE_LINK17"/>
      <w:r>
        <w:rPr>
          <w:rFonts w:eastAsia="KaiTi" w:cs="Times New Roman" w:hint="eastAsia"/>
          <w:b/>
          <w:bCs/>
          <w:color w:val="000000"/>
          <w:sz w:val="24"/>
          <w:szCs w:val="21"/>
          <w:vertAlign w:val="baseline"/>
          <w:lang w:val="en-US" w:eastAsia="zh-CN" w:bidi="ar"/>
        </w:rPr>
        <w:t>电催化膜选择性回收重金属机理以及效能、影响因素、相互作用机制</w:t>
      </w:r>
      <w:bookmarkEnd w:id="84"/>
      <w:r>
        <w:rPr>
          <w:rFonts w:eastAsia="KaiTi" w:cs="Times New Roman" w:hint="eastAsia"/>
          <w:b/>
          <w:bCs/>
          <w:color w:val="000000"/>
          <w:sz w:val="24"/>
          <w:szCs w:val="21"/>
          <w:vertAlign w:val="baseline"/>
          <w:lang w:val="en-US" w:eastAsia="zh-CN" w:bidi="ar"/>
        </w:rPr>
        <w:t>，揭示</w:t>
      </w:r>
      <w:bookmarkStart w:id="85" w:name="OLE_LINK18"/>
      <w:r>
        <w:rPr>
          <w:rFonts w:eastAsia="KaiTi" w:cs="Times New Roman" w:hint="eastAsia"/>
          <w:b/>
          <w:bCs/>
          <w:color w:val="000000"/>
          <w:sz w:val="24"/>
          <w:szCs w:val="21"/>
          <w:vertAlign w:val="baseline"/>
          <w:lang w:val="en-US" w:eastAsia="zh-CN" w:bidi="ar"/>
        </w:rPr>
        <w:t>MXene/M-Zr-MOF构成的电催化体系物态转变过程、膜电极微界面电子转移规律</w:t>
      </w:r>
      <w:bookmarkEnd w:id="85"/>
      <w:r>
        <w:rPr>
          <w:rFonts w:eastAsia="KaiTi" w:cs="Times New Roman" w:hint="eastAsia"/>
          <w:b/>
          <w:bCs/>
          <w:color w:val="000000"/>
          <w:sz w:val="24"/>
          <w:szCs w:val="21"/>
          <w:vertAlign w:val="baseline"/>
          <w:lang w:val="en-US" w:eastAsia="zh-CN" w:bidi="ar"/>
        </w:rPr>
        <w:t>以及热/动力学特性。本项目对深入认识电催化膜在电化学工艺的作用机制及新型多功能材料研发意义重大，为废水中重金属资源化回收工艺开发提供理论基础和技术指导。</w:t>
      </w:r>
    </w:p>
    <w:p w14:paraId="70129367">
      <w:pPr>
        <w:numPr>
          <w:ilvl w:val="255"/>
          <w:numId w:val="0"/>
        </w:numPr>
        <w:wordWrap w:val="0"/>
        <w:spacing w:line="440" w:lineRule="exact"/>
        <w:ind w:firstLine="560" w:firstLineChars="200"/>
        <w:rPr>
          <w:rFonts w:ascii="KaiTi" w:eastAsia="KaiTi" w:hAnsi="KaiTi" w:cs="KaiTi"/>
        </w:rPr>
      </w:pPr>
      <w:r>
        <w:rPr>
          <w:rFonts w:ascii="KaiTi" w:eastAsia="KaiTi" w:hAnsi="KaiTi" w:cs="KaiTi" w:hint="eastAsia"/>
        </w:rPr>
        <w:t>2.本项目的研究意义（需结合科学研究发展趋势来论述科学意义；或结合国民经济和社会发展中迫切需要解决的关键科技问题来论述其应用前景）</w:t>
      </w:r>
    </w:p>
    <w:p w14:paraId="002D24AC">
      <w:pPr>
        <w:spacing w:line="360" w:lineRule="auto"/>
        <w:ind w:firstLine="480" w:firstLineChars="200"/>
        <w:rPr>
          <w:rFonts w:ascii="Times New Roman" w:eastAsia="KaiTi" w:hAnsi="Times New Roman" w:hint="eastAsia"/>
          <w:b/>
          <w:bCs/>
          <w:color w:val="000000"/>
          <w:sz w:val="24"/>
          <w:szCs w:val="21"/>
          <w:lang w:val="en-US" w:eastAsia="zh-CN" w:bidi="ar"/>
        </w:rPr>
      </w:pPr>
      <w:r>
        <w:rPr>
          <w:rFonts w:ascii="Times New Roman" w:eastAsia="KaiTi" w:hAnsi="Times New Roman" w:hint="eastAsia"/>
          <w:b w:val="0"/>
          <w:bCs w:val="0"/>
          <w:color w:val="000000"/>
          <w:sz w:val="24"/>
          <w:szCs w:val="21"/>
          <w:lang w:val="en-US" w:eastAsia="zh-CN" w:bidi="ar"/>
        </w:rPr>
        <w:t>我国水资源水量短缺，且因为水污染现象日益严峻而存在水质性缺水。202</w:t>
      </w:r>
      <w:r>
        <w:rPr>
          <w:rFonts w:eastAsia="KaiTi" w:hint="eastAsia"/>
          <w:b w:val="0"/>
          <w:bCs w:val="0"/>
          <w:color w:val="000000"/>
          <w:sz w:val="24"/>
          <w:szCs w:val="21"/>
          <w:lang w:val="en-US" w:eastAsia="zh-CN" w:bidi="ar"/>
        </w:rPr>
        <w:t>4</w:t>
      </w:r>
      <w:r>
        <w:rPr>
          <w:rFonts w:ascii="Times New Roman" w:eastAsia="KaiTi" w:hAnsi="Times New Roman" w:hint="eastAsia"/>
          <w:b w:val="0"/>
          <w:bCs w:val="0"/>
          <w:color w:val="000000"/>
          <w:sz w:val="24"/>
          <w:szCs w:val="21"/>
          <w:lang w:val="en-US" w:eastAsia="zh-CN" w:bidi="ar"/>
        </w:rPr>
        <w:t>年</w:t>
      </w:r>
      <w:r>
        <w:rPr>
          <w:rFonts w:eastAsia="KaiTi" w:hint="eastAsia"/>
          <w:b w:val="0"/>
          <w:bCs w:val="0"/>
          <w:color w:val="000000"/>
          <w:sz w:val="24"/>
          <w:szCs w:val="21"/>
          <w:lang w:val="en-US" w:eastAsia="zh-CN" w:bidi="ar"/>
        </w:rPr>
        <w:t>1</w:t>
      </w:r>
      <w:r>
        <w:rPr>
          <w:rFonts w:ascii="Times New Roman" w:eastAsia="KaiTi" w:hAnsi="Times New Roman" w:hint="eastAsia"/>
          <w:b w:val="0"/>
          <w:bCs w:val="0"/>
          <w:color w:val="000000"/>
          <w:sz w:val="24"/>
          <w:szCs w:val="21"/>
          <w:lang w:val="en-US" w:eastAsia="zh-CN" w:bidi="ar"/>
        </w:rPr>
        <w:t>月</w:t>
      </w:r>
      <w:r>
        <w:rPr>
          <w:rFonts w:eastAsia="KaiTi" w:hint="eastAsia"/>
          <w:b w:val="0"/>
          <w:bCs w:val="0"/>
          <w:color w:val="000000"/>
          <w:sz w:val="24"/>
          <w:szCs w:val="21"/>
          <w:lang w:val="en-US" w:eastAsia="zh-CN" w:bidi="ar"/>
        </w:rPr>
        <w:t>11</w:t>
      </w:r>
      <w:r>
        <w:rPr>
          <w:rFonts w:ascii="Times New Roman" w:eastAsia="KaiTi" w:hAnsi="Times New Roman" w:hint="eastAsia"/>
          <w:b w:val="0"/>
          <w:bCs w:val="0"/>
          <w:color w:val="000000"/>
          <w:sz w:val="24"/>
          <w:szCs w:val="21"/>
          <w:lang w:val="en-US" w:eastAsia="zh-CN" w:bidi="ar"/>
        </w:rPr>
        <w:t>日，生态环境部发布《</w:t>
      </w:r>
      <w:bookmarkStart w:id="86" w:name="OLE_LINK77"/>
      <w:r>
        <w:rPr>
          <w:rFonts w:ascii="Times New Roman" w:eastAsia="KaiTi" w:hAnsi="Times New Roman" w:hint="eastAsia"/>
          <w:b w:val="0"/>
          <w:bCs w:val="0"/>
          <w:color w:val="000000"/>
          <w:sz w:val="24"/>
          <w:szCs w:val="21"/>
          <w:lang w:val="en-US" w:eastAsia="zh-CN" w:bidi="ar"/>
        </w:rPr>
        <w:t>中共中央国务院关于全面推进美丽中国建设的意见</w:t>
      </w:r>
      <w:bookmarkEnd w:id="86"/>
      <w:r>
        <w:rPr>
          <w:rFonts w:ascii="Times New Roman" w:eastAsia="KaiTi" w:hAnsi="Times New Roman" w:hint="eastAsia"/>
          <w:b w:val="0"/>
          <w:bCs w:val="0"/>
          <w:color w:val="000000"/>
          <w:sz w:val="24"/>
          <w:szCs w:val="21"/>
          <w:lang w:val="en-US" w:eastAsia="zh-CN" w:bidi="ar"/>
        </w:rPr>
        <w:t>》对我国水资源、水环境、水生态治理和</w:t>
      </w:r>
      <w:r>
        <w:rPr>
          <w:rFonts w:eastAsia="KaiTi" w:hint="eastAsia"/>
          <w:b w:val="0"/>
          <w:bCs w:val="0"/>
          <w:color w:val="000000"/>
          <w:sz w:val="24"/>
          <w:szCs w:val="21"/>
          <w:lang w:val="en-US" w:eastAsia="zh-CN" w:bidi="ar"/>
        </w:rPr>
        <w:t>污/废</w:t>
      </w:r>
      <w:r>
        <w:rPr>
          <w:rFonts w:ascii="Times New Roman" w:eastAsia="KaiTi" w:hAnsi="Times New Roman" w:hint="eastAsia"/>
          <w:b w:val="0"/>
          <w:bCs w:val="0"/>
          <w:color w:val="000000"/>
          <w:sz w:val="24"/>
          <w:szCs w:val="21"/>
          <w:lang w:val="en-US" w:eastAsia="zh-CN" w:bidi="ar"/>
        </w:rPr>
        <w:t>水低碳处理工程建设及排放水平提出了更高的要求。</w:t>
      </w:r>
      <w:bookmarkStart w:id="87" w:name="OLE_LINK78"/>
      <w:r>
        <w:rPr>
          <w:rFonts w:ascii="Times New Roman" w:eastAsia="KaiTi" w:hAnsi="Times New Roman" w:hint="eastAsia"/>
          <w:b w:val="0"/>
          <w:bCs w:val="0"/>
          <w:color w:val="000000"/>
          <w:sz w:val="24"/>
          <w:szCs w:val="21"/>
          <w:lang w:val="en-US" w:eastAsia="zh-CN" w:bidi="ar"/>
        </w:rPr>
        <w:t>水污染加剧了水资源短缺的供需矛盾，也严重威胁到人们的饮用水安全和生命健康，给我国城市供水安全保障工作带来了极大的挑战。</w:t>
      </w:r>
      <w:bookmarkEnd w:id="87"/>
      <w:r>
        <w:rPr>
          <w:rFonts w:ascii="Times New Roman" w:eastAsia="KaiTi" w:hAnsi="Times New Roman" w:hint="eastAsia"/>
          <w:b w:val="0"/>
          <w:bCs w:val="0"/>
          <w:color w:val="000000"/>
          <w:sz w:val="24"/>
          <w:szCs w:val="21"/>
          <w:lang w:val="en-US" w:eastAsia="zh-CN" w:bidi="ar"/>
        </w:rPr>
        <w:t>我国常见</w:t>
      </w:r>
      <w:r>
        <w:rPr>
          <w:rFonts w:eastAsia="KaiTi" w:hint="eastAsia"/>
          <w:b w:val="0"/>
          <w:bCs w:val="0"/>
          <w:color w:val="000000"/>
          <w:sz w:val="24"/>
          <w:szCs w:val="21"/>
          <w:lang w:val="en-US" w:eastAsia="zh-CN" w:bidi="ar"/>
        </w:rPr>
        <w:t>工业废水中</w:t>
      </w:r>
      <w:r>
        <w:rPr>
          <w:rFonts w:ascii="Times New Roman" w:eastAsia="KaiTi" w:hAnsi="Times New Roman" w:hint="eastAsia"/>
          <w:b w:val="0"/>
          <w:bCs w:val="0"/>
          <w:color w:val="000000"/>
          <w:sz w:val="24"/>
          <w:szCs w:val="21"/>
          <w:lang w:val="en-US" w:eastAsia="zh-CN" w:bidi="ar"/>
        </w:rPr>
        <w:t>的污染物主要包括：重金属、工业染料、药品及个人护理用品、农药和抗生素等。其中，长期积累的重金属污染问题随着我国工业化进程加快而逐渐显露，部分流域和区域重金属污染事件频发，造成了严重的社会影响。202</w:t>
      </w:r>
      <w:r>
        <w:rPr>
          <w:rFonts w:eastAsia="KaiTi" w:hint="eastAsia"/>
          <w:b w:val="0"/>
          <w:bCs w:val="0"/>
          <w:color w:val="000000"/>
          <w:sz w:val="24"/>
          <w:szCs w:val="21"/>
          <w:lang w:val="en-US" w:eastAsia="zh-CN" w:bidi="ar"/>
        </w:rPr>
        <w:t>2</w:t>
      </w:r>
      <w:r>
        <w:rPr>
          <w:rFonts w:ascii="Times New Roman" w:eastAsia="KaiTi" w:hAnsi="Times New Roman" w:hint="eastAsia"/>
          <w:b w:val="0"/>
          <w:bCs w:val="0"/>
          <w:color w:val="000000"/>
          <w:sz w:val="24"/>
          <w:szCs w:val="21"/>
          <w:lang w:val="en-US" w:eastAsia="zh-CN" w:bidi="ar"/>
        </w:rPr>
        <w:t>年发布</w:t>
      </w:r>
      <w:r>
        <w:rPr>
          <w:rFonts w:eastAsia="KaiTi" w:hint="eastAsia"/>
          <w:b w:val="0"/>
          <w:bCs w:val="0"/>
          <w:color w:val="000000"/>
          <w:sz w:val="24"/>
          <w:szCs w:val="21"/>
          <w:lang w:val="en-US" w:eastAsia="zh-CN" w:bidi="ar"/>
        </w:rPr>
        <w:t>的</w:t>
      </w:r>
      <w:r>
        <w:rPr>
          <w:rFonts w:ascii="Times New Roman" w:eastAsia="KaiTi" w:hAnsi="Times New Roman" w:hint="eastAsia"/>
          <w:b w:val="0"/>
          <w:bCs w:val="0"/>
          <w:color w:val="000000"/>
          <w:sz w:val="24"/>
          <w:szCs w:val="21"/>
          <w:lang w:val="en-US" w:eastAsia="zh-CN" w:bidi="ar"/>
        </w:rPr>
        <w:t>《关于进一步加强重金属污染防控的意见》旨在进一步加强重金属排放控制，推进治理较为突出的历史遗留污染问题。结合“十四五”规划所提出的双循环发展，我国重金属污染的修复理念正在从传统的污染治理转变为资源化回收。</w:t>
      </w:r>
      <w:r>
        <w:rPr>
          <w:rFonts w:ascii="Times New Roman" w:eastAsia="KaiTi" w:hAnsi="Times New Roman" w:hint="eastAsia"/>
          <w:b/>
          <w:bCs/>
          <w:color w:val="000000"/>
          <w:sz w:val="24"/>
          <w:szCs w:val="21"/>
          <w:lang w:val="en-US" w:eastAsia="zh-CN" w:bidi="ar"/>
        </w:rPr>
        <w:t>开发“高效率</w:t>
      </w:r>
      <w:r>
        <w:rPr>
          <w:rFonts w:eastAsia="KaiTi" w:hint="eastAsia"/>
          <w:b/>
          <w:bCs/>
          <w:color w:val="000000"/>
          <w:sz w:val="24"/>
          <w:szCs w:val="21"/>
          <w:lang w:val="en-US" w:eastAsia="zh-CN" w:bidi="ar"/>
        </w:rPr>
        <w:t>、</w:t>
      </w:r>
      <w:r>
        <w:rPr>
          <w:rFonts w:ascii="Times New Roman" w:eastAsia="KaiTi" w:hAnsi="Times New Roman" w:hint="eastAsia"/>
          <w:b/>
          <w:bCs/>
          <w:color w:val="000000"/>
          <w:sz w:val="24"/>
          <w:szCs w:val="21"/>
          <w:lang w:val="en-US" w:eastAsia="zh-CN" w:bidi="ar"/>
        </w:rPr>
        <w:t>高选择性”</w:t>
      </w:r>
      <w:r>
        <w:rPr>
          <w:rFonts w:eastAsia="KaiTi" w:hint="eastAsia"/>
          <w:b/>
          <w:bCs/>
          <w:color w:val="000000"/>
          <w:sz w:val="24"/>
          <w:szCs w:val="21"/>
          <w:lang w:val="en-US" w:eastAsia="zh-CN" w:bidi="ar"/>
        </w:rPr>
        <w:t>为</w:t>
      </w:r>
      <w:r>
        <w:rPr>
          <w:rFonts w:ascii="Times New Roman" w:eastAsia="KaiTi" w:hAnsi="Times New Roman" w:hint="eastAsia"/>
          <w:b/>
          <w:bCs/>
          <w:color w:val="000000"/>
          <w:sz w:val="24"/>
          <w:szCs w:val="21"/>
          <w:lang w:val="en-US" w:eastAsia="zh-CN" w:bidi="ar"/>
        </w:rPr>
        <w:t>特点的重金属靶向去除</w:t>
      </w:r>
      <w:r>
        <w:rPr>
          <w:rFonts w:eastAsia="KaiTi" w:hint="eastAsia"/>
          <w:b/>
          <w:bCs/>
          <w:color w:val="000000"/>
          <w:sz w:val="24"/>
          <w:szCs w:val="21"/>
          <w:lang w:val="en-US" w:eastAsia="zh-CN" w:bidi="ar"/>
        </w:rPr>
        <w:t>和回收</w:t>
      </w:r>
      <w:r>
        <w:rPr>
          <w:rFonts w:ascii="Times New Roman" w:eastAsia="KaiTi" w:hAnsi="Times New Roman" w:hint="eastAsia"/>
          <w:b/>
          <w:bCs/>
          <w:color w:val="000000"/>
          <w:sz w:val="24"/>
          <w:szCs w:val="21"/>
          <w:lang w:val="en-US" w:eastAsia="zh-CN" w:bidi="ar"/>
        </w:rPr>
        <w:t>技术，在保障水质安全的同时实现重金属的资源化利用，是助推水环境治理过程“减污降碳”协同增效的关键。</w:t>
      </w:r>
    </w:p>
    <w:p w14:paraId="0C3CD1D5">
      <w:pPr>
        <w:spacing w:line="360" w:lineRule="auto"/>
        <w:ind w:firstLine="480" w:firstLineChars="200"/>
        <w:rPr>
          <w:rFonts w:ascii="Times New Roman" w:eastAsia="KaiTi" w:hAnsi="Times New Roman" w:hint="eastAsia"/>
          <w:b/>
          <w:bCs/>
          <w:color w:val="000000"/>
          <w:sz w:val="24"/>
          <w:szCs w:val="21"/>
          <w:lang w:val="en-US" w:eastAsia="zh-CN" w:bidi="ar"/>
        </w:rPr>
      </w:pPr>
      <w:r>
        <w:rPr>
          <w:rFonts w:ascii="Times New Roman" w:eastAsia="KaiTi" w:hAnsi="Times New Roman" w:hint="eastAsia"/>
          <w:b w:val="0"/>
          <w:bCs w:val="0"/>
          <w:color w:val="000000"/>
          <w:sz w:val="24"/>
          <w:lang w:val="en-US" w:eastAsia="zh-CN" w:bidi="ar"/>
        </w:rPr>
        <w:t>选择性吸附技术因其工艺简单、操作方便、高选择性以及易于实际应用等优势，在</w:t>
      </w:r>
      <w:r>
        <w:rPr>
          <w:rFonts w:eastAsia="KaiTi" w:hint="eastAsia"/>
          <w:b w:val="0"/>
          <w:bCs w:val="0"/>
          <w:color w:val="000000"/>
          <w:sz w:val="24"/>
          <w:lang w:val="en-US" w:eastAsia="zh-CN" w:bidi="ar"/>
        </w:rPr>
        <w:t>复杂环境中低浓度</w:t>
      </w:r>
      <w:r>
        <w:rPr>
          <w:rFonts w:ascii="Times New Roman" w:eastAsia="KaiTi" w:hAnsi="Times New Roman" w:hint="eastAsia"/>
          <w:b w:val="0"/>
          <w:bCs w:val="0"/>
          <w:color w:val="000000"/>
          <w:sz w:val="24"/>
          <w:lang w:val="en-US" w:eastAsia="zh-CN" w:bidi="ar"/>
        </w:rPr>
        <w:t>重金属的靶向去除及资源化回收领域引起了广泛关注。选择性吸附技术的核心是吸附材料的设计和制备。具有活性吸附位点的特异性配位吸附材料与目标重金属间的强配位作用，能够同时兼顾高吸附容量与优异的吸附选择性，成为了行业</w:t>
      </w:r>
      <w:r>
        <w:rPr>
          <w:rFonts w:eastAsia="KaiTi" w:hint="eastAsia"/>
          <w:b w:val="0"/>
          <w:bCs w:val="0"/>
          <w:color w:val="000000"/>
          <w:sz w:val="24"/>
          <w:lang w:val="en-US" w:eastAsia="zh-CN" w:bidi="ar"/>
        </w:rPr>
        <w:t>重</w:t>
      </w:r>
      <w:r>
        <w:rPr>
          <w:rFonts w:ascii="Times New Roman" w:eastAsia="KaiTi" w:hAnsi="Times New Roman" w:hint="eastAsia"/>
          <w:b w:val="0"/>
          <w:bCs w:val="0"/>
          <w:color w:val="000000"/>
          <w:sz w:val="24"/>
          <w:lang w:val="en-US" w:eastAsia="zh-CN" w:bidi="ar"/>
        </w:rPr>
        <w:t>点关注的前沿方向。研究较多的选择性吸附材料有配位功能基团（如羧基、醌、羰基、内酯、羟基和羧酸酐等）修饰的碳材料、天然有机材料（如淀粉、纤维素、壳聚糖等）、功能化磁性纳米材料、人工合成材料（如介孔二氧化硅、金属有机框架材料/共价有机骨架材料、聚合物材料）、金属氧化物等。</w:t>
      </w:r>
      <w:r>
        <w:rPr>
          <w:rFonts w:ascii="Times New Roman" w:eastAsia="KaiTi" w:hAnsi="Times New Roman" w:hint="eastAsia"/>
          <w:b/>
          <w:bCs/>
          <w:color w:val="000000"/>
          <w:sz w:val="24"/>
          <w:lang w:val="en-US" w:eastAsia="zh-CN" w:bidi="ar"/>
        </w:rPr>
        <w:t>然而，</w:t>
      </w:r>
      <w:r>
        <w:rPr>
          <w:rFonts w:eastAsia="KaiTi" w:hint="eastAsia"/>
          <w:b/>
          <w:bCs/>
          <w:color w:val="000000"/>
          <w:sz w:val="24"/>
          <w:lang w:val="en-US" w:eastAsia="zh-CN" w:bidi="ar"/>
        </w:rPr>
        <w:t>实际水体成分复杂，除重金属离子外，还存在重金属有机络合物、无机共存离子、有机质、胶体颗粒等，对重金属的高效去除和选择性回收造成困扰。另一方面，</w:t>
      </w:r>
      <w:r>
        <w:rPr>
          <w:rFonts w:ascii="Times New Roman" w:eastAsia="KaiTi" w:hAnsi="Times New Roman" w:hint="eastAsia"/>
          <w:b/>
          <w:bCs/>
          <w:color w:val="000000"/>
          <w:sz w:val="24"/>
          <w:lang w:val="en-US" w:eastAsia="zh-CN" w:bidi="ar"/>
        </w:rPr>
        <w:t>由于吸附剂与</w:t>
      </w:r>
      <w:r>
        <w:rPr>
          <w:rFonts w:eastAsia="KaiTi" w:hint="eastAsia"/>
          <w:b/>
          <w:bCs/>
          <w:color w:val="000000"/>
          <w:sz w:val="24"/>
          <w:lang w:val="en-US" w:eastAsia="zh-CN" w:bidi="ar"/>
        </w:rPr>
        <w:t>重</w:t>
      </w:r>
      <w:r>
        <w:rPr>
          <w:rFonts w:ascii="Times New Roman" w:eastAsia="KaiTi" w:hAnsi="Times New Roman" w:hint="eastAsia"/>
          <w:b/>
          <w:bCs/>
          <w:color w:val="000000"/>
          <w:sz w:val="24"/>
          <w:lang w:val="en-US" w:eastAsia="zh-CN" w:bidi="ar"/>
        </w:rPr>
        <w:t>金属离子间配位的稳定性，目前常用的重金属脱附剂（酸、碱或有机溶剂）很难高效地将重金属离子洗脱，缩短了吸附剂的使用寿命，也使重金属后续资源化回收过程更为繁琐。此外，传统的粉体吸附剂普遍存在回收效率低的缺陷，吸附后往往需要额外的离心、过滤等步骤才能从废水中分离出来。如何有效解决上述问题已成为近年来吸附法应用于</w:t>
      </w:r>
      <w:r>
        <w:rPr>
          <w:rFonts w:eastAsia="KaiTi" w:hint="eastAsia"/>
          <w:b/>
          <w:bCs/>
          <w:color w:val="000000"/>
          <w:sz w:val="24"/>
          <w:lang w:val="en-US" w:eastAsia="zh-CN" w:bidi="ar"/>
        </w:rPr>
        <w:t>水环境中重金属去除和回收</w:t>
      </w:r>
      <w:r>
        <w:rPr>
          <w:rFonts w:ascii="Times New Roman" w:eastAsia="KaiTi" w:hAnsi="Times New Roman" w:hint="eastAsia"/>
          <w:b/>
          <w:bCs/>
          <w:color w:val="000000"/>
          <w:sz w:val="24"/>
          <w:lang w:val="en-US" w:eastAsia="zh-CN" w:bidi="ar"/>
        </w:rPr>
        <w:t>领域的研究热点。</w:t>
      </w:r>
    </w:p>
    <w:p w14:paraId="47B65C55">
      <w:pPr>
        <w:spacing w:line="360" w:lineRule="auto"/>
        <w:ind w:firstLine="480" w:firstLineChars="200"/>
        <w:rPr>
          <w:rFonts w:ascii="KaiTi" w:eastAsia="KaiTi" w:hAnsi="KaiTi" w:cs="KaiTi"/>
        </w:rPr>
      </w:pPr>
      <w:r>
        <w:rPr>
          <w:rFonts w:eastAsia="KaiTi" w:hint="eastAsia"/>
          <w:b w:val="0"/>
          <w:bCs w:val="0"/>
          <w:color w:val="000000"/>
          <w:sz w:val="24"/>
          <w:szCs w:val="21"/>
          <w:lang w:val="en-US" w:eastAsia="zh-CN" w:bidi="ar"/>
        </w:rPr>
        <w:t>面对新时期水处理技术的新要求，以膜分离技术为核心的净水技术显示出了其独特的优势。但传统的膜工艺也存在一些缺点，如严重的膜污染问题，去除小分子污染物往往需要采用纳滤和反渗透，且无法降解污染物，仅能转移污染物。为了克服上述瓶颈，将电化学技术耦合到膜技术中，二者的耦合可以实现性能互补，大幅提升水处理工艺的净化效果。电化学技术具有便捷性、通用性、环境相容性等优势，能够高效降解污染物，缓解膜污染，提升膜通量。同时膜技术也可以强化传质，膜孔道构成限域效应，提升电催化反应的处理效果。</w:t>
      </w:r>
      <w:r>
        <w:rPr>
          <w:rFonts w:ascii="Times New Roman" w:eastAsia="KaiTi" w:hAnsi="Times New Roman" w:hint="eastAsia"/>
          <w:b/>
          <w:bCs/>
          <w:color w:val="000000"/>
          <w:sz w:val="24"/>
          <w:szCs w:val="21"/>
          <w:lang w:val="en-US" w:eastAsia="zh-CN" w:bidi="ar"/>
        </w:rPr>
        <w:t>因此，开发一种高</w:t>
      </w:r>
      <w:r>
        <w:rPr>
          <w:rFonts w:eastAsia="KaiTi" w:hint="eastAsia"/>
          <w:b/>
          <w:bCs/>
          <w:color w:val="000000"/>
          <w:sz w:val="24"/>
          <w:szCs w:val="21"/>
          <w:lang w:val="en-US" w:eastAsia="zh-CN" w:bidi="ar"/>
        </w:rPr>
        <w:t>选择性和催化活性、</w:t>
      </w:r>
      <w:r>
        <w:rPr>
          <w:rFonts w:ascii="Times New Roman" w:eastAsia="KaiTi" w:hAnsi="Times New Roman" w:hint="eastAsia"/>
          <w:b/>
          <w:bCs/>
          <w:color w:val="000000"/>
          <w:sz w:val="24"/>
          <w:szCs w:val="21"/>
          <w:lang w:val="en-US" w:eastAsia="zh-CN" w:bidi="ar"/>
        </w:rPr>
        <w:t>稳定</w:t>
      </w:r>
      <w:r>
        <w:rPr>
          <w:rFonts w:eastAsia="KaiTi" w:hint="eastAsia"/>
          <w:b/>
          <w:bCs/>
          <w:color w:val="000000"/>
          <w:sz w:val="24"/>
          <w:szCs w:val="21"/>
          <w:lang w:val="en-US" w:eastAsia="zh-CN" w:bidi="ar"/>
        </w:rPr>
        <w:t>性强</w:t>
      </w:r>
      <w:r>
        <w:rPr>
          <w:rFonts w:ascii="Times New Roman" w:eastAsia="KaiTi" w:hAnsi="Times New Roman" w:hint="eastAsia"/>
          <w:b/>
          <w:bCs/>
          <w:color w:val="000000"/>
          <w:sz w:val="24"/>
          <w:szCs w:val="21"/>
          <w:lang w:val="en-US" w:eastAsia="zh-CN" w:bidi="ar"/>
        </w:rPr>
        <w:t>的</w:t>
      </w:r>
      <w:r>
        <w:rPr>
          <w:rFonts w:eastAsia="KaiTi" w:hint="eastAsia"/>
          <w:b/>
          <w:bCs/>
          <w:color w:val="000000"/>
          <w:sz w:val="24"/>
          <w:szCs w:val="21"/>
          <w:lang w:val="en-US" w:eastAsia="zh-CN" w:bidi="ar"/>
        </w:rPr>
        <w:t>电催化膜，构建</w:t>
      </w:r>
      <w:bookmarkStart w:id="88" w:name="OLE_LINK35"/>
      <w:r>
        <w:rPr>
          <w:rFonts w:eastAsia="KaiTi" w:hint="eastAsia"/>
          <w:b/>
          <w:bCs/>
          <w:color w:val="000000"/>
          <w:sz w:val="24"/>
          <w:szCs w:val="21"/>
          <w:lang w:val="en-US" w:eastAsia="zh-CN" w:bidi="ar"/>
        </w:rPr>
        <w:t>选择</w:t>
      </w:r>
      <w:r>
        <w:rPr>
          <w:rFonts w:ascii="Times New Roman" w:eastAsia="KaiTi" w:hAnsi="Times New Roman" w:hint="eastAsia"/>
          <w:b/>
          <w:bCs/>
          <w:color w:val="000000"/>
          <w:sz w:val="24"/>
          <w:szCs w:val="21"/>
          <w:lang w:val="en-US" w:eastAsia="zh-CN" w:bidi="ar"/>
        </w:rPr>
        <w:t>吸附-</w:t>
      </w:r>
      <w:bookmarkEnd w:id="88"/>
      <w:r>
        <w:rPr>
          <w:rFonts w:eastAsia="KaiTi" w:hint="eastAsia"/>
          <w:b/>
          <w:bCs/>
          <w:color w:val="000000"/>
          <w:sz w:val="24"/>
          <w:szCs w:val="21"/>
          <w:lang w:val="en-US" w:eastAsia="zh-CN" w:bidi="ar"/>
        </w:rPr>
        <w:t>电催化膜过滤系统</w:t>
      </w:r>
      <w:r>
        <w:rPr>
          <w:rFonts w:ascii="Times New Roman" w:eastAsia="KaiTi" w:hAnsi="Times New Roman" w:hint="eastAsia"/>
          <w:b/>
          <w:bCs/>
          <w:color w:val="000000"/>
          <w:sz w:val="24"/>
          <w:szCs w:val="21"/>
          <w:lang w:val="en-US" w:eastAsia="zh-CN" w:bidi="ar"/>
        </w:rPr>
        <w:t>，有望实现</w:t>
      </w:r>
      <w:r>
        <w:rPr>
          <w:rFonts w:eastAsia="KaiTi" w:hint="eastAsia"/>
          <w:b/>
          <w:bCs/>
          <w:color w:val="000000"/>
          <w:sz w:val="24"/>
          <w:szCs w:val="21"/>
          <w:lang w:val="en-US" w:eastAsia="zh-CN" w:bidi="ar"/>
        </w:rPr>
        <w:t>废水中</w:t>
      </w:r>
      <w:r>
        <w:rPr>
          <w:rFonts w:ascii="Times New Roman" w:eastAsia="KaiTi" w:hAnsi="Times New Roman" w:hint="eastAsia"/>
          <w:b/>
          <w:bCs/>
          <w:color w:val="000000"/>
          <w:sz w:val="24"/>
          <w:szCs w:val="21"/>
          <w:lang w:val="en-US" w:eastAsia="zh-CN" w:bidi="ar"/>
        </w:rPr>
        <w:t>重金属的</w:t>
      </w:r>
      <w:r>
        <w:rPr>
          <w:rFonts w:eastAsia="KaiTi" w:hint="eastAsia"/>
          <w:b/>
          <w:bCs/>
          <w:color w:val="000000"/>
          <w:sz w:val="24"/>
          <w:szCs w:val="21"/>
          <w:lang w:val="en-US" w:eastAsia="zh-CN" w:bidi="ar"/>
        </w:rPr>
        <w:t>高效去除和</w:t>
      </w:r>
      <w:r>
        <w:rPr>
          <w:rFonts w:ascii="Times New Roman" w:eastAsia="KaiTi" w:hAnsi="Times New Roman" w:hint="eastAsia"/>
          <w:b/>
          <w:bCs/>
          <w:color w:val="000000"/>
          <w:sz w:val="24"/>
          <w:szCs w:val="21"/>
          <w:lang w:val="en-US" w:eastAsia="zh-CN" w:bidi="ar"/>
        </w:rPr>
        <w:t>资源化</w:t>
      </w:r>
      <w:r>
        <w:rPr>
          <w:rFonts w:eastAsia="KaiTi" w:hint="eastAsia"/>
          <w:b/>
          <w:bCs/>
          <w:color w:val="000000"/>
          <w:sz w:val="24"/>
          <w:szCs w:val="21"/>
          <w:lang w:val="en-US" w:eastAsia="zh-CN" w:bidi="ar"/>
        </w:rPr>
        <w:t>回收</w:t>
      </w:r>
      <w:r>
        <w:rPr>
          <w:rFonts w:ascii="Times New Roman" w:eastAsia="KaiTi" w:hAnsi="Times New Roman" w:hint="eastAsia"/>
          <w:b/>
          <w:bCs/>
          <w:color w:val="000000"/>
          <w:sz w:val="24"/>
          <w:szCs w:val="21"/>
          <w:lang w:val="en-US" w:eastAsia="zh-CN" w:bidi="ar"/>
        </w:rPr>
        <w:t>。</w:t>
      </w:r>
    </w:p>
    <w:p w14:paraId="04B0F3E5">
      <w:pPr>
        <w:wordWrap w:val="0"/>
        <w:spacing w:line="440" w:lineRule="exact"/>
        <w:ind w:firstLine="560" w:firstLineChars="200"/>
        <w:rPr>
          <w:rFonts w:ascii="KaiTi" w:eastAsia="KaiTi" w:hAnsi="KaiTi" w:cs="KaiTi"/>
        </w:rPr>
      </w:pPr>
      <w:r>
        <w:rPr>
          <w:rFonts w:ascii="KaiTi" w:eastAsia="KaiTi" w:hAnsi="KaiTi" w:cs="KaiTi" w:hint="eastAsia"/>
        </w:rPr>
        <w:t>3.主要参考文献目录（参考文献格式应符合学术期刊投稿要求，并应在立论依据正文中标注）</w:t>
      </w:r>
    </w:p>
    <w:p w14:paraId="340A0D6B">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textAlignment w:val="auto"/>
        <w:rPr>
          <w:rFonts w:eastAsia="KaiTi" w:hint="default"/>
          <w:b w:val="0"/>
          <w:bCs w:val="0"/>
          <w:color w:val="000000"/>
          <w:sz w:val="24"/>
          <w:lang w:val="en-US" w:eastAsia="zh-CN" w:bidi="ar"/>
        </w:rPr>
      </w:pPr>
      <w:r>
        <w:rPr>
          <w:rFonts w:eastAsia="KaiTi" w:hint="eastAsia"/>
          <w:b w:val="0"/>
          <w:bCs w:val="0"/>
          <w:color w:val="000000"/>
          <w:sz w:val="24"/>
          <w:lang w:val="en-US" w:eastAsia="zh-CN" w:bidi="ar"/>
        </w:rPr>
        <w:t>Wang, Q., Astruc, D. State of the art and prospect in metal-organic framework (MOF)-based and MOF-derived nanocatalysis. Chem. Rev., 2020, 120(2), 1438-1511.</w:t>
      </w:r>
    </w:p>
    <w:p w14:paraId="6A3ABADE">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textAlignment w:val="auto"/>
        <w:rPr>
          <w:rFonts w:eastAsia="KaiTi" w:hint="default"/>
          <w:b w:val="0"/>
          <w:bCs w:val="0"/>
          <w:color w:val="000000"/>
          <w:sz w:val="24"/>
          <w:lang w:val="en-US" w:eastAsia="zh-CN" w:bidi="ar"/>
        </w:rPr>
      </w:pPr>
      <w:r>
        <w:rPr>
          <w:rFonts w:eastAsia="KaiTi" w:hint="eastAsia"/>
          <w:b w:val="0"/>
          <w:bCs w:val="0"/>
          <w:color w:val="000000"/>
          <w:sz w:val="24"/>
          <w:lang w:val="en-US" w:eastAsia="zh-CN" w:bidi="ar"/>
        </w:rPr>
        <w:t>Yang, D., Gates, Bruce, C. Characterization, Structure, and Reactivity of Hydroxyl Groups on Metal-Oxide Cluster Nodes of Metal-Organic Frameworks: Structural Diversity and Keys to Reactivity and Catalysis. Adv. Mater., 2023, 36(5), 2305611.</w:t>
      </w:r>
    </w:p>
    <w:p w14:paraId="387D99B0">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textAlignment w:val="auto"/>
        <w:rPr>
          <w:rFonts w:eastAsia="KaiTi" w:hint="default"/>
          <w:b w:val="0"/>
          <w:bCs w:val="0"/>
          <w:color w:val="000000"/>
          <w:sz w:val="24"/>
          <w:lang w:val="en-US" w:eastAsia="zh-CN" w:bidi="ar"/>
        </w:rPr>
      </w:pPr>
      <w:r>
        <w:rPr>
          <w:rFonts w:eastAsia="KaiTi" w:hint="eastAsia"/>
          <w:b w:val="0"/>
          <w:bCs w:val="0"/>
          <w:color w:val="000000"/>
          <w:sz w:val="24"/>
          <w:lang w:val="en-US" w:eastAsia="zh-CN" w:bidi="ar"/>
        </w:rPr>
        <w:t>He, Y.Z., Qin, H., Wang, Z.W., Wang, H., Zhu, Y., Zhou, C.Y., Zeng, Y., Li, Y.C., Xu, P., Zeng, G.M. Fe-Mn oxycarbide anchored on N-doped carbon for enhanced Fenton-like catalysis: Importance of high-valent metal-oxo species and singlet oxygen. Appl. Catal. B-Environ., 2024, 340, 123204.</w:t>
      </w:r>
    </w:p>
    <w:p w14:paraId="60586601">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textAlignment w:val="auto"/>
        <w:rPr>
          <w:rFonts w:eastAsia="KaiTi" w:hint="default"/>
          <w:b w:val="0"/>
          <w:bCs w:val="0"/>
          <w:color w:val="000000"/>
          <w:sz w:val="24"/>
          <w:lang w:val="en-US" w:eastAsia="zh-CN" w:bidi="ar"/>
        </w:rPr>
      </w:pPr>
      <w:r>
        <w:rPr>
          <w:rFonts w:eastAsia="KaiTi" w:hint="eastAsia"/>
          <w:b w:val="0"/>
          <w:bCs w:val="0"/>
          <w:color w:val="000000"/>
          <w:sz w:val="24"/>
          <w:lang w:val="en-US" w:eastAsia="zh-CN" w:bidi="ar"/>
        </w:rPr>
        <w:t xml:space="preserve">Chen, T., Ji, M., Wen, L.L., Guo, T.L., Pan, S.Y., Cheng, S.K., Lu, Z.D., Pan, B.C. In-situ forming Sub-2 nm hydrous iron oxide particles in MOFs for deep-treatment and high anti-interference in arsenic removal. </w:t>
      </w:r>
      <w:bookmarkStart w:id="89" w:name="OLE_LINK95"/>
      <w:bookmarkStart w:id="90" w:name="OLE_LINK94"/>
      <w:r>
        <w:rPr>
          <w:rFonts w:eastAsia="KaiTi" w:hint="eastAsia"/>
          <w:b w:val="0"/>
          <w:bCs w:val="0"/>
          <w:color w:val="000000"/>
          <w:sz w:val="24"/>
          <w:lang w:val="en-US" w:eastAsia="zh-CN" w:bidi="ar"/>
        </w:rPr>
        <w:t>Chem. Eng. J.,</w:t>
      </w:r>
      <w:bookmarkEnd w:id="89"/>
      <w:r>
        <w:rPr>
          <w:rFonts w:eastAsia="KaiTi" w:hint="eastAsia"/>
          <w:b w:val="0"/>
          <w:bCs w:val="0"/>
          <w:color w:val="000000"/>
          <w:sz w:val="24"/>
          <w:lang w:val="en-US" w:eastAsia="zh-CN" w:bidi="ar"/>
        </w:rPr>
        <w:t xml:space="preserve"> 2022, 431, 133813.</w:t>
      </w:r>
    </w:p>
    <w:bookmarkEnd w:id="90"/>
    <w:p w14:paraId="49A96FC1">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textAlignment w:val="auto"/>
        <w:rPr>
          <w:rFonts w:eastAsia="KaiTi" w:hint="default"/>
          <w:b w:val="0"/>
          <w:bCs w:val="0"/>
          <w:color w:val="000000"/>
          <w:sz w:val="24"/>
          <w:lang w:val="en-US" w:eastAsia="zh-CN" w:bidi="ar"/>
        </w:rPr>
      </w:pPr>
      <w:r>
        <w:rPr>
          <w:rFonts w:eastAsia="KaiTi" w:hint="eastAsia"/>
          <w:b w:val="0"/>
          <w:bCs w:val="0"/>
          <w:color w:val="000000"/>
          <w:sz w:val="24"/>
          <w:lang w:val="en-US" w:eastAsia="zh-CN" w:bidi="ar"/>
        </w:rPr>
        <w:t xml:space="preserve">Xu, G.-R., An, Z.-H., Xu, K., Liu, Q., Das, R., Zhao, H.-L. Metal organic framework (MOF)-based micro/nanoscaled materials for heavy metal ions removal: The cutting-edge study on designs, synthesis, and applications. </w:t>
      </w:r>
      <w:bookmarkStart w:id="91" w:name="OLE_LINK96"/>
      <w:r>
        <w:rPr>
          <w:rFonts w:eastAsia="KaiTi" w:hint="eastAsia"/>
          <w:b w:val="0"/>
          <w:bCs w:val="0"/>
          <w:color w:val="000000"/>
          <w:sz w:val="24"/>
          <w:lang w:val="en-US" w:eastAsia="zh-CN" w:bidi="ar"/>
        </w:rPr>
        <w:t>Coordin. Chem. Rev., 2021, 427, 213554.</w:t>
      </w:r>
    </w:p>
    <w:bookmarkEnd w:id="91"/>
    <w:p w14:paraId="4C2484E0">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textAlignment w:val="auto"/>
        <w:rPr>
          <w:rFonts w:eastAsia="KaiTi" w:hint="default"/>
          <w:b w:val="0"/>
          <w:bCs w:val="0"/>
          <w:color w:val="000000"/>
          <w:sz w:val="24"/>
          <w:lang w:val="en-US" w:eastAsia="zh-CN" w:bidi="ar"/>
        </w:rPr>
      </w:pPr>
      <w:r>
        <w:rPr>
          <w:rFonts w:eastAsia="KaiTi" w:hint="eastAsia"/>
          <w:b w:val="0"/>
          <w:bCs w:val="0"/>
          <w:color w:val="000000"/>
          <w:sz w:val="24"/>
          <w:lang w:val="en-US" w:eastAsia="zh-CN" w:bidi="ar"/>
        </w:rPr>
        <w:t>Lin, G., Zeng, B., Li, J., Wang, Z.Y., Wang, S.X., Hu, T., Zhang, L.B. A systematic review of metal organic frameworks materials for heavy metal removal: Synthesis, applications and mechanism. Chem. Eng. J., 2023, 460, 141710.</w:t>
      </w:r>
    </w:p>
    <w:p w14:paraId="0D98B21F">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textAlignment w:val="auto"/>
        <w:rPr>
          <w:rFonts w:eastAsia="KaiTi" w:hint="eastAsia"/>
          <w:b w:val="0"/>
          <w:bCs w:val="0"/>
          <w:color w:val="000000"/>
          <w:sz w:val="24"/>
          <w:lang w:val="en-US" w:eastAsia="zh-CN" w:bidi="ar"/>
        </w:rPr>
      </w:pPr>
      <w:r>
        <w:rPr>
          <w:rFonts w:eastAsia="KaiTi" w:hint="default"/>
          <w:b w:val="0"/>
          <w:bCs w:val="0"/>
          <w:color w:val="000000"/>
          <w:sz w:val="24"/>
          <w:lang w:val="en-US" w:eastAsia="zh-CN" w:bidi="ar"/>
        </w:rPr>
        <w:t>Cheng</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 xml:space="preserve"> S</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J</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Chen W</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C</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Zhao L</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w:t>
      </w:r>
      <w:r>
        <w:rPr>
          <w:rFonts w:eastAsia="KaiTi" w:hint="eastAsia"/>
          <w:b w:val="0"/>
          <w:bCs w:val="0"/>
          <w:color w:val="000000"/>
          <w:sz w:val="24"/>
          <w:lang w:val="en-US" w:eastAsia="zh-CN" w:bidi="ar"/>
        </w:rPr>
        <w:t xml:space="preserve"> Wang, X.L., Qin, C., Su, Z.M.</w:t>
      </w:r>
      <w:r>
        <w:rPr>
          <w:rFonts w:eastAsia="KaiTi" w:hint="default"/>
          <w:b w:val="0"/>
          <w:bCs w:val="0"/>
          <w:color w:val="000000"/>
          <w:sz w:val="24"/>
          <w:lang w:val="en-US" w:eastAsia="zh-CN" w:bidi="ar"/>
        </w:rPr>
        <w:t xml:space="preserve"> </w:t>
      </w:r>
      <w:bookmarkStart w:id="92" w:name="OLE_LINK46"/>
      <w:r>
        <w:rPr>
          <w:rFonts w:eastAsia="KaiTi" w:hint="default"/>
          <w:b w:val="0"/>
          <w:bCs w:val="0"/>
          <w:color w:val="000000"/>
          <w:sz w:val="24"/>
          <w:lang w:val="en-US" w:eastAsia="zh-CN" w:bidi="ar"/>
        </w:rPr>
        <w:t>Synthesis, crystal  structure and iodine capture of Zr-based metal-organic polyhedron</w:t>
      </w:r>
      <w:bookmarkEnd w:id="92"/>
      <w:r>
        <w:rPr>
          <w:rFonts w:eastAsia="KaiTi" w:hint="default"/>
          <w:b w:val="0"/>
          <w:bCs w:val="0"/>
          <w:color w:val="000000"/>
          <w:sz w:val="24"/>
          <w:lang w:val="en-US" w:eastAsia="zh-CN" w:bidi="ar"/>
        </w:rPr>
        <w:t>. Inorg</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 xml:space="preserve"> Chim</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 xml:space="preserve">Acta, 2021, 516, 120174. </w:t>
      </w:r>
    </w:p>
    <w:p w14:paraId="330F38B7">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ind w:left="0" w:firstLine="0" w:leftChars="0" w:firstLineChars="0"/>
        <w:textAlignment w:val="auto"/>
        <w:rPr>
          <w:rFonts w:eastAsia="KaiTi" w:hint="eastAsia"/>
          <w:b w:val="0"/>
          <w:bCs w:val="0"/>
          <w:color w:val="000000"/>
          <w:sz w:val="24"/>
          <w:lang w:val="en-US" w:eastAsia="zh-CN" w:bidi="ar"/>
        </w:rPr>
      </w:pPr>
      <w:r>
        <w:rPr>
          <w:rFonts w:eastAsia="KaiTi" w:hint="eastAsia"/>
          <w:b w:val="0"/>
          <w:bCs w:val="0"/>
          <w:color w:val="000000"/>
          <w:sz w:val="24"/>
          <w:lang w:val="en-US" w:eastAsia="zh-CN" w:bidi="ar"/>
        </w:rPr>
        <w:t xml:space="preserve">Shi, W., Ma, J.X., Gao, F., Dai, R.B., Su, X., Wang, Z.W. Metal-Organic Framework with a Redox-Active Bridge Enables Electrochemically Highly Selective Removal of Arsenic from Water. Environ. Sci. Technol., 2023, 57, 6342-6352. </w:t>
      </w:r>
    </w:p>
    <w:p w14:paraId="6E7F105F">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ind w:left="0" w:firstLine="0" w:leftChars="0" w:firstLineChars="0"/>
        <w:textAlignment w:val="auto"/>
        <w:rPr>
          <w:rFonts w:eastAsia="KaiTi" w:hint="default"/>
          <w:b w:val="0"/>
          <w:bCs w:val="0"/>
          <w:color w:val="000000"/>
          <w:sz w:val="24"/>
          <w:lang w:val="en-US" w:eastAsia="zh-CN" w:bidi="ar"/>
        </w:rPr>
      </w:pPr>
      <w:r>
        <w:rPr>
          <w:rFonts w:eastAsia="KaiTi" w:hint="eastAsia"/>
          <w:b w:val="0"/>
          <w:bCs w:val="0"/>
          <w:color w:val="000000"/>
          <w:sz w:val="24"/>
          <w:lang w:val="en-US" w:eastAsia="zh-CN" w:bidi="ar"/>
        </w:rPr>
        <w:t>Xu, R.M., Kang, Y., Zhang, W.M., Pan, B.C., Zhang, X.W. Two-dimensional MXene membranes with biomimetic sub-nanochannels for enhanced cation sieving. Nat. Commun., 2023, 14, 4907.</w:t>
      </w:r>
    </w:p>
    <w:p w14:paraId="6CC9676A">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ind w:left="0" w:firstLine="0" w:leftChars="0" w:firstLineChars="0"/>
        <w:textAlignment w:val="auto"/>
        <w:rPr>
          <w:rFonts w:eastAsia="KaiTi" w:hint="default"/>
          <w:b w:val="0"/>
          <w:bCs w:val="0"/>
          <w:color w:val="000000"/>
          <w:sz w:val="24"/>
          <w:lang w:val="en-US" w:eastAsia="zh-CN" w:bidi="ar"/>
        </w:rPr>
      </w:pPr>
      <w:r>
        <w:rPr>
          <w:rFonts w:eastAsia="KaiTi" w:hint="default"/>
          <w:b w:val="0"/>
          <w:bCs w:val="0"/>
          <w:color w:val="000000"/>
          <w:sz w:val="24"/>
          <w:lang w:val="en-US" w:eastAsia="zh-CN" w:bidi="ar"/>
        </w:rPr>
        <w:t>Ren, C</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E</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Hatzell, K</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B</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Alhabeb, M</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Ling, Z</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Mahmoud, K</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A</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Gogotsi, Y</w:t>
      </w:r>
      <w:r>
        <w:rPr>
          <w:rFonts w:eastAsia="KaiTi" w:hint="eastAsia"/>
          <w:b w:val="0"/>
          <w:bCs w:val="0"/>
          <w:color w:val="000000"/>
          <w:sz w:val="24"/>
          <w:lang w:val="en-US" w:eastAsia="zh-CN" w:bidi="ar"/>
        </w:rPr>
        <w:t>. Charge- and Size-Selective Ion Sieving Through Ti</w:t>
      </w:r>
      <w:r>
        <w:rPr>
          <w:rFonts w:eastAsia="KaiTi" w:hint="eastAsia"/>
          <w:b w:val="0"/>
          <w:bCs w:val="0"/>
          <w:color w:val="000000"/>
          <w:sz w:val="24"/>
          <w:vertAlign w:val="subscript"/>
          <w:lang w:val="en-US" w:eastAsia="zh-CN" w:bidi="ar"/>
        </w:rPr>
        <w:t>3</w:t>
      </w:r>
      <w:r>
        <w:rPr>
          <w:rFonts w:eastAsia="KaiTi" w:hint="eastAsia"/>
          <w:b w:val="0"/>
          <w:bCs w:val="0"/>
          <w:color w:val="000000"/>
          <w:sz w:val="24"/>
          <w:lang w:val="en-US" w:eastAsia="zh-CN" w:bidi="ar"/>
        </w:rPr>
        <w:t>C</w:t>
      </w:r>
      <w:r>
        <w:rPr>
          <w:rFonts w:eastAsia="KaiTi" w:hint="eastAsia"/>
          <w:b w:val="0"/>
          <w:bCs w:val="0"/>
          <w:color w:val="000000"/>
          <w:sz w:val="24"/>
          <w:vertAlign w:val="subscript"/>
          <w:lang w:val="en-US" w:eastAsia="zh-CN" w:bidi="ar"/>
        </w:rPr>
        <w:t>2</w:t>
      </w:r>
      <w:r>
        <w:rPr>
          <w:rFonts w:eastAsia="KaiTi" w:hint="eastAsia"/>
          <w:b w:val="0"/>
          <w:bCs w:val="0"/>
          <w:color w:val="000000"/>
          <w:sz w:val="24"/>
          <w:lang w:val="en-US" w:eastAsia="zh-CN" w:bidi="ar"/>
        </w:rPr>
        <w:t>T</w:t>
      </w:r>
      <w:r>
        <w:rPr>
          <w:rFonts w:eastAsia="KaiTi" w:hint="eastAsia"/>
          <w:b w:val="0"/>
          <w:bCs w:val="0"/>
          <w:color w:val="000000"/>
          <w:sz w:val="24"/>
          <w:vertAlign w:val="subscript"/>
          <w:lang w:val="en-US" w:eastAsia="zh-CN" w:bidi="ar"/>
        </w:rPr>
        <w:t>x</w:t>
      </w:r>
      <w:r>
        <w:rPr>
          <w:rFonts w:eastAsia="KaiTi" w:hint="eastAsia"/>
          <w:b w:val="0"/>
          <w:bCs w:val="0"/>
          <w:color w:val="000000"/>
          <w:sz w:val="24"/>
          <w:lang w:val="en-US" w:eastAsia="zh-CN" w:bidi="ar"/>
        </w:rPr>
        <w:t xml:space="preserve"> MXene Membranes.J. Phys. Chem. Lett., 2015, 6, 4026-4031. </w:t>
      </w:r>
    </w:p>
    <w:p w14:paraId="0190471D">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ind w:left="0" w:firstLine="0" w:leftChars="0" w:firstLineChars="0"/>
        <w:textAlignment w:val="auto"/>
        <w:rPr>
          <w:rFonts w:eastAsia="KaiTi" w:hint="default"/>
          <w:b w:val="0"/>
          <w:bCs w:val="0"/>
          <w:color w:val="000000"/>
          <w:sz w:val="24"/>
          <w:lang w:val="en-US" w:eastAsia="zh-CN" w:bidi="ar"/>
        </w:rPr>
      </w:pPr>
      <w:r>
        <w:rPr>
          <w:rFonts w:eastAsia="KaiTi" w:hint="eastAsia"/>
          <w:b w:val="0"/>
          <w:bCs w:val="0"/>
          <w:color w:val="000000"/>
          <w:sz w:val="24"/>
          <w:lang w:val="en-US" w:eastAsia="zh-CN" w:bidi="ar"/>
        </w:rPr>
        <w:t>Wang, L., Song, L., Yang, Z., Chang, Y.-M., Hu, F., Li, L., Li, L.L., Chen, H.-Y., Peng, S.J. Electronic Modulation of Metal-Organic Frameworks by Interfacial Bridging for Efficient pH-Universal Hydrogen Evolution. Adv. Funct. Mater., 2022, 33(1), 2210322.</w:t>
      </w:r>
    </w:p>
    <w:p w14:paraId="7A0DE5EF">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ind w:left="0" w:firstLine="0" w:leftChars="0" w:firstLineChars="0"/>
        <w:textAlignment w:val="auto"/>
        <w:rPr>
          <w:rFonts w:eastAsia="KaiTi" w:hint="default"/>
          <w:b w:val="0"/>
          <w:bCs w:val="0"/>
          <w:color w:val="000000"/>
          <w:sz w:val="24"/>
          <w:lang w:val="en-US" w:eastAsia="zh-CN" w:bidi="ar"/>
        </w:rPr>
      </w:pPr>
      <w:r>
        <w:rPr>
          <w:rFonts w:eastAsia="KaiTi" w:hint="eastAsia"/>
          <w:b w:val="0"/>
          <w:bCs w:val="0"/>
          <w:color w:val="000000"/>
          <w:sz w:val="24"/>
          <w:lang w:val="en-US" w:eastAsia="zh-CN" w:bidi="ar"/>
        </w:rPr>
        <w:t>Bao, W.Z., Tang, X., Guo, X., Choi, S., Wang, C.Y., Gogotsi, Y., Wang, G.X. Porous Cryo-Dried MXene for Efficient Capacitive Deionization. Joule, 2018, 2, 778-787.</w:t>
      </w:r>
    </w:p>
    <w:p w14:paraId="49690932">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ind w:left="0" w:firstLine="0" w:leftChars="0" w:firstLineChars="0"/>
        <w:textAlignment w:val="auto"/>
        <w:rPr>
          <w:rFonts w:eastAsia="KaiTi" w:hint="default"/>
          <w:b w:val="0"/>
          <w:bCs w:val="0"/>
          <w:color w:val="000000"/>
          <w:sz w:val="24"/>
          <w:lang w:val="en-US" w:eastAsia="zh-CN" w:bidi="ar"/>
        </w:rPr>
      </w:pPr>
      <w:r>
        <w:rPr>
          <w:rFonts w:eastAsia="KaiTi" w:hint="eastAsia"/>
          <w:b w:val="0"/>
          <w:bCs w:val="0"/>
          <w:color w:val="000000"/>
          <w:sz w:val="24"/>
          <w:lang w:val="en-US" w:eastAsia="zh-CN" w:bidi="ar"/>
        </w:rPr>
        <w:t>Dang, S., Zhu, Q.-L., Xu, Q. Nanomaterials derived from metal-organic frameworks. Nat. Rev. Mater., 2017, 3(1), 17075.</w:t>
      </w:r>
    </w:p>
    <w:p w14:paraId="2495C207">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ind w:left="0" w:firstLine="0" w:leftChars="0" w:firstLineChars="0"/>
        <w:textAlignment w:val="auto"/>
        <w:rPr>
          <w:rFonts w:eastAsia="KaiTi" w:hint="default"/>
          <w:b w:val="0"/>
          <w:bCs w:val="0"/>
          <w:color w:val="000000"/>
          <w:sz w:val="24"/>
          <w:lang w:val="en-US" w:eastAsia="zh-CN" w:bidi="ar"/>
        </w:rPr>
      </w:pPr>
      <w:r>
        <w:rPr>
          <w:rFonts w:eastAsia="KaiTi" w:hint="eastAsia"/>
          <w:b w:val="0"/>
          <w:bCs w:val="0"/>
          <w:color w:val="000000"/>
          <w:sz w:val="24"/>
          <w:lang w:val="en-US" w:eastAsia="zh-CN" w:bidi="ar"/>
        </w:rPr>
        <w:t>Dong, R.H., Pfeffermann, M., Liang, H.W., Zheng, Z.K., Zhu, X., Zhang, J., Feng, X.L. Large-Area, Free-Standing, Two-Dimensional Supramolecular Polymer Single-Layer Sheets for Highly Efficient Electrocatalytic Hydrogen Evolution. Angew. Chem. Int. Edit., 2015, 54(41), 12058-12063.</w:t>
      </w:r>
    </w:p>
    <w:p w14:paraId="402BBA8B">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ind w:left="0" w:firstLine="0" w:leftChars="0" w:firstLineChars="0"/>
        <w:textAlignment w:val="auto"/>
        <w:rPr>
          <w:rFonts w:eastAsia="KaiTi" w:hint="default"/>
          <w:b w:val="0"/>
          <w:bCs w:val="0"/>
          <w:color w:val="000000"/>
          <w:sz w:val="24"/>
          <w:lang w:val="en-US" w:eastAsia="zh-CN" w:bidi="ar"/>
        </w:rPr>
      </w:pPr>
      <w:r>
        <w:rPr>
          <w:rFonts w:eastAsia="KaiTi" w:hint="eastAsia"/>
          <w:b w:val="0"/>
          <w:bCs w:val="0"/>
          <w:color w:val="000000"/>
          <w:sz w:val="24"/>
          <w:lang w:val="en-US" w:eastAsia="zh-CN" w:bidi="ar"/>
        </w:rPr>
        <w:t>Yuan, S., Peng, J.Y., Cai, B., Huang, Z.H., Garcia-Esparza, A.T., Sokaras, D., Zhang, Y.R., Giordano, L., Akkiraju, K., Zhu, Y.G., Huebner, R., Zou, X.D., Roman-Leshkov, Y., Shao-Horn, Y. Tunable metal hydroxide-organic frameworks for catalysing oxygen evolution. Nat. Mater., 2022, 21(6), 673-680.</w:t>
      </w:r>
    </w:p>
    <w:p w14:paraId="30C6BC8F">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ind w:left="0" w:firstLine="0" w:leftChars="0" w:firstLineChars="0"/>
        <w:textAlignment w:val="auto"/>
        <w:rPr>
          <w:rFonts w:eastAsia="KaiTi" w:hint="default"/>
          <w:b w:val="0"/>
          <w:bCs w:val="0"/>
          <w:color w:val="000000"/>
          <w:sz w:val="24"/>
          <w:lang w:val="en-US" w:eastAsia="zh-CN" w:bidi="ar"/>
        </w:rPr>
      </w:pPr>
      <w:r>
        <w:rPr>
          <w:rFonts w:eastAsia="KaiTi" w:hint="default"/>
          <w:b w:val="0"/>
          <w:bCs w:val="0"/>
          <w:color w:val="000000"/>
          <w:sz w:val="24"/>
          <w:lang w:val="en-US" w:eastAsia="zh-CN" w:bidi="ar"/>
        </w:rPr>
        <w:t>Wang, Z</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Yang, J</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Li, Y</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S</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Zhuang, Q</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X</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 xml:space="preserve"> Gu, J</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L</w:t>
      </w:r>
      <w:r>
        <w:rPr>
          <w:rFonts w:eastAsia="KaiTi" w:hint="eastAsia"/>
          <w:b w:val="0"/>
          <w:bCs w:val="0"/>
          <w:color w:val="000000"/>
          <w:sz w:val="24"/>
          <w:lang w:val="en-US" w:eastAsia="zh-CN" w:bidi="ar"/>
        </w:rPr>
        <w:t>. Simultaneous Degradation and Removal of Cr</w:t>
      </w:r>
      <w:r>
        <w:rPr>
          <w:rFonts w:eastAsia="KaiTi" w:hint="eastAsia"/>
          <w:b w:val="0"/>
          <w:bCs w:val="0"/>
          <w:color w:val="000000"/>
          <w:sz w:val="24"/>
          <w:vertAlign w:val="superscript"/>
          <w:lang w:val="en-US" w:eastAsia="zh-CN" w:bidi="ar"/>
        </w:rPr>
        <w:t>VI</w:t>
      </w:r>
      <w:r>
        <w:rPr>
          <w:rFonts w:eastAsia="KaiTi" w:hint="eastAsia"/>
          <w:b w:val="0"/>
          <w:bCs w:val="0"/>
          <w:color w:val="000000"/>
          <w:sz w:val="24"/>
          <w:lang w:val="en-US" w:eastAsia="zh-CN" w:bidi="ar"/>
        </w:rPr>
        <w:t xml:space="preserve"> from Aqueous Solution with Zr-Based Metal-Organic Frameworks Bearing Inherent Reductive Sites. CHEM.-EUR. J., 2017, 23(61): 15415-15423.</w:t>
      </w:r>
    </w:p>
    <w:p w14:paraId="01E3A63C">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ind w:left="0" w:firstLine="0" w:leftChars="0" w:firstLineChars="0"/>
        <w:textAlignment w:val="auto"/>
        <w:rPr>
          <w:rFonts w:eastAsia="KaiTi" w:hint="default"/>
          <w:b w:val="0"/>
          <w:bCs w:val="0"/>
          <w:color w:val="000000"/>
          <w:sz w:val="24"/>
          <w:lang w:val="en-US" w:eastAsia="zh-CN" w:bidi="ar"/>
        </w:rPr>
      </w:pPr>
      <w:r>
        <w:rPr>
          <w:rFonts w:eastAsia="KaiTi" w:hint="default"/>
          <w:b w:val="0"/>
          <w:bCs w:val="0"/>
          <w:color w:val="000000"/>
          <w:sz w:val="24"/>
          <w:lang w:val="en-US" w:eastAsia="zh-CN" w:bidi="ar"/>
        </w:rPr>
        <w:t>Wang, Y</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Liu, B</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R</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 Shen, X</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J</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 Arandiyan, H</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 Zhao, T</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W</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Li, Y</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B</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Garbrecht, M</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 Su, Z</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 Han, L</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Tricoli, A</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Zhao, C</w:t>
      </w:r>
      <w:r>
        <w:rPr>
          <w:rFonts w:eastAsia="KaiTi" w:hint="eastAsia"/>
          <w:b w:val="0"/>
          <w:bCs w:val="0"/>
          <w:color w:val="000000"/>
          <w:sz w:val="24"/>
          <w:lang w:val="en-US" w:eastAsia="zh-CN" w:bidi="ar"/>
        </w:rPr>
        <w:t>. Engineering the Activity and Stability of MOF-Nanocomposites for Efficient Water Oxidation. Adv. Energy Mater., 2021, 11(16), 2003759.</w:t>
      </w:r>
    </w:p>
    <w:p w14:paraId="052AF35C">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ind w:left="0" w:firstLine="0" w:leftChars="0" w:firstLineChars="0"/>
        <w:textAlignment w:val="auto"/>
        <w:rPr>
          <w:rFonts w:eastAsia="KaiTi" w:hint="default"/>
          <w:b w:val="0"/>
          <w:bCs w:val="0"/>
          <w:color w:val="000000"/>
          <w:sz w:val="24"/>
          <w:lang w:val="en-US" w:eastAsia="zh-CN" w:bidi="ar"/>
        </w:rPr>
      </w:pPr>
      <w:r>
        <w:rPr>
          <w:rFonts w:eastAsia="KaiTi" w:hint="default"/>
          <w:b w:val="0"/>
          <w:bCs w:val="0"/>
          <w:color w:val="000000"/>
          <w:sz w:val="24"/>
          <w:lang w:val="en-US" w:eastAsia="zh-CN" w:bidi="ar"/>
        </w:rPr>
        <w:t>Li, F</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J</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 xml:space="preserve"> Jiang, M</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H</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Lai, C</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G</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 xml:space="preserve"> Xu, H</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F</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Zhang, K</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Y</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Jin, Z</w:t>
      </w:r>
      <w:r>
        <w:rPr>
          <w:rFonts w:eastAsia="KaiTi" w:hint="eastAsia"/>
          <w:b w:val="0"/>
          <w:bCs w:val="0"/>
          <w:color w:val="000000"/>
          <w:sz w:val="24"/>
          <w:lang w:val="en-US" w:eastAsia="zh-CN" w:bidi="ar"/>
        </w:rPr>
        <w:t>. Yttrium- and Cerium-Codoped Ultrathin Metal-Organic Framework Nanosheet Arrays for High-Efficiency Electrocatalytic Overall Water Splitting. Nano Lett., 2022, 22(17), 7238-7245.</w:t>
      </w:r>
    </w:p>
    <w:p w14:paraId="35D694D4">
      <w:pPr>
        <w:keepNext w:val="0"/>
        <w:keepLines w:val="0"/>
        <w:pageBreakBefore w:val="0"/>
        <w:widowControl w:val="0"/>
        <w:numPr>
          <w:ilvl w:val="0"/>
          <w:numId w:val="1"/>
        </w:numPr>
        <w:kinsoku/>
        <w:wordWrap/>
        <w:overflowPunct/>
        <w:topLinePunct w:val="0"/>
        <w:autoSpaceDE/>
        <w:autoSpaceDN/>
        <w:bidi w:val="0"/>
        <w:adjustRightInd/>
        <w:snapToGrid/>
        <w:spacing w:before="120" w:beforeLines="50" w:line="360" w:lineRule="auto"/>
        <w:ind w:left="0" w:firstLine="0" w:leftChars="0" w:firstLineChars="0"/>
        <w:textAlignment w:val="auto"/>
        <w:rPr>
          <w:rFonts w:eastAsia="KaiTi" w:hint="default"/>
          <w:b w:val="0"/>
          <w:bCs w:val="0"/>
          <w:color w:val="000000"/>
          <w:sz w:val="24"/>
          <w:lang w:val="en-US" w:eastAsia="zh-CN" w:bidi="ar"/>
        </w:rPr>
      </w:pPr>
      <w:r>
        <w:rPr>
          <w:rFonts w:eastAsia="KaiTi" w:hint="default"/>
          <w:b w:val="0"/>
          <w:bCs w:val="0"/>
          <w:color w:val="000000"/>
          <w:sz w:val="24"/>
          <w:lang w:val="en-US" w:eastAsia="zh-CN" w:bidi="ar"/>
        </w:rPr>
        <w:t>Ma, X</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 xml:space="preserve"> Deng, Z</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 xml:space="preserve"> Li, Z</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Y</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Chen, D</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K</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Wan, X</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Y</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Wang, X</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B</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Peng, X</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S</w:t>
      </w:r>
      <w:r>
        <w:rPr>
          <w:rFonts w:eastAsia="KaiTi" w:hint="eastAsia"/>
          <w:b w:val="0"/>
          <w:bCs w:val="0"/>
          <w:color w:val="000000"/>
          <w:sz w:val="24"/>
          <w:lang w:val="en-US" w:eastAsia="zh-CN" w:bidi="ar"/>
        </w:rPr>
        <w:t>. A photothermal and Fenton active MOF-based membrane for high-efficiency solar water evaporation and clean water production. J. Mater. Chem. A., 2020, 8(43), 22728-22735.</w:t>
      </w:r>
    </w:p>
    <w:p w14:paraId="1EB172FF">
      <w:pPr>
        <w:keepNext w:val="0"/>
        <w:keepLines w:val="0"/>
        <w:pageBreakBefore w:val="0"/>
        <w:widowControl w:val="0"/>
        <w:numPr>
          <w:numId w:val="0"/>
        </w:numPr>
        <w:kinsoku/>
        <w:wordWrap/>
        <w:overflowPunct/>
        <w:topLinePunct w:val="0"/>
        <w:autoSpaceDE/>
        <w:autoSpaceDN/>
        <w:bidi w:val="0"/>
        <w:adjustRightInd/>
        <w:snapToGrid/>
        <w:spacing w:before="120" w:beforeLines="50" w:line="360" w:lineRule="auto"/>
        <w:ind w:leftChars="0"/>
        <w:textAlignment w:val="auto"/>
        <w:rPr>
          <w:rFonts w:ascii="KaiTi" w:eastAsia="KaiTi" w:hAnsi="KaiTi" w:cs="KaiTi"/>
        </w:rPr>
      </w:pPr>
      <w:r>
        <w:rPr>
          <w:rFonts w:eastAsia="KaiTi" w:hint="eastAsia"/>
          <w:b w:val="0"/>
          <w:bCs w:val="0"/>
          <w:color w:val="000000"/>
          <w:sz w:val="24"/>
          <w:lang w:val="en-US" w:eastAsia="zh-CN" w:bidi="ar"/>
        </w:rPr>
        <w:t xml:space="preserve">[20] </w:t>
      </w:r>
      <w:r>
        <w:rPr>
          <w:rFonts w:eastAsia="KaiTi" w:hint="default"/>
          <w:b w:val="0"/>
          <w:bCs w:val="0"/>
          <w:color w:val="000000"/>
          <w:sz w:val="24"/>
          <w:lang w:val="en-US" w:eastAsia="zh-CN" w:bidi="ar"/>
        </w:rPr>
        <w:t>Muldoon, P</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F</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Liu, C</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Miller, C</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C</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Koby, S</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B</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Jarvi, A</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G</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Luo, T</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Y</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Saxena, S</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O'Keeffe, M</w:t>
      </w:r>
      <w:r>
        <w:rPr>
          <w:rFonts w:eastAsia="KaiTi" w:hint="eastAsia"/>
          <w:b w:val="0"/>
          <w:bCs w:val="0"/>
          <w:color w:val="000000"/>
          <w:sz w:val="24"/>
          <w:lang w:val="en-US" w:eastAsia="zh-CN" w:bidi="ar"/>
        </w:rPr>
        <w:t xml:space="preserve">., </w:t>
      </w:r>
      <w:r>
        <w:rPr>
          <w:rFonts w:eastAsia="KaiTi" w:hint="default"/>
          <w:b w:val="0"/>
          <w:bCs w:val="0"/>
          <w:color w:val="000000"/>
          <w:sz w:val="24"/>
          <w:lang w:val="en-US" w:eastAsia="zh-CN" w:bidi="ar"/>
        </w:rPr>
        <w:t>Rosi, N</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L</w:t>
      </w:r>
      <w:r>
        <w:rPr>
          <w:rFonts w:eastAsia="KaiTi" w:hint="eastAsia"/>
          <w:b w:val="0"/>
          <w:bCs w:val="0"/>
          <w:color w:val="000000"/>
          <w:sz w:val="24"/>
          <w:lang w:val="en-US" w:eastAsia="zh-CN" w:bidi="ar"/>
        </w:rPr>
        <w:t>.</w:t>
      </w:r>
      <w:r>
        <w:rPr>
          <w:rFonts w:eastAsia="KaiTi" w:hint="default"/>
          <w:b w:val="0"/>
          <w:bCs w:val="0"/>
          <w:color w:val="000000"/>
          <w:sz w:val="24"/>
          <w:lang w:val="en-US" w:eastAsia="zh-CN" w:bidi="ar"/>
        </w:rPr>
        <w:t xml:space="preserve"> Programmable Topology in New Families of Heterobimetallic Metal- Organic Frameworks</w:t>
      </w:r>
      <w:r>
        <w:rPr>
          <w:rFonts w:eastAsia="KaiTi" w:hint="eastAsia"/>
          <w:b w:val="0"/>
          <w:bCs w:val="0"/>
          <w:color w:val="000000"/>
          <w:sz w:val="24"/>
          <w:lang w:val="en-US" w:eastAsia="zh-CN" w:bidi="ar"/>
        </w:rPr>
        <w:t>. J. Am. Chem. Soc., 2018, 140, 6194-6198.</w:t>
      </w:r>
    </w:p>
    <w:p w14:paraId="70382442">
      <w:pPr>
        <w:wordWrap w:val="0"/>
        <w:spacing w:line="440" w:lineRule="exact"/>
        <w:ind w:firstLine="560" w:firstLineChars="200"/>
        <w:outlineLvl w:val="0"/>
        <w:rPr>
          <w:rFonts w:ascii="KaiTi" w:eastAsia="KaiTi" w:hAnsi="KaiTi" w:cs="KaiTi"/>
          <w:b/>
        </w:rPr>
      </w:pPr>
      <w:r>
        <w:rPr>
          <w:rFonts w:ascii="KaiTi" w:eastAsia="KaiTi" w:hAnsi="KaiTi" w:cs="KaiTi" w:hint="eastAsia"/>
          <w:b/>
        </w:rPr>
        <w:t>二、</w:t>
      </w:r>
      <w:bookmarkStart w:id="93" w:name="bm_five"/>
      <w:r>
        <w:rPr>
          <w:rFonts w:ascii="KaiTi" w:eastAsia="KaiTi" w:hAnsi="KaiTi" w:cs="KaiTi" w:hint="eastAsia"/>
          <w:b/>
        </w:rPr>
        <w:t>研究内容、研究目标、拟解决的关键科学问题、创新点及预期成果</w:t>
      </w:r>
    </w:p>
    <w:p w14:paraId="4B445C1F">
      <w:pPr>
        <w:wordWrap w:val="0"/>
        <w:spacing w:line="440" w:lineRule="exact"/>
        <w:ind w:firstLine="560" w:firstLineChars="200"/>
        <w:rPr>
          <w:rFonts w:ascii="KaiTi" w:eastAsia="KaiTi" w:hAnsi="KaiTi" w:cs="KaiTi"/>
        </w:rPr>
      </w:pPr>
      <w:r>
        <w:rPr>
          <w:rFonts w:ascii="KaiTi" w:eastAsia="KaiTi" w:hAnsi="KaiTi" w:cs="KaiTi" w:hint="eastAsia"/>
        </w:rPr>
        <w:t>1.研究内容</w:t>
      </w:r>
    </w:p>
    <w:p w14:paraId="630DE3DC">
      <w:pPr>
        <w:keepNext w:val="0"/>
        <w:keepLines w:val="0"/>
        <w:pageBreakBefore w:val="0"/>
        <w:widowControl w:val="0"/>
        <w:kinsoku/>
        <w:wordWrap/>
        <w:overflowPunct/>
        <w:topLinePunct w:val="0"/>
        <w:autoSpaceDE/>
        <w:autoSpaceDN/>
        <w:bidi w:val="0"/>
        <w:adjustRightInd/>
        <w:snapToGrid/>
        <w:spacing w:before="240" w:beforeLines="100" w:line="360" w:lineRule="auto"/>
        <w:ind w:firstLine="480" w:firstLineChars="200"/>
        <w:textAlignment w:val="auto"/>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项目拟重点开展以下四个方面内容研究：</w:t>
      </w:r>
    </w:p>
    <w:p w14:paraId="7D822677">
      <w:pPr>
        <w:numPr>
          <w:ilvl w:val="0"/>
          <w:numId w:val="2"/>
        </w:numPr>
        <w:spacing w:line="360" w:lineRule="auto"/>
        <w:ind w:firstLine="480" w:firstLineChars="200"/>
        <w:rPr>
          <w:rFonts w:eastAsia="KaiTi" w:cs="Times New Roman" w:hint="eastAsia"/>
          <w:b/>
          <w:bCs/>
          <w:color w:val="000000"/>
          <w:sz w:val="24"/>
          <w:szCs w:val="21"/>
          <w:vertAlign w:val="baseline"/>
          <w:lang w:val="en-US" w:eastAsia="zh-CN" w:bidi="ar"/>
        </w:rPr>
      </w:pPr>
      <w:bookmarkStart w:id="94" w:name="OLE_LINK20"/>
      <w:bookmarkStart w:id="95" w:name="OLE_LINK16"/>
      <w:bookmarkStart w:id="96" w:name="OLE_LINK47"/>
      <w:r>
        <w:rPr>
          <w:rFonts w:eastAsia="KaiTi" w:cs="Times New Roman" w:hint="eastAsia"/>
          <w:b/>
          <w:bCs/>
          <w:color w:val="000000"/>
          <w:sz w:val="24"/>
          <w:szCs w:val="21"/>
          <w:vertAlign w:val="baseline"/>
          <w:lang w:val="en-US" w:eastAsia="zh-CN" w:bidi="ar"/>
        </w:rPr>
        <w:t>MXene</w:t>
      </w:r>
      <w:bookmarkEnd w:id="94"/>
      <w:r>
        <w:rPr>
          <w:rFonts w:eastAsia="KaiTi" w:cs="Times New Roman" w:hint="eastAsia"/>
          <w:b/>
          <w:bCs/>
          <w:color w:val="000000"/>
          <w:sz w:val="24"/>
          <w:szCs w:val="21"/>
          <w:vertAlign w:val="baseline"/>
          <w:lang w:val="en-US" w:eastAsia="zh-CN" w:bidi="ar"/>
        </w:rPr>
        <w:t>/M-Zr-MOF</w:t>
      </w:r>
      <w:bookmarkEnd w:id="95"/>
      <w:r>
        <w:rPr>
          <w:rFonts w:eastAsia="KaiTi" w:cs="Times New Roman" w:hint="eastAsia"/>
          <w:b/>
          <w:bCs/>
          <w:color w:val="000000"/>
          <w:sz w:val="24"/>
          <w:szCs w:val="21"/>
          <w:vertAlign w:val="baseline"/>
          <w:lang w:val="en-US" w:eastAsia="zh-CN" w:bidi="ar"/>
        </w:rPr>
        <w:t>电催化膜的构建原理与调控</w:t>
      </w:r>
    </w:p>
    <w:bookmarkEnd w:id="96"/>
    <w:p w14:paraId="6554E733">
      <w:pPr>
        <w:spacing w:line="360" w:lineRule="auto"/>
        <w:ind w:firstLine="480" w:firstLineChars="200"/>
        <w:rPr>
          <w:rFonts w:eastAsia="KaiTi" w:cs="Times New Roman" w:hint="default"/>
          <w:b w:val="0"/>
          <w:bCs w:val="0"/>
          <w:color w:val="000000"/>
          <w:sz w:val="24"/>
          <w:szCs w:val="21"/>
          <w:vertAlign w:val="baseline"/>
          <w:lang w:val="en-US" w:eastAsia="zh-CN" w:bidi="ar"/>
        </w:rPr>
      </w:pPr>
      <w:bookmarkStart w:id="97" w:name="OLE_LINK81"/>
      <w:r>
        <w:rPr>
          <w:rFonts w:eastAsia="KaiTi" w:cs="Times New Roman" w:hint="eastAsia"/>
          <w:b w:val="0"/>
          <w:bCs w:val="0"/>
          <w:color w:val="000000"/>
          <w:sz w:val="24"/>
          <w:szCs w:val="21"/>
          <w:vertAlign w:val="baseline"/>
          <w:lang w:val="en-US" w:eastAsia="zh-CN" w:bidi="ar"/>
        </w:rPr>
        <w:t>基于改进的MILD法制备Ti</w:t>
      </w:r>
      <w:r>
        <w:rPr>
          <w:rFonts w:eastAsia="KaiTi" w:cs="Times New Roman" w:hint="eastAsia"/>
          <w:b w:val="0"/>
          <w:bCs w:val="0"/>
          <w:color w:val="000000"/>
          <w:sz w:val="24"/>
          <w:szCs w:val="21"/>
          <w:vertAlign w:val="subscript"/>
          <w:lang w:val="en-US" w:eastAsia="zh-CN" w:bidi="ar"/>
        </w:rPr>
        <w:t>3</w:t>
      </w:r>
      <w:r>
        <w:rPr>
          <w:rFonts w:eastAsia="KaiTi" w:cs="Times New Roman" w:hint="eastAsia"/>
          <w:b w:val="0"/>
          <w:bCs w:val="0"/>
          <w:color w:val="000000"/>
          <w:sz w:val="24"/>
          <w:szCs w:val="21"/>
          <w:vertAlign w:val="baseline"/>
          <w:lang w:val="en-US" w:eastAsia="zh-CN" w:bidi="ar"/>
        </w:rPr>
        <w:t>C</w:t>
      </w:r>
      <w:r>
        <w:rPr>
          <w:rFonts w:eastAsia="KaiTi" w:cs="Times New Roman" w:hint="eastAsia"/>
          <w:b w:val="0"/>
          <w:bCs w:val="0"/>
          <w:color w:val="000000"/>
          <w:sz w:val="24"/>
          <w:szCs w:val="21"/>
          <w:vertAlign w:val="subscript"/>
          <w:lang w:val="en-US" w:eastAsia="zh-CN" w:bidi="ar"/>
        </w:rPr>
        <w:t>2</w:t>
      </w:r>
      <w:r>
        <w:rPr>
          <w:rFonts w:eastAsia="KaiTi" w:cs="Times New Roman" w:hint="eastAsia"/>
          <w:b w:val="0"/>
          <w:bCs w:val="0"/>
          <w:color w:val="000000"/>
          <w:sz w:val="24"/>
          <w:szCs w:val="21"/>
          <w:vertAlign w:val="baseline"/>
          <w:lang w:val="en-US" w:eastAsia="zh-CN" w:bidi="ar"/>
        </w:rPr>
        <w:t>T</w:t>
      </w:r>
      <w:r>
        <w:rPr>
          <w:rFonts w:eastAsia="KaiTi" w:cs="Times New Roman" w:hint="eastAsia"/>
          <w:b w:val="0"/>
          <w:bCs w:val="0"/>
          <w:color w:val="000000"/>
          <w:sz w:val="24"/>
          <w:szCs w:val="21"/>
          <w:vertAlign w:val="subscript"/>
          <w:lang w:val="en-US" w:eastAsia="zh-CN" w:bidi="ar"/>
        </w:rPr>
        <w:t>x</w:t>
      </w:r>
      <w:r>
        <w:rPr>
          <w:rFonts w:eastAsia="KaiTi" w:cs="Times New Roman" w:hint="eastAsia"/>
          <w:b w:val="0"/>
          <w:bCs w:val="0"/>
          <w:color w:val="000000"/>
          <w:sz w:val="24"/>
          <w:szCs w:val="21"/>
          <w:vertAlign w:val="baseline"/>
          <w:lang w:val="en-US" w:eastAsia="zh-CN" w:bidi="ar"/>
        </w:rPr>
        <w:t xml:space="preserve"> MXene纳米片</w:t>
      </w:r>
      <w:bookmarkEnd w:id="97"/>
      <w:r>
        <w:rPr>
          <w:rFonts w:eastAsia="KaiTi" w:cs="Times New Roman" w:hint="eastAsia"/>
          <w:b w:val="0"/>
          <w:bCs w:val="0"/>
          <w:color w:val="000000"/>
          <w:sz w:val="24"/>
          <w:szCs w:val="21"/>
          <w:vertAlign w:val="baseline"/>
          <w:lang w:val="en-US" w:eastAsia="zh-CN" w:bidi="ar"/>
        </w:rPr>
        <w:t>，选择Fe、Co、Ni金属化合物和二氯二茂锆通过溶剂热法制备结晶度高、稳定性好的M-Zr-MOF材料，通过真空辅助组装方法构筑具有二维纳米通道的</w:t>
      </w:r>
      <w:bookmarkStart w:id="98" w:name="OLE_LINK23"/>
      <w:r>
        <w:rPr>
          <w:rFonts w:eastAsia="KaiTi" w:cs="Times New Roman" w:hint="eastAsia"/>
          <w:b w:val="0"/>
          <w:bCs w:val="0"/>
          <w:color w:val="000000"/>
          <w:sz w:val="24"/>
          <w:szCs w:val="21"/>
          <w:vertAlign w:val="baseline"/>
          <w:lang w:val="en-US" w:eastAsia="zh-CN" w:bidi="ar"/>
        </w:rPr>
        <w:t>MXene/</w:t>
      </w:r>
      <w:bookmarkStart w:id="99" w:name="OLE_LINK21"/>
      <w:r>
        <w:rPr>
          <w:rFonts w:eastAsia="KaiTi" w:cs="Times New Roman" w:hint="eastAsia"/>
          <w:b w:val="0"/>
          <w:bCs w:val="0"/>
          <w:color w:val="000000"/>
          <w:sz w:val="24"/>
          <w:szCs w:val="21"/>
          <w:vertAlign w:val="baseline"/>
          <w:lang w:val="en-US" w:eastAsia="zh-CN" w:bidi="ar"/>
        </w:rPr>
        <w:t>M-Zr-MOF</w:t>
      </w:r>
      <w:bookmarkEnd w:id="98"/>
      <w:bookmarkEnd w:id="99"/>
      <w:r>
        <w:rPr>
          <w:rFonts w:eastAsia="KaiTi" w:cs="Times New Roman" w:hint="eastAsia"/>
          <w:b w:val="0"/>
          <w:bCs w:val="0"/>
          <w:color w:val="000000"/>
          <w:sz w:val="24"/>
          <w:szCs w:val="21"/>
          <w:vertAlign w:val="baseline"/>
          <w:lang w:val="en-US" w:eastAsia="zh-CN" w:bidi="ar"/>
        </w:rPr>
        <w:t>电催化膜。分析不同物质比例和热处理条件下MXene层间通道尺寸和M-Zr-MOF分布状态的演变过程，</w:t>
      </w:r>
      <w:r>
        <w:rPr>
          <w:rFonts w:eastAsia="KaiTi" w:cs="Times New Roman" w:hint="eastAsia"/>
          <w:b/>
          <w:bCs/>
          <w:color w:val="000000"/>
          <w:sz w:val="24"/>
          <w:szCs w:val="21"/>
          <w:vertAlign w:val="baseline"/>
          <w:lang w:val="en-US" w:eastAsia="zh-CN" w:bidi="ar"/>
        </w:rPr>
        <w:t>揭示电催化膜的形成机理</w:t>
      </w:r>
      <w:r>
        <w:rPr>
          <w:rFonts w:eastAsia="KaiTi" w:cs="Times New Roman" w:hint="eastAsia"/>
          <w:b w:val="0"/>
          <w:bCs w:val="0"/>
          <w:color w:val="000000"/>
          <w:sz w:val="24"/>
          <w:szCs w:val="21"/>
          <w:vertAlign w:val="baseline"/>
          <w:lang w:val="en-US" w:eastAsia="zh-CN" w:bidi="ar"/>
        </w:rPr>
        <w:t>；</w:t>
      </w:r>
      <w:bookmarkStart w:id="100" w:name="OLE_LINK49"/>
      <w:r>
        <w:rPr>
          <w:rFonts w:eastAsia="KaiTi" w:cs="Times New Roman" w:hint="eastAsia"/>
          <w:b w:val="0"/>
          <w:bCs w:val="0"/>
          <w:color w:val="000000"/>
          <w:sz w:val="24"/>
          <w:szCs w:val="21"/>
          <w:vertAlign w:val="baseline"/>
          <w:lang w:val="en-US" w:eastAsia="zh-CN" w:bidi="ar"/>
        </w:rPr>
        <w:t>研究M-Zr-MOF的金属种类、形貌尺寸和晶型结构对其选择性吸附能力、导电性、催化活性和稳定性的影响</w:t>
      </w:r>
      <w:bookmarkEnd w:id="100"/>
      <w:r>
        <w:rPr>
          <w:rFonts w:eastAsia="KaiTi" w:cs="Times New Roman" w:hint="eastAsia"/>
          <w:b w:val="0"/>
          <w:bCs w:val="0"/>
          <w:color w:val="000000"/>
          <w:sz w:val="24"/>
          <w:szCs w:val="21"/>
          <w:vertAlign w:val="baseline"/>
          <w:lang w:val="en-US" w:eastAsia="zh-CN" w:bidi="ar"/>
        </w:rPr>
        <w:t>，</w:t>
      </w:r>
      <w:r>
        <w:rPr>
          <w:rFonts w:eastAsia="KaiTi" w:cs="Times New Roman" w:hint="eastAsia"/>
          <w:b/>
          <w:bCs/>
          <w:color w:val="000000"/>
          <w:sz w:val="24"/>
          <w:szCs w:val="21"/>
          <w:vertAlign w:val="baseline"/>
          <w:lang w:val="en-US" w:eastAsia="zh-CN" w:bidi="ar"/>
        </w:rPr>
        <w:t>明确与MXene桥接的锆基异质金属有机框架调控机制</w:t>
      </w:r>
      <w:r>
        <w:rPr>
          <w:rFonts w:eastAsia="KaiTi" w:cs="Times New Roman" w:hint="eastAsia"/>
          <w:b w:val="0"/>
          <w:bCs w:val="0"/>
          <w:color w:val="000000"/>
          <w:sz w:val="24"/>
          <w:szCs w:val="21"/>
          <w:vertAlign w:val="baseline"/>
          <w:lang w:val="en-US" w:eastAsia="zh-CN" w:bidi="ar"/>
        </w:rPr>
        <w:t>；</w:t>
      </w:r>
      <w:bookmarkStart w:id="101" w:name="OLE_LINK90"/>
      <w:r>
        <w:rPr>
          <w:rFonts w:eastAsia="KaiTi" w:cs="Times New Roman" w:hint="eastAsia"/>
          <w:b w:val="0"/>
          <w:bCs w:val="0"/>
          <w:color w:val="000000"/>
          <w:sz w:val="24"/>
          <w:szCs w:val="21"/>
          <w:vertAlign w:val="baseline"/>
          <w:lang w:val="en-US" w:eastAsia="zh-CN" w:bidi="ar"/>
        </w:rPr>
        <w:t>考察MXene/M-Zr-MOF形貌结构、层间通道尺寸、空间分布状态及堆叠厚度等物化特征对其比表面积、电子结构、活性位点以及渗透性能的影响</w:t>
      </w:r>
      <w:bookmarkEnd w:id="101"/>
      <w:r>
        <w:rPr>
          <w:rFonts w:eastAsia="KaiTi" w:cs="Times New Roman" w:hint="eastAsia"/>
          <w:b w:val="0"/>
          <w:bCs w:val="0"/>
          <w:color w:val="000000"/>
          <w:sz w:val="24"/>
          <w:szCs w:val="21"/>
          <w:vertAlign w:val="baseline"/>
          <w:lang w:val="en-US" w:eastAsia="zh-CN" w:bidi="ar"/>
        </w:rPr>
        <w:t>，</w:t>
      </w:r>
      <w:r>
        <w:rPr>
          <w:rFonts w:eastAsia="KaiTi" w:cs="Times New Roman" w:hint="eastAsia"/>
          <w:b/>
          <w:bCs/>
          <w:color w:val="000000"/>
          <w:sz w:val="24"/>
          <w:szCs w:val="21"/>
          <w:vertAlign w:val="baseline"/>
          <w:lang w:val="en-US" w:eastAsia="zh-CN" w:bidi="ar"/>
        </w:rPr>
        <w:t>阐明微观结构的调控策略</w:t>
      </w:r>
      <w:r>
        <w:rPr>
          <w:rFonts w:eastAsia="KaiTi" w:cs="Times New Roman" w:hint="eastAsia"/>
          <w:b w:val="0"/>
          <w:bCs w:val="0"/>
          <w:color w:val="000000"/>
          <w:sz w:val="24"/>
          <w:szCs w:val="21"/>
          <w:vertAlign w:val="baseline"/>
          <w:lang w:val="en-US" w:eastAsia="zh-CN" w:bidi="ar"/>
        </w:rPr>
        <w:t>。</w:t>
      </w:r>
    </w:p>
    <w:p w14:paraId="3F22EB00">
      <w:pPr>
        <w:numPr>
          <w:ilvl w:val="0"/>
          <w:numId w:val="2"/>
        </w:numPr>
        <w:spacing w:line="360" w:lineRule="auto"/>
        <w:ind w:firstLine="480" w:firstLineChars="200"/>
        <w:rPr>
          <w:rFonts w:eastAsia="KaiTi" w:cs="Times New Roman" w:hint="eastAsia"/>
          <w:b/>
          <w:bCs/>
          <w:color w:val="000000"/>
          <w:sz w:val="24"/>
          <w:szCs w:val="21"/>
          <w:vertAlign w:val="baseline"/>
          <w:lang w:val="en-US" w:eastAsia="zh-CN" w:bidi="ar"/>
        </w:rPr>
      </w:pPr>
      <w:bookmarkStart w:id="102" w:name="OLE_LINK25"/>
      <w:bookmarkStart w:id="103" w:name="OLE_LINK41"/>
      <w:r>
        <w:rPr>
          <w:rFonts w:eastAsia="KaiTi" w:cs="Times New Roman" w:hint="eastAsia"/>
          <w:b/>
          <w:bCs/>
          <w:color w:val="000000"/>
          <w:sz w:val="24"/>
          <w:szCs w:val="21"/>
          <w:vertAlign w:val="baseline"/>
          <w:lang w:val="en-US" w:eastAsia="zh-CN" w:bidi="ar"/>
        </w:rPr>
        <w:t>MXene/M-Zr-MOF</w:t>
      </w:r>
      <w:bookmarkEnd w:id="102"/>
      <w:r>
        <w:rPr>
          <w:rFonts w:eastAsia="KaiTi" w:cs="Times New Roman" w:hint="eastAsia"/>
          <w:b/>
          <w:bCs/>
          <w:color w:val="000000"/>
          <w:sz w:val="24"/>
          <w:szCs w:val="21"/>
          <w:vertAlign w:val="baseline"/>
          <w:lang w:val="en-US" w:eastAsia="zh-CN" w:bidi="ar"/>
        </w:rPr>
        <w:t>选</w:t>
      </w:r>
      <w:bookmarkStart w:id="104" w:name="OLE_LINK33"/>
      <w:r>
        <w:rPr>
          <w:rFonts w:eastAsia="KaiTi" w:cs="Times New Roman" w:hint="eastAsia"/>
          <w:b/>
          <w:bCs/>
          <w:color w:val="000000"/>
          <w:sz w:val="24"/>
          <w:szCs w:val="21"/>
          <w:vertAlign w:val="baseline"/>
          <w:lang w:val="en-US" w:eastAsia="zh-CN" w:bidi="ar"/>
        </w:rPr>
        <w:t>择性吸附-电催化还原重金属机制解析</w:t>
      </w:r>
    </w:p>
    <w:bookmarkEnd w:id="103"/>
    <w:bookmarkEnd w:id="104"/>
    <w:p w14:paraId="15A35090">
      <w:p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研究</w:t>
      </w:r>
      <w:bookmarkStart w:id="105" w:name="OLE_LINK27"/>
      <w:r>
        <w:rPr>
          <w:rFonts w:eastAsia="KaiTi" w:cs="Times New Roman" w:hint="eastAsia"/>
          <w:b w:val="0"/>
          <w:bCs w:val="0"/>
          <w:color w:val="000000"/>
          <w:sz w:val="24"/>
          <w:szCs w:val="21"/>
          <w:vertAlign w:val="baseline"/>
          <w:lang w:val="en-US" w:eastAsia="zh-CN" w:bidi="ar"/>
        </w:rPr>
        <w:t>MXene/M-Zr-MOF</w:t>
      </w:r>
      <w:bookmarkEnd w:id="105"/>
      <w:r>
        <w:rPr>
          <w:rFonts w:eastAsia="KaiTi" w:cs="Times New Roman" w:hint="eastAsia"/>
          <w:b w:val="0"/>
          <w:bCs w:val="0"/>
          <w:color w:val="000000"/>
          <w:sz w:val="24"/>
          <w:szCs w:val="21"/>
          <w:vertAlign w:val="baseline"/>
          <w:lang w:val="en-US" w:eastAsia="zh-CN" w:bidi="ar"/>
        </w:rPr>
        <w:t>对不同重金属离子和重金属有机络合物、水体背景物质的吸附行为与性能，</w:t>
      </w:r>
      <w:r>
        <w:rPr>
          <w:rFonts w:eastAsia="KaiTi" w:cs="Times New Roman" w:hint="eastAsia"/>
          <w:b/>
          <w:bCs/>
          <w:color w:val="000000"/>
          <w:sz w:val="24"/>
          <w:szCs w:val="21"/>
          <w:vertAlign w:val="baseline"/>
          <w:lang w:val="en-US" w:eastAsia="zh-CN" w:bidi="ar"/>
        </w:rPr>
        <w:t>明确其选择性吸附能力</w:t>
      </w:r>
      <w:r>
        <w:rPr>
          <w:rFonts w:eastAsia="KaiTi" w:cs="Times New Roman" w:hint="eastAsia"/>
          <w:b w:val="0"/>
          <w:bCs w:val="0"/>
          <w:color w:val="000000"/>
          <w:sz w:val="24"/>
          <w:szCs w:val="21"/>
          <w:vertAlign w:val="baseline"/>
          <w:lang w:val="en-US" w:eastAsia="zh-CN" w:bidi="ar"/>
        </w:rPr>
        <w:t>；判别静电、配位、离子交换、氢键、酸碱作用等机制在吸附重金属中的贡献，</w:t>
      </w:r>
      <w:r>
        <w:rPr>
          <w:rFonts w:eastAsia="KaiTi" w:cs="Times New Roman" w:hint="eastAsia"/>
          <w:b/>
          <w:bCs/>
          <w:color w:val="000000"/>
          <w:sz w:val="24"/>
          <w:szCs w:val="21"/>
          <w:vertAlign w:val="baseline"/>
          <w:lang w:val="en-US" w:eastAsia="zh-CN" w:bidi="ar"/>
        </w:rPr>
        <w:t>揭示</w:t>
      </w:r>
      <w:bookmarkStart w:id="106" w:name="OLE_LINK28"/>
      <w:r>
        <w:rPr>
          <w:rFonts w:eastAsia="KaiTi" w:cs="Times New Roman" w:hint="eastAsia"/>
          <w:b/>
          <w:bCs/>
          <w:color w:val="000000"/>
          <w:sz w:val="24"/>
          <w:szCs w:val="21"/>
          <w:vertAlign w:val="baseline"/>
          <w:lang w:val="en-US" w:eastAsia="zh-CN" w:bidi="ar"/>
        </w:rPr>
        <w:t>MXene/M-Zr-MOF的</w:t>
      </w:r>
      <w:bookmarkEnd w:id="106"/>
      <w:r>
        <w:rPr>
          <w:rFonts w:eastAsia="KaiTi" w:cs="Times New Roman" w:hint="eastAsia"/>
          <w:b/>
          <w:bCs/>
          <w:color w:val="000000"/>
          <w:sz w:val="24"/>
          <w:szCs w:val="21"/>
          <w:vertAlign w:val="baseline"/>
          <w:lang w:val="en-US" w:eastAsia="zh-CN" w:bidi="ar"/>
        </w:rPr>
        <w:t>选择吸附机制</w:t>
      </w:r>
      <w:r>
        <w:rPr>
          <w:rFonts w:eastAsia="KaiTi" w:cs="Times New Roman" w:hint="eastAsia"/>
          <w:b w:val="0"/>
          <w:bCs w:val="0"/>
          <w:color w:val="000000"/>
          <w:sz w:val="24"/>
          <w:szCs w:val="21"/>
          <w:vertAlign w:val="baseline"/>
          <w:lang w:val="en-US" w:eastAsia="zh-CN" w:bidi="ar"/>
        </w:rPr>
        <w:t>；研究MXene/M-Zr-MOF构成的电催化膜反应系统中活性组分的种类以及与重金属还原行为间的动态关系，</w:t>
      </w:r>
      <w:r>
        <w:rPr>
          <w:rFonts w:eastAsia="KaiTi" w:cs="Times New Roman" w:hint="eastAsia"/>
          <w:b/>
          <w:bCs/>
          <w:color w:val="000000"/>
          <w:sz w:val="24"/>
          <w:szCs w:val="21"/>
          <w:vertAlign w:val="baseline"/>
          <w:lang w:val="en-US" w:eastAsia="zh-CN" w:bidi="ar"/>
        </w:rPr>
        <w:t>揭示MXene/M-Zr-MOF电催化还原重金属机制</w:t>
      </w:r>
      <w:r>
        <w:rPr>
          <w:rFonts w:eastAsia="KaiTi" w:cs="Times New Roman" w:hint="eastAsia"/>
          <w:b w:val="0"/>
          <w:bCs w:val="0"/>
          <w:color w:val="000000"/>
          <w:sz w:val="24"/>
          <w:szCs w:val="21"/>
          <w:vertAlign w:val="baseline"/>
          <w:lang w:val="en-US" w:eastAsia="zh-CN" w:bidi="ar"/>
        </w:rPr>
        <w:t>；研究MXene/M-Zr-MOF的比表面积、活性位点、孔径分布以及渗透性能等性质对吸附-电催化还原重金属性能的影响，</w:t>
      </w:r>
      <w:r>
        <w:rPr>
          <w:rFonts w:eastAsia="KaiTi" w:cs="Times New Roman" w:hint="eastAsia"/>
          <w:b/>
          <w:bCs/>
          <w:color w:val="000000"/>
          <w:sz w:val="24"/>
          <w:szCs w:val="21"/>
          <w:vertAlign w:val="baseline"/>
          <w:lang w:val="en-US" w:eastAsia="zh-CN" w:bidi="ar"/>
        </w:rPr>
        <w:t>解析</w:t>
      </w:r>
      <w:bookmarkStart w:id="107" w:name="OLE_LINK55"/>
      <w:r>
        <w:rPr>
          <w:rFonts w:eastAsia="KaiTi" w:cs="Times New Roman" w:hint="eastAsia"/>
          <w:b/>
          <w:bCs/>
          <w:color w:val="000000"/>
          <w:sz w:val="24"/>
          <w:szCs w:val="21"/>
          <w:vertAlign w:val="baseline"/>
          <w:lang w:val="en-US" w:eastAsia="zh-CN" w:bidi="ar"/>
        </w:rPr>
        <w:t>其</w:t>
      </w:r>
      <w:bookmarkStart w:id="108" w:name="OLE_LINK31"/>
      <w:bookmarkStart w:id="109" w:name="OLE_LINK56"/>
      <w:r>
        <w:rPr>
          <w:rFonts w:eastAsia="KaiTi" w:cs="Times New Roman" w:hint="eastAsia"/>
          <w:b/>
          <w:bCs/>
          <w:color w:val="000000"/>
          <w:sz w:val="24"/>
          <w:szCs w:val="21"/>
          <w:vertAlign w:val="baseline"/>
          <w:lang w:val="en-US" w:eastAsia="zh-CN" w:bidi="ar"/>
        </w:rPr>
        <w:t>微观结构与吸附-电催化还原性能间的构效关系</w:t>
      </w:r>
      <w:bookmarkEnd w:id="108"/>
      <w:r>
        <w:rPr>
          <w:rFonts w:eastAsia="KaiTi" w:cs="Times New Roman" w:hint="eastAsia"/>
          <w:b w:val="0"/>
          <w:bCs w:val="0"/>
          <w:color w:val="000000"/>
          <w:sz w:val="24"/>
          <w:szCs w:val="21"/>
          <w:vertAlign w:val="baseline"/>
          <w:lang w:val="en-US" w:eastAsia="zh-CN" w:bidi="ar"/>
        </w:rPr>
        <w:t>。</w:t>
      </w:r>
    </w:p>
    <w:p w14:paraId="2DD246D7">
      <w:pPr>
        <w:numPr>
          <w:ilvl w:val="0"/>
          <w:numId w:val="2"/>
        </w:numPr>
        <w:spacing w:line="360" w:lineRule="auto"/>
        <w:ind w:firstLine="480" w:firstLineChars="200"/>
        <w:rPr>
          <w:rFonts w:eastAsia="KaiTi" w:cs="Times New Roman" w:hint="default"/>
          <w:b w:val="0"/>
          <w:bCs w:val="0"/>
          <w:color w:val="000000"/>
          <w:sz w:val="24"/>
          <w:szCs w:val="21"/>
          <w:vertAlign w:val="baseline"/>
          <w:lang w:val="en-US" w:eastAsia="zh-CN" w:bidi="ar"/>
        </w:rPr>
      </w:pPr>
      <w:r>
        <w:rPr>
          <w:rFonts w:eastAsia="KaiTi" w:cs="Times New Roman" w:hint="eastAsia"/>
          <w:b/>
          <w:bCs/>
          <w:color w:val="000000"/>
          <w:sz w:val="24"/>
          <w:szCs w:val="21"/>
          <w:vertAlign w:val="baseline"/>
          <w:lang w:val="en-US" w:eastAsia="zh-CN" w:bidi="ar"/>
        </w:rPr>
        <w:t>电化学过程物态转变过程、微界面电子转移规律及热/动力学特性</w:t>
      </w:r>
    </w:p>
    <w:p w14:paraId="6179E374">
      <w:pPr>
        <w:spacing w:line="360" w:lineRule="auto"/>
        <w:ind w:firstLine="480" w:firstLineChars="200"/>
        <w:rPr>
          <w:rFonts w:eastAsia="KaiTi" w:cs="Times New Roman" w:hint="default"/>
          <w:b w:val="0"/>
          <w:bCs w:val="0"/>
          <w:color w:val="000000"/>
          <w:sz w:val="24"/>
          <w:szCs w:val="21"/>
          <w:vertAlign w:val="baseline"/>
          <w:lang w:val="en-US" w:eastAsia="zh-CN" w:bidi="ar"/>
        </w:rPr>
      </w:pPr>
      <w:r>
        <w:rPr>
          <w:rFonts w:eastAsia="KaiTi" w:cs="Times New Roman" w:hint="default"/>
          <w:b w:val="0"/>
          <w:bCs w:val="0"/>
          <w:color w:val="000000"/>
          <w:sz w:val="24"/>
          <w:szCs w:val="21"/>
          <w:vertAlign w:val="baseline"/>
          <w:lang w:val="en-US" w:eastAsia="zh-CN" w:bidi="ar"/>
        </w:rPr>
        <w:t>研究</w:t>
      </w:r>
      <w:r>
        <w:rPr>
          <w:rFonts w:eastAsia="KaiTi" w:cs="Times New Roman" w:hint="eastAsia"/>
          <w:b w:val="0"/>
          <w:bCs w:val="0"/>
          <w:color w:val="000000"/>
          <w:sz w:val="24"/>
          <w:szCs w:val="21"/>
          <w:vertAlign w:val="baseline"/>
          <w:lang w:val="en-US" w:eastAsia="zh-CN" w:bidi="ar"/>
        </w:rPr>
        <w:t>电催化膜反应器中自由基、高价金属等活性物种生成与演化特征，</w:t>
      </w:r>
      <w:r>
        <w:rPr>
          <w:rFonts w:eastAsia="KaiTi" w:cs="Times New Roman" w:hint="eastAsia"/>
          <w:b/>
          <w:bCs/>
          <w:color w:val="000000"/>
          <w:sz w:val="24"/>
          <w:szCs w:val="21"/>
          <w:vertAlign w:val="baseline"/>
          <w:lang w:val="en-US" w:eastAsia="zh-CN" w:bidi="ar"/>
        </w:rPr>
        <w:t>探明双金属及与MXene的相互作用机制，探寻影响微界面电子转移效率的关键因素</w:t>
      </w:r>
      <w:r>
        <w:rPr>
          <w:rFonts w:eastAsia="KaiTi" w:cs="Times New Roman" w:hint="eastAsia"/>
          <w:b w:val="0"/>
          <w:bCs w:val="0"/>
          <w:color w:val="000000"/>
          <w:sz w:val="24"/>
          <w:szCs w:val="21"/>
          <w:vertAlign w:val="baseline"/>
          <w:lang w:val="en-US" w:eastAsia="zh-CN" w:bidi="ar"/>
        </w:rPr>
        <w:t>；密度泛函理论计算重金属离子及重金属有机络合物与</w:t>
      </w:r>
      <w:r>
        <w:rPr>
          <w:rFonts w:eastAsia="KaiTi" w:cs="Times New Roman" w:hint="default"/>
          <w:b w:val="0"/>
          <w:bCs w:val="0"/>
          <w:color w:val="000000"/>
          <w:sz w:val="24"/>
          <w:szCs w:val="21"/>
          <w:vertAlign w:val="baseline"/>
          <w:lang w:val="en-US" w:eastAsia="zh-CN" w:bidi="ar"/>
        </w:rPr>
        <w:t>MXene/M-</w:t>
      </w:r>
      <w:r>
        <w:rPr>
          <w:rFonts w:eastAsia="KaiTi" w:cs="Times New Roman" w:hint="eastAsia"/>
          <w:b w:val="0"/>
          <w:bCs w:val="0"/>
          <w:color w:val="000000"/>
          <w:sz w:val="24"/>
          <w:szCs w:val="21"/>
          <w:vertAlign w:val="baseline"/>
          <w:lang w:val="en-US" w:eastAsia="zh-CN" w:bidi="ar"/>
        </w:rPr>
        <w:t>Zr</w:t>
      </w:r>
      <w:r>
        <w:rPr>
          <w:rFonts w:eastAsia="KaiTi" w:cs="Times New Roman" w:hint="default"/>
          <w:b w:val="0"/>
          <w:bCs w:val="0"/>
          <w:color w:val="000000"/>
          <w:sz w:val="24"/>
          <w:szCs w:val="21"/>
          <w:vertAlign w:val="baseline"/>
          <w:lang w:val="en-US" w:eastAsia="zh-CN" w:bidi="ar"/>
        </w:rPr>
        <w:t>-MOF</w:t>
      </w:r>
      <w:r>
        <w:rPr>
          <w:rFonts w:eastAsia="KaiTi" w:cs="Times New Roman" w:hint="eastAsia"/>
          <w:b w:val="0"/>
          <w:bCs w:val="0"/>
          <w:color w:val="000000"/>
          <w:sz w:val="24"/>
          <w:szCs w:val="21"/>
          <w:vertAlign w:val="baseline"/>
          <w:lang w:val="en-US" w:eastAsia="zh-CN" w:bidi="ar"/>
        </w:rPr>
        <w:t>之间的相互作用，阐明重金属还原过程，</w:t>
      </w:r>
      <w:r>
        <w:rPr>
          <w:rFonts w:eastAsia="KaiTi" w:cs="Times New Roman" w:hint="eastAsia"/>
          <w:b/>
          <w:bCs/>
          <w:color w:val="000000"/>
          <w:sz w:val="24"/>
          <w:szCs w:val="21"/>
          <w:vertAlign w:val="baseline"/>
          <w:lang w:val="en-US" w:eastAsia="zh-CN" w:bidi="ar"/>
        </w:rPr>
        <w:t>明确电催化膜微界面电子转移机理以及电子转移与活性组分</w:t>
      </w:r>
      <w:bookmarkStart w:id="110" w:name="OLE_LINK40"/>
      <w:r>
        <w:rPr>
          <w:rFonts w:eastAsia="KaiTi" w:cs="Times New Roman" w:hint="eastAsia"/>
          <w:b/>
          <w:bCs/>
          <w:color w:val="000000"/>
          <w:sz w:val="24"/>
          <w:szCs w:val="21"/>
          <w:vertAlign w:val="baseline"/>
          <w:lang w:val="en-US" w:eastAsia="zh-CN" w:bidi="ar"/>
        </w:rPr>
        <w:t>氧化-还原价态循环</w:t>
      </w:r>
      <w:bookmarkEnd w:id="110"/>
      <w:r>
        <w:rPr>
          <w:rFonts w:eastAsia="KaiTi" w:cs="Times New Roman" w:hint="eastAsia"/>
          <w:b/>
          <w:bCs/>
          <w:color w:val="000000"/>
          <w:sz w:val="24"/>
          <w:szCs w:val="21"/>
          <w:vertAlign w:val="baseline"/>
          <w:lang w:val="en-US" w:eastAsia="zh-CN" w:bidi="ar"/>
        </w:rPr>
        <w:t>的内在关系</w:t>
      </w:r>
      <w:r>
        <w:rPr>
          <w:rFonts w:eastAsia="KaiTi" w:cs="Times New Roman" w:hint="eastAsia"/>
          <w:b w:val="0"/>
          <w:bCs w:val="0"/>
          <w:color w:val="000000"/>
          <w:sz w:val="24"/>
          <w:szCs w:val="21"/>
          <w:vertAlign w:val="baseline"/>
          <w:lang w:val="en-US" w:eastAsia="zh-CN" w:bidi="ar"/>
        </w:rPr>
        <w:t>；构建MXene/M-Zr-MOF电催化反应热/动力学模型，</w:t>
      </w:r>
      <w:r>
        <w:rPr>
          <w:rFonts w:eastAsia="KaiTi" w:cs="Times New Roman" w:hint="eastAsia"/>
          <w:b/>
          <w:bCs/>
          <w:color w:val="000000"/>
          <w:sz w:val="24"/>
          <w:szCs w:val="21"/>
          <w:vertAlign w:val="baseline"/>
          <w:lang w:val="en-US" w:eastAsia="zh-CN" w:bidi="ar"/>
        </w:rPr>
        <w:t>阐明活性物种在电催化膜表面物质与能量转化的热/动力学特性及其与重金属还原动力学之间的关系</w:t>
      </w:r>
      <w:r>
        <w:rPr>
          <w:rFonts w:eastAsia="KaiTi" w:cs="Times New Roman" w:hint="eastAsia"/>
          <w:b w:val="0"/>
          <w:bCs w:val="0"/>
          <w:color w:val="000000"/>
          <w:sz w:val="24"/>
          <w:szCs w:val="21"/>
          <w:vertAlign w:val="baseline"/>
          <w:lang w:val="en-US" w:eastAsia="zh-CN" w:bidi="ar"/>
        </w:rPr>
        <w:t>。</w:t>
      </w:r>
    </w:p>
    <w:bookmarkEnd w:id="107"/>
    <w:bookmarkEnd w:id="109"/>
    <w:p w14:paraId="541888C4">
      <w:pPr>
        <w:numPr>
          <w:ilvl w:val="0"/>
          <w:numId w:val="0"/>
        </w:numPr>
        <w:spacing w:line="360" w:lineRule="auto"/>
        <w:ind w:left="560" w:leftChars="200"/>
        <w:rPr>
          <w:rFonts w:eastAsia="KaiTi" w:cs="Times New Roman" w:hint="default"/>
          <w:b w:val="0"/>
          <w:bCs w:val="0"/>
          <w:color w:val="000000"/>
          <w:sz w:val="24"/>
          <w:szCs w:val="21"/>
          <w:vertAlign w:val="baseline"/>
          <w:lang w:val="en-US" w:eastAsia="zh-CN" w:bidi="ar"/>
        </w:rPr>
      </w:pPr>
      <w:bookmarkStart w:id="111" w:name="OLE_LINK42"/>
      <w:r>
        <w:rPr>
          <w:rFonts w:eastAsia="KaiTi" w:cs="Times New Roman" w:hint="eastAsia"/>
          <w:b/>
          <w:bCs/>
          <w:color w:val="000000"/>
          <w:sz w:val="24"/>
          <w:szCs w:val="21"/>
          <w:vertAlign w:val="baseline"/>
          <w:lang w:val="en-US" w:eastAsia="zh-CN" w:bidi="ar"/>
        </w:rPr>
        <w:t>（4）</w:t>
      </w:r>
      <w:bookmarkStart w:id="112" w:name="OLE_LINK48"/>
      <w:r>
        <w:rPr>
          <w:rFonts w:eastAsia="KaiTi" w:cs="Times New Roman" w:hint="eastAsia"/>
          <w:b/>
          <w:bCs/>
          <w:color w:val="000000"/>
          <w:sz w:val="24"/>
          <w:szCs w:val="21"/>
          <w:vertAlign w:val="baseline"/>
          <w:lang w:val="en-US" w:eastAsia="zh-CN" w:bidi="ar"/>
        </w:rPr>
        <w:t>吸附-电催化膜过滤系统回收重金属效能、影响因素及相互作用机制</w:t>
      </w:r>
    </w:p>
    <w:bookmarkEnd w:id="111"/>
    <w:bookmarkEnd w:id="112"/>
    <w:p w14:paraId="6D3C1460">
      <w:pPr>
        <w:spacing w:line="360" w:lineRule="auto"/>
        <w:ind w:firstLine="480" w:firstLineChars="200"/>
        <w:rPr>
          <w:rFonts w:ascii="KaiTi" w:eastAsia="KaiTi" w:hAnsi="KaiTi" w:cs="KaiTi"/>
        </w:rPr>
      </w:pPr>
      <w:bookmarkStart w:id="113" w:name="OLE_LINK29"/>
      <w:r>
        <w:rPr>
          <w:rFonts w:eastAsia="KaiTi" w:cs="Times New Roman" w:hint="eastAsia"/>
          <w:b w:val="0"/>
          <w:bCs w:val="0"/>
          <w:color w:val="000000"/>
          <w:sz w:val="24"/>
          <w:szCs w:val="21"/>
          <w:vertAlign w:val="baseline"/>
          <w:lang w:val="en-US" w:eastAsia="zh-CN" w:bidi="ar"/>
        </w:rPr>
        <w:t>研究不同工艺条件下MXene/M-Zr-MOF</w:t>
      </w:r>
      <w:bookmarkEnd w:id="113"/>
      <w:r>
        <w:rPr>
          <w:rFonts w:eastAsia="KaiTi" w:cs="Times New Roman" w:hint="eastAsia"/>
          <w:b w:val="0"/>
          <w:bCs w:val="0"/>
          <w:color w:val="000000"/>
          <w:sz w:val="24"/>
          <w:szCs w:val="21"/>
          <w:vertAlign w:val="baseline"/>
          <w:lang w:val="en-US" w:eastAsia="zh-CN" w:bidi="ar"/>
        </w:rPr>
        <w:t>电催化膜过滤系统的选择性吸附-电催化还原重金属能力，</w:t>
      </w:r>
      <w:r>
        <w:rPr>
          <w:rFonts w:eastAsia="KaiTi" w:cs="Times New Roman" w:hint="eastAsia"/>
          <w:b/>
          <w:bCs/>
          <w:color w:val="000000"/>
          <w:sz w:val="24"/>
          <w:szCs w:val="21"/>
          <w:vertAlign w:val="baseline"/>
          <w:lang w:val="en-US" w:eastAsia="zh-CN" w:bidi="ar"/>
        </w:rPr>
        <w:t>明确其复杂环境下选择性回收重金属效能</w:t>
      </w:r>
      <w:r>
        <w:rPr>
          <w:rFonts w:eastAsia="KaiTi" w:cs="Times New Roman" w:hint="eastAsia"/>
          <w:b w:val="0"/>
          <w:bCs w:val="0"/>
          <w:color w:val="000000"/>
          <w:sz w:val="24"/>
          <w:szCs w:val="21"/>
          <w:vertAlign w:val="baseline"/>
          <w:lang w:val="en-US" w:eastAsia="zh-CN" w:bidi="ar"/>
        </w:rPr>
        <w:t>；研究pH及常见阴离子、阳离子、有机物等的影响；分析复杂环境体系及不同膜工艺条件下催化膜通量的变化规律，</w:t>
      </w:r>
      <w:r>
        <w:rPr>
          <w:rFonts w:eastAsia="KaiTi" w:cs="Times New Roman" w:hint="eastAsia"/>
          <w:b/>
          <w:bCs/>
          <w:color w:val="000000"/>
          <w:sz w:val="24"/>
          <w:szCs w:val="21"/>
          <w:vertAlign w:val="baseline"/>
          <w:lang w:val="en-US" w:eastAsia="zh-CN" w:bidi="ar"/>
        </w:rPr>
        <w:t>解析其抗污染特性与再生策略</w:t>
      </w:r>
      <w:r>
        <w:rPr>
          <w:rFonts w:eastAsia="KaiTi" w:cs="Times New Roman" w:hint="eastAsia"/>
          <w:b w:val="0"/>
          <w:bCs w:val="0"/>
          <w:color w:val="000000"/>
          <w:sz w:val="24"/>
          <w:szCs w:val="21"/>
          <w:vertAlign w:val="baseline"/>
          <w:lang w:val="en-US" w:eastAsia="zh-CN" w:bidi="ar"/>
        </w:rPr>
        <w:t>；</w:t>
      </w:r>
      <w:bookmarkStart w:id="114" w:name="OLE_LINK39"/>
      <w:r>
        <w:rPr>
          <w:rFonts w:eastAsia="KaiTi" w:cs="Times New Roman" w:hint="eastAsia"/>
          <w:b w:val="0"/>
          <w:bCs w:val="0"/>
          <w:color w:val="000000"/>
          <w:sz w:val="24"/>
          <w:szCs w:val="21"/>
          <w:vertAlign w:val="baseline"/>
          <w:lang w:val="en-US" w:eastAsia="zh-CN" w:bidi="ar"/>
        </w:rPr>
        <w:t>研究电催化膜活性组分溶出机制以及重金属吸附和催化还原间的关系，</w:t>
      </w:r>
      <w:bookmarkEnd w:id="114"/>
      <w:r>
        <w:rPr>
          <w:rFonts w:eastAsia="KaiTi" w:cs="Times New Roman" w:hint="eastAsia"/>
          <w:b/>
          <w:bCs/>
          <w:color w:val="000000"/>
          <w:sz w:val="24"/>
          <w:szCs w:val="21"/>
          <w:vertAlign w:val="baseline"/>
          <w:lang w:val="en-US" w:eastAsia="zh-CN" w:bidi="ar"/>
        </w:rPr>
        <w:t>判别电催化膜的吸附和催化点位及活性作用</w:t>
      </w:r>
      <w:r>
        <w:rPr>
          <w:rFonts w:eastAsia="KaiTi" w:cs="Times New Roman" w:hint="eastAsia"/>
          <w:b w:val="0"/>
          <w:bCs w:val="0"/>
          <w:color w:val="000000"/>
          <w:sz w:val="24"/>
          <w:szCs w:val="21"/>
          <w:vertAlign w:val="baseline"/>
          <w:lang w:val="en-US" w:eastAsia="zh-CN" w:bidi="ar"/>
        </w:rPr>
        <w:t>；考察持续运行过程中重金属回收效能及电催化膜的结构特性和组分变化，</w:t>
      </w:r>
      <w:r>
        <w:rPr>
          <w:rFonts w:eastAsia="KaiTi" w:cs="Times New Roman" w:hint="eastAsia"/>
          <w:b/>
          <w:bCs/>
          <w:color w:val="000000"/>
          <w:sz w:val="24"/>
          <w:szCs w:val="21"/>
          <w:vertAlign w:val="baseline"/>
          <w:lang w:val="en-US" w:eastAsia="zh-CN" w:bidi="ar"/>
        </w:rPr>
        <w:t>明确其稳定性</w:t>
      </w:r>
      <w:r>
        <w:rPr>
          <w:rFonts w:eastAsia="KaiTi" w:cs="Times New Roman" w:hint="eastAsia"/>
          <w:b w:val="0"/>
          <w:bCs w:val="0"/>
          <w:color w:val="000000"/>
          <w:sz w:val="24"/>
          <w:szCs w:val="21"/>
          <w:vertAlign w:val="baseline"/>
          <w:lang w:val="en-US" w:eastAsia="zh-CN" w:bidi="ar"/>
        </w:rPr>
        <w:t>。</w:t>
      </w:r>
    </w:p>
    <w:p w14:paraId="5AFCEF5A">
      <w:pPr>
        <w:numPr>
          <w:ilvl w:val="255"/>
          <w:numId w:val="0"/>
        </w:numPr>
        <w:wordWrap w:val="0"/>
        <w:spacing w:line="440" w:lineRule="exact"/>
        <w:ind w:firstLine="560" w:firstLineChars="200"/>
        <w:rPr>
          <w:rFonts w:ascii="KaiTi" w:eastAsia="KaiTi" w:hAnsi="KaiTi" w:cs="KaiTi" w:hint="eastAsia"/>
        </w:rPr>
      </w:pPr>
      <w:r>
        <w:rPr>
          <w:rFonts w:ascii="KaiTi" w:eastAsia="KaiTi" w:hAnsi="KaiTi" w:cs="KaiTi" w:hint="eastAsia"/>
        </w:rPr>
        <w:t>2.研究目标（定量指标和定性指标相结合）</w:t>
      </w:r>
    </w:p>
    <w:p w14:paraId="080E17A7">
      <w:pPr>
        <w:keepNext w:val="0"/>
        <w:keepLines w:val="0"/>
        <w:pageBreakBefore w:val="0"/>
        <w:widowControl w:val="0"/>
        <w:kinsoku/>
        <w:wordWrap/>
        <w:overflowPunct/>
        <w:topLinePunct w:val="0"/>
        <w:autoSpaceDE/>
        <w:autoSpaceDN/>
        <w:bidi w:val="0"/>
        <w:adjustRightInd/>
        <w:snapToGrid/>
        <w:spacing w:before="240" w:beforeLines="100" w:line="360" w:lineRule="auto"/>
        <w:ind w:firstLine="480" w:firstLineChars="200"/>
        <w:textAlignment w:val="auto"/>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项目拟完成以下三个研究目标：</w:t>
      </w:r>
    </w:p>
    <w:p w14:paraId="5131B1D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开发可选择性吸附重金属并将其电催化还原为金属单质的电催化膜，</w:t>
      </w:r>
      <w:bookmarkStart w:id="115" w:name="OLE_LINK45"/>
      <w:r>
        <w:rPr>
          <w:rFonts w:eastAsia="KaiTi" w:cs="Times New Roman" w:hint="eastAsia"/>
          <w:b w:val="0"/>
          <w:bCs w:val="0"/>
          <w:color w:val="000000"/>
          <w:sz w:val="24"/>
          <w:szCs w:val="21"/>
          <w:vertAlign w:val="baseline"/>
          <w:lang w:val="en-US" w:eastAsia="zh-CN" w:bidi="ar"/>
        </w:rPr>
        <w:t>构建</w:t>
      </w:r>
      <w:bookmarkStart w:id="116" w:name="OLE_LINK37"/>
      <w:bookmarkStart w:id="117" w:name="OLE_LINK115"/>
      <w:r>
        <w:rPr>
          <w:rFonts w:eastAsia="KaiTi" w:cs="Times New Roman" w:hint="eastAsia"/>
          <w:b w:val="0"/>
          <w:bCs w:val="0"/>
          <w:color w:val="000000"/>
          <w:sz w:val="24"/>
          <w:szCs w:val="21"/>
          <w:vertAlign w:val="baseline"/>
          <w:lang w:val="en-US" w:eastAsia="zh-CN" w:bidi="ar"/>
        </w:rPr>
        <w:t>高效去除废水中重金属离子及重金属有机络合物的</w:t>
      </w:r>
      <w:bookmarkEnd w:id="116"/>
      <w:r>
        <w:rPr>
          <w:rFonts w:eastAsia="KaiTi" w:hint="eastAsia"/>
          <w:b w:val="0"/>
          <w:bCs w:val="0"/>
          <w:color w:val="000000"/>
          <w:sz w:val="24"/>
          <w:szCs w:val="21"/>
          <w:lang w:val="en-US" w:eastAsia="zh-CN" w:bidi="ar"/>
        </w:rPr>
        <w:t>选择性</w:t>
      </w:r>
      <w:r>
        <w:rPr>
          <w:rFonts w:ascii="Times New Roman" w:eastAsia="KaiTi" w:hAnsi="Times New Roman" w:hint="eastAsia"/>
          <w:b w:val="0"/>
          <w:bCs w:val="0"/>
          <w:color w:val="000000"/>
          <w:sz w:val="24"/>
          <w:szCs w:val="21"/>
          <w:lang w:val="en-US" w:eastAsia="zh-CN" w:bidi="ar"/>
        </w:rPr>
        <w:t>吸附-</w:t>
      </w:r>
      <w:r>
        <w:rPr>
          <w:rFonts w:eastAsia="KaiTi" w:hint="eastAsia"/>
          <w:b w:val="0"/>
          <w:bCs w:val="0"/>
          <w:color w:val="000000"/>
          <w:sz w:val="24"/>
          <w:szCs w:val="21"/>
          <w:lang w:val="en-US" w:eastAsia="zh-CN" w:bidi="ar"/>
        </w:rPr>
        <w:t>电</w:t>
      </w:r>
      <w:r>
        <w:rPr>
          <w:rFonts w:ascii="Times New Roman" w:eastAsia="KaiTi" w:hAnsi="Times New Roman" w:hint="eastAsia"/>
          <w:b w:val="0"/>
          <w:bCs w:val="0"/>
          <w:color w:val="000000"/>
          <w:sz w:val="24"/>
          <w:szCs w:val="21"/>
          <w:lang w:val="en-US" w:eastAsia="zh-CN" w:bidi="ar"/>
        </w:rPr>
        <w:t>催化</w:t>
      </w:r>
      <w:bookmarkEnd w:id="117"/>
      <w:r>
        <w:rPr>
          <w:rFonts w:eastAsia="KaiTi" w:hint="eastAsia"/>
          <w:b w:val="0"/>
          <w:bCs w:val="0"/>
          <w:color w:val="000000"/>
          <w:sz w:val="24"/>
          <w:szCs w:val="21"/>
          <w:lang w:val="en-US" w:eastAsia="zh-CN" w:bidi="ar"/>
        </w:rPr>
        <w:t>膜过滤系统</w:t>
      </w:r>
      <w:r>
        <w:rPr>
          <w:rFonts w:eastAsia="KaiTi" w:cs="Times New Roman" w:hint="eastAsia"/>
          <w:b w:val="0"/>
          <w:bCs w:val="0"/>
          <w:color w:val="000000"/>
          <w:sz w:val="24"/>
          <w:szCs w:val="21"/>
          <w:vertAlign w:val="baseline"/>
          <w:lang w:val="en-US" w:eastAsia="zh-CN" w:bidi="ar"/>
        </w:rPr>
        <w:t>。</w:t>
      </w:r>
    </w:p>
    <w:bookmarkEnd w:id="115"/>
    <w:p w14:paraId="6ECFE14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解析</w:t>
      </w:r>
      <w:bookmarkStart w:id="118" w:name="OLE_LINK32"/>
      <w:r>
        <w:rPr>
          <w:rFonts w:eastAsia="KaiTi" w:cs="Times New Roman" w:hint="eastAsia"/>
          <w:b w:val="0"/>
          <w:bCs w:val="0"/>
          <w:color w:val="000000"/>
          <w:sz w:val="24"/>
          <w:szCs w:val="21"/>
          <w:vertAlign w:val="baseline"/>
          <w:lang w:val="en-US" w:eastAsia="zh-CN" w:bidi="ar"/>
        </w:rPr>
        <w:t>MXene/M-Zr-MOF</w:t>
      </w:r>
      <w:bookmarkEnd w:id="118"/>
      <w:r>
        <w:rPr>
          <w:rFonts w:eastAsia="KaiTi" w:cs="Times New Roman" w:hint="eastAsia"/>
          <w:b w:val="0"/>
          <w:bCs w:val="0"/>
          <w:color w:val="000000"/>
          <w:sz w:val="24"/>
          <w:szCs w:val="21"/>
          <w:vertAlign w:val="baseline"/>
          <w:lang w:val="en-US" w:eastAsia="zh-CN" w:bidi="ar"/>
        </w:rPr>
        <w:t>的吸附位点、催化微界面、物质传递效率以及微观结构与吸附-催化性能间的构效关系，明确微观结构的调控策略，阐明MXene/M-Zr-MOF电催化膜的构建原理。</w:t>
      </w:r>
    </w:p>
    <w:p w14:paraId="1DC3087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揭示</w:t>
      </w:r>
      <w:bookmarkStart w:id="119" w:name="OLE_LINK34"/>
      <w:r>
        <w:rPr>
          <w:rFonts w:eastAsia="KaiTi" w:cs="Times New Roman" w:hint="eastAsia"/>
          <w:b w:val="0"/>
          <w:bCs w:val="0"/>
          <w:color w:val="000000"/>
          <w:sz w:val="24"/>
          <w:szCs w:val="21"/>
          <w:vertAlign w:val="baseline"/>
          <w:lang w:val="en-US" w:eastAsia="zh-CN" w:bidi="ar"/>
        </w:rPr>
        <w:t>MXene/M-Zr-MOF</w:t>
      </w:r>
      <w:bookmarkEnd w:id="119"/>
      <w:bookmarkStart w:id="120" w:name="OLE_LINK73"/>
      <w:r>
        <w:rPr>
          <w:rFonts w:eastAsia="KaiTi" w:cs="Times New Roman" w:hint="eastAsia"/>
          <w:b w:val="0"/>
          <w:bCs w:val="0"/>
          <w:color w:val="000000"/>
          <w:sz w:val="24"/>
          <w:szCs w:val="21"/>
          <w:vertAlign w:val="baseline"/>
          <w:lang w:val="en-US" w:eastAsia="zh-CN" w:bidi="ar"/>
        </w:rPr>
        <w:t>电催化膜过滤系统选择性吸附机理和电催化还原</w:t>
      </w:r>
      <w:bookmarkEnd w:id="120"/>
      <w:r>
        <w:rPr>
          <w:rFonts w:eastAsia="KaiTi" w:cs="Times New Roman" w:hint="eastAsia"/>
          <w:b w:val="0"/>
          <w:bCs w:val="0"/>
          <w:color w:val="000000"/>
          <w:sz w:val="24"/>
          <w:szCs w:val="21"/>
          <w:vertAlign w:val="baseline"/>
          <w:lang w:val="en-US" w:eastAsia="zh-CN" w:bidi="ar"/>
        </w:rPr>
        <w:t>机制，明确其资源化回收重金属的效能与原理，探明持续运行过程活性物种、金属价态循环过程及其</w:t>
      </w:r>
      <w:bookmarkStart w:id="121" w:name="OLE_LINK67"/>
      <w:r>
        <w:rPr>
          <w:rFonts w:eastAsia="KaiTi" w:cs="Times New Roman" w:hint="eastAsia"/>
          <w:b w:val="0"/>
          <w:bCs w:val="0"/>
          <w:color w:val="000000"/>
          <w:sz w:val="24"/>
          <w:szCs w:val="21"/>
          <w:vertAlign w:val="baseline"/>
          <w:lang w:val="en-US" w:eastAsia="zh-CN" w:bidi="ar"/>
        </w:rPr>
        <w:t>电子转移-催化活性之间的内在关系。</w:t>
      </w:r>
      <w:bookmarkEnd w:id="121"/>
    </w:p>
    <w:p w14:paraId="4438B11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ascii="KaiTi" w:eastAsia="KaiTi" w:hAnsi="KaiTi" w:cs="KaiTi"/>
        </w:rPr>
      </w:pPr>
      <w:r>
        <w:rPr>
          <w:rFonts w:eastAsia="KaiTi" w:cs="Times New Roman" w:hint="default"/>
          <w:b w:val="0"/>
          <w:bCs w:val="0"/>
          <w:color w:val="000000"/>
          <w:sz w:val="24"/>
          <w:szCs w:val="21"/>
          <w:vertAlign w:val="baseline"/>
          <w:lang w:val="en-US" w:eastAsia="zh-CN" w:bidi="ar"/>
        </w:rPr>
        <w:t>发表</w:t>
      </w:r>
      <w:r>
        <w:rPr>
          <w:rFonts w:eastAsia="KaiTi" w:cs="Times New Roman" w:hint="eastAsia"/>
          <w:b w:val="0"/>
          <w:bCs w:val="0"/>
          <w:color w:val="000000"/>
          <w:sz w:val="24"/>
          <w:szCs w:val="21"/>
          <w:vertAlign w:val="baseline"/>
          <w:lang w:val="en-US" w:eastAsia="zh-CN" w:bidi="ar"/>
        </w:rPr>
        <w:t>3</w:t>
      </w:r>
      <w:r>
        <w:rPr>
          <w:rFonts w:eastAsia="KaiTi" w:cs="Times New Roman" w:hint="default"/>
          <w:b w:val="0"/>
          <w:bCs w:val="0"/>
          <w:color w:val="000000"/>
          <w:sz w:val="24"/>
          <w:szCs w:val="21"/>
          <w:vertAlign w:val="baseline"/>
          <w:lang w:val="en-US" w:eastAsia="zh-CN" w:bidi="ar"/>
        </w:rPr>
        <w:t>篇高水平研究性论文，申请2项发明专利</w:t>
      </w:r>
      <w:r>
        <w:rPr>
          <w:rFonts w:eastAsia="KaiTi" w:cs="Times New Roman" w:hint="eastAsia"/>
          <w:b w:val="0"/>
          <w:bCs w:val="0"/>
          <w:color w:val="000000"/>
          <w:sz w:val="24"/>
          <w:szCs w:val="21"/>
          <w:vertAlign w:val="baseline"/>
          <w:lang w:val="en-US" w:eastAsia="zh-CN" w:bidi="ar"/>
        </w:rPr>
        <w:t>。</w:t>
      </w:r>
    </w:p>
    <w:p w14:paraId="283D3EEE">
      <w:pPr>
        <w:numPr>
          <w:ilvl w:val="255"/>
          <w:numId w:val="0"/>
        </w:numPr>
        <w:wordWrap w:val="0"/>
        <w:spacing w:line="440" w:lineRule="exact"/>
        <w:ind w:firstLine="560" w:firstLineChars="200"/>
        <w:rPr>
          <w:rFonts w:ascii="KaiTi" w:eastAsia="KaiTi" w:hAnsi="KaiTi" w:cs="KaiTi"/>
        </w:rPr>
      </w:pPr>
      <w:r>
        <w:rPr>
          <w:rFonts w:ascii="KaiTi" w:eastAsia="KaiTi" w:hAnsi="KaiTi" w:cs="KaiTi" w:hint="eastAsia"/>
        </w:rPr>
        <w:t>3.拟解决的科学问题</w:t>
      </w:r>
    </w:p>
    <w:p w14:paraId="70EE3B59">
      <w:pPr>
        <w:keepNext w:val="0"/>
        <w:keepLines w:val="0"/>
        <w:pageBreakBefore w:val="0"/>
        <w:widowControl w:val="0"/>
        <w:kinsoku/>
        <w:wordWrap/>
        <w:overflowPunct/>
        <w:topLinePunct w:val="0"/>
        <w:autoSpaceDE/>
        <w:autoSpaceDN/>
        <w:bidi w:val="0"/>
        <w:adjustRightInd/>
        <w:snapToGrid/>
        <w:spacing w:before="240" w:beforeLines="100" w:line="360" w:lineRule="auto"/>
        <w:ind w:firstLine="480" w:firstLineChars="200"/>
        <w:textAlignment w:val="auto"/>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项目拟解决以下三个关键科学问题：</w:t>
      </w:r>
    </w:p>
    <w:p w14:paraId="49FF8E2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设计合成</w:t>
      </w:r>
      <w:bookmarkStart w:id="122" w:name="OLE_LINK72"/>
      <w:r>
        <w:rPr>
          <w:rFonts w:eastAsia="KaiTi" w:cs="Times New Roman" w:hint="eastAsia"/>
          <w:b w:val="0"/>
          <w:bCs w:val="0"/>
          <w:color w:val="000000"/>
          <w:sz w:val="24"/>
          <w:szCs w:val="21"/>
          <w:vertAlign w:val="baseline"/>
          <w:lang w:val="en-US" w:eastAsia="zh-CN" w:bidi="ar"/>
        </w:rPr>
        <w:t>可选择性吸附-电催化还原重金属</w:t>
      </w:r>
      <w:bookmarkEnd w:id="122"/>
      <w:r>
        <w:rPr>
          <w:rFonts w:eastAsia="KaiTi" w:cs="Times New Roman" w:hint="eastAsia"/>
          <w:b w:val="0"/>
          <w:bCs w:val="0"/>
          <w:color w:val="000000"/>
          <w:sz w:val="24"/>
          <w:szCs w:val="21"/>
          <w:vertAlign w:val="baseline"/>
          <w:lang w:val="en-US" w:eastAsia="zh-CN" w:bidi="ar"/>
        </w:rPr>
        <w:t>、具有二维纳米流体通道的MXene/M-Zr-MOF电催化膜，揭示MXene/M-Zr-MOF对重金属离子和重金属有机络合物的</w:t>
      </w:r>
      <w:bookmarkStart w:id="123" w:name="OLE_LINK74"/>
      <w:bookmarkStart w:id="124" w:name="OLE_LINK75"/>
      <w:r>
        <w:rPr>
          <w:rFonts w:eastAsia="KaiTi" w:cs="Times New Roman" w:hint="eastAsia"/>
          <w:b w:val="0"/>
          <w:bCs w:val="0"/>
          <w:color w:val="000000"/>
          <w:sz w:val="24"/>
          <w:szCs w:val="21"/>
          <w:vertAlign w:val="baseline"/>
          <w:lang w:val="en-US" w:eastAsia="zh-CN" w:bidi="ar"/>
        </w:rPr>
        <w:t>选择性吸附-电</w:t>
      </w:r>
      <w:bookmarkEnd w:id="123"/>
      <w:r>
        <w:rPr>
          <w:rFonts w:eastAsia="KaiTi" w:cs="Times New Roman" w:hint="eastAsia"/>
          <w:b w:val="0"/>
          <w:bCs w:val="0"/>
          <w:color w:val="000000"/>
          <w:sz w:val="24"/>
          <w:szCs w:val="21"/>
          <w:vertAlign w:val="baseline"/>
          <w:lang w:val="en-US" w:eastAsia="zh-CN" w:bidi="ar"/>
        </w:rPr>
        <w:t>催化还原</w:t>
      </w:r>
      <w:bookmarkEnd w:id="124"/>
      <w:r>
        <w:rPr>
          <w:rFonts w:eastAsia="KaiTi" w:cs="Times New Roman" w:hint="eastAsia"/>
          <w:b w:val="0"/>
          <w:bCs w:val="0"/>
          <w:color w:val="000000"/>
          <w:sz w:val="24"/>
          <w:szCs w:val="21"/>
          <w:vertAlign w:val="baseline"/>
          <w:lang w:val="en-US" w:eastAsia="zh-CN" w:bidi="ar"/>
        </w:rPr>
        <w:t>机制，实现对复杂环境中重金属的高效去除和资源化回收，解决目前电还原沉积技术选择性欠佳和传质效率、还原效率较低的问题。</w:t>
      </w:r>
    </w:p>
    <w:p w14:paraId="0515034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阐明</w:t>
      </w:r>
      <w:bookmarkStart w:id="125" w:name="OLE_LINK76"/>
      <w:r>
        <w:rPr>
          <w:rFonts w:eastAsia="KaiTi" w:cs="Times New Roman" w:hint="eastAsia"/>
          <w:b w:val="0"/>
          <w:bCs w:val="0"/>
          <w:color w:val="000000"/>
          <w:sz w:val="24"/>
          <w:szCs w:val="21"/>
          <w:vertAlign w:val="baseline"/>
          <w:lang w:val="en-US" w:eastAsia="zh-CN" w:bidi="ar"/>
        </w:rPr>
        <w:t>电催化膜的合成原理</w:t>
      </w:r>
      <w:bookmarkEnd w:id="125"/>
      <w:r>
        <w:rPr>
          <w:rFonts w:eastAsia="KaiTi" w:cs="Times New Roman" w:hint="eastAsia"/>
          <w:b w:val="0"/>
          <w:bCs w:val="0"/>
          <w:color w:val="000000"/>
          <w:sz w:val="24"/>
          <w:szCs w:val="21"/>
          <w:vertAlign w:val="baseline"/>
          <w:lang w:val="en-US" w:eastAsia="zh-CN" w:bidi="ar"/>
        </w:rPr>
        <w:t>以及吸附位点、催化界面和微观结构的调控策略，揭示催化膜的组成结构与吸附-催化性能之间的构效关系，提升膜</w:t>
      </w:r>
      <w:r>
        <w:rPr>
          <w:rFonts w:eastAsia="KaiTi" w:cs="Times New Roman" w:hint="eastAsia"/>
          <w:b w:val="0"/>
          <w:bCs w:val="0"/>
          <w:color w:val="000000"/>
          <w:sz w:val="24"/>
          <w:szCs w:val="21"/>
          <w:highlight w:val="none"/>
          <w:vertAlign w:val="baseline"/>
          <w:lang w:val="en-US" w:eastAsia="zh-CN" w:bidi="ar"/>
        </w:rPr>
        <w:t>材料电催化活性和稳定性</w:t>
      </w:r>
      <w:r>
        <w:rPr>
          <w:rFonts w:eastAsia="KaiTi" w:cs="Times New Roman" w:hint="eastAsia"/>
          <w:b w:val="0"/>
          <w:bCs w:val="0"/>
          <w:color w:val="000000"/>
          <w:sz w:val="24"/>
          <w:szCs w:val="21"/>
          <w:vertAlign w:val="baseline"/>
          <w:lang w:val="en-US" w:eastAsia="zh-CN" w:bidi="ar"/>
        </w:rPr>
        <w:t>。</w:t>
      </w:r>
    </w:p>
    <w:p w14:paraId="792AF90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ascii="KaiTi" w:eastAsia="KaiTi" w:hAnsi="KaiTi" w:cs="KaiTi"/>
        </w:rPr>
      </w:pPr>
      <w:r>
        <w:rPr>
          <w:rFonts w:eastAsia="KaiTi" w:cs="Times New Roman" w:hint="eastAsia"/>
          <w:b w:val="0"/>
          <w:bCs w:val="0"/>
          <w:color w:val="000000"/>
          <w:sz w:val="24"/>
          <w:szCs w:val="21"/>
          <w:vertAlign w:val="baseline"/>
          <w:lang w:val="en-US" w:eastAsia="zh-CN" w:bidi="ar"/>
        </w:rPr>
        <w:t>探索</w:t>
      </w:r>
      <w:bookmarkStart w:id="126" w:name="OLE_LINK57"/>
      <w:r>
        <w:rPr>
          <w:rFonts w:eastAsia="KaiTi" w:cs="Times New Roman" w:hint="eastAsia"/>
          <w:b w:val="0"/>
          <w:bCs w:val="0"/>
          <w:color w:val="000000"/>
          <w:sz w:val="24"/>
          <w:szCs w:val="21"/>
          <w:vertAlign w:val="baseline"/>
          <w:lang w:val="en-US" w:eastAsia="zh-CN" w:bidi="ar"/>
        </w:rPr>
        <w:t>MXene/M-Zr-MOF电</w:t>
      </w:r>
      <w:bookmarkEnd w:id="126"/>
      <w:r>
        <w:rPr>
          <w:rFonts w:eastAsia="KaiTi" w:cs="Times New Roman" w:hint="eastAsia"/>
          <w:b w:val="0"/>
          <w:bCs w:val="0"/>
          <w:color w:val="000000"/>
          <w:sz w:val="24"/>
          <w:szCs w:val="21"/>
          <w:vertAlign w:val="baseline"/>
          <w:lang w:val="en-US" w:eastAsia="zh-CN" w:bidi="ar"/>
        </w:rPr>
        <w:t>催化膜过滤系统中活性物种的生成转变与电子转移过程，阐明双金属和MXene协同加速界面电子转移机制，揭示MXene/M-Zr-MOF电催化机理以及</w:t>
      </w:r>
      <w:bookmarkStart w:id="127" w:name="OLE_LINK66"/>
      <w:r>
        <w:rPr>
          <w:rFonts w:eastAsia="KaiTi" w:cs="Times New Roman" w:hint="eastAsia"/>
          <w:b w:val="0"/>
          <w:bCs w:val="0"/>
          <w:color w:val="000000"/>
          <w:sz w:val="24"/>
          <w:szCs w:val="21"/>
          <w:vertAlign w:val="baseline"/>
          <w:lang w:val="en-US" w:eastAsia="zh-CN" w:bidi="ar"/>
        </w:rPr>
        <w:t>选择性吸附和电催化还原的协同作用机制</w:t>
      </w:r>
      <w:bookmarkEnd w:id="127"/>
      <w:r>
        <w:rPr>
          <w:rFonts w:eastAsia="KaiTi" w:cs="Times New Roman" w:hint="eastAsia"/>
          <w:b w:val="0"/>
          <w:bCs w:val="0"/>
          <w:color w:val="000000"/>
          <w:sz w:val="24"/>
          <w:szCs w:val="21"/>
          <w:highlight w:val="none"/>
          <w:vertAlign w:val="baseline"/>
          <w:lang w:val="en-US" w:eastAsia="zh-CN" w:bidi="ar"/>
        </w:rPr>
        <w:t>。</w:t>
      </w:r>
    </w:p>
    <w:p w14:paraId="15FA2F5A">
      <w:pPr>
        <w:numPr>
          <w:ilvl w:val="255"/>
          <w:numId w:val="0"/>
        </w:numPr>
        <w:wordWrap w:val="0"/>
        <w:spacing w:line="440" w:lineRule="exact"/>
        <w:ind w:firstLine="560" w:firstLineChars="200"/>
        <w:rPr>
          <w:rFonts w:ascii="KaiTi" w:eastAsia="KaiTi" w:hAnsi="KaiTi" w:cs="KaiTi" w:hint="eastAsia"/>
        </w:rPr>
      </w:pPr>
      <w:r>
        <w:rPr>
          <w:rFonts w:ascii="KaiTi" w:eastAsia="KaiTi" w:hAnsi="KaiTi" w:cs="KaiTi" w:hint="eastAsia"/>
        </w:rPr>
        <w:t>4.项目的特色与创新之处</w:t>
      </w:r>
    </w:p>
    <w:p w14:paraId="04A011EC">
      <w:pPr>
        <w:keepNext w:val="0"/>
        <w:keepLines w:val="0"/>
        <w:pageBreakBefore w:val="0"/>
        <w:widowControl w:val="0"/>
        <w:numPr>
          <w:ilvl w:val="0"/>
          <w:numId w:val="5"/>
        </w:numPr>
        <w:kinsoku/>
        <w:wordWrap/>
        <w:overflowPunct/>
        <w:topLinePunct w:val="0"/>
        <w:autoSpaceDE/>
        <w:autoSpaceDN/>
        <w:bidi w:val="0"/>
        <w:adjustRightInd/>
        <w:snapToGrid/>
        <w:spacing w:before="240" w:beforeLines="100" w:line="360" w:lineRule="auto"/>
        <w:ind w:firstLine="480" w:firstLineChars="200"/>
        <w:textAlignment w:val="auto"/>
        <w:rPr>
          <w:rFonts w:eastAsia="KaiTi" w:hint="eastAsia"/>
          <w:b w:val="0"/>
          <w:bCs w:val="0"/>
          <w:color w:val="000000"/>
          <w:sz w:val="24"/>
          <w:szCs w:val="21"/>
          <w:lang w:val="en-US" w:eastAsia="zh-CN" w:bidi="ar"/>
        </w:rPr>
      </w:pPr>
      <w:r>
        <w:rPr>
          <w:rFonts w:eastAsia="KaiTi" w:hint="eastAsia"/>
          <w:b w:val="0"/>
          <w:bCs w:val="0"/>
          <w:color w:val="000000"/>
          <w:sz w:val="24"/>
          <w:szCs w:val="21"/>
          <w:lang w:val="en-US" w:eastAsia="zh-CN" w:bidi="ar"/>
        </w:rPr>
        <w:t>本项目MXene/M-Zr-MOF中Zr具有可逆氧化还原特性，结合MXene的强导电性，通过选择吸附-电催化还原高效去除和回收复杂环境体系中的重金属。</w:t>
      </w:r>
    </w:p>
    <w:p w14:paraId="2511585D">
      <w:pPr>
        <w:keepNext w:val="0"/>
        <w:keepLines w:val="0"/>
        <w:pageBreakBefore w:val="0"/>
        <w:widowControl w:val="0"/>
        <w:numPr>
          <w:ilvl w:val="0"/>
          <w:numId w:val="5"/>
        </w:numPr>
        <w:kinsoku/>
        <w:overflowPunct/>
        <w:topLinePunct w:val="0"/>
        <w:autoSpaceDE/>
        <w:autoSpaceDN/>
        <w:bidi w:val="0"/>
        <w:adjustRightInd/>
        <w:snapToGrid/>
        <w:spacing w:line="360" w:lineRule="auto"/>
        <w:ind w:firstLine="480" w:firstLineChars="200"/>
        <w:textAlignment w:val="auto"/>
        <w:rPr>
          <w:rFonts w:eastAsia="KaiTi" w:hint="default"/>
          <w:b w:val="0"/>
          <w:bCs w:val="0"/>
          <w:color w:val="000000"/>
          <w:sz w:val="24"/>
          <w:szCs w:val="21"/>
          <w:lang w:val="en-US" w:eastAsia="zh-CN" w:bidi="ar"/>
        </w:rPr>
      </w:pPr>
      <w:r>
        <w:rPr>
          <w:rFonts w:eastAsia="KaiTi" w:hint="eastAsia"/>
          <w:b w:val="0"/>
          <w:bCs w:val="0"/>
          <w:color w:val="000000"/>
          <w:sz w:val="24"/>
          <w:szCs w:val="21"/>
          <w:lang w:val="en-US" w:eastAsia="zh-CN" w:bidi="ar"/>
        </w:rPr>
        <w:t>具有二维纳米流体通道的MXene/M-Zr-MOF电催化膜兼具选择性吸附能力和电催化活性，精确调控膜材料的组成和微结构，通过构效关系研究明确其选择吸附机理和电催化原理。</w:t>
      </w:r>
    </w:p>
    <w:p w14:paraId="35088E1E">
      <w:pPr>
        <w:numPr>
          <w:ilvl w:val="255"/>
          <w:numId w:val="0"/>
        </w:numPr>
        <w:wordWrap w:val="0"/>
        <w:spacing w:line="440" w:lineRule="exact"/>
        <w:ind w:firstLine="480" w:firstLineChars="200"/>
        <w:rPr>
          <w:rFonts w:ascii="KaiTi" w:eastAsia="KaiTi" w:hAnsi="KaiTi" w:cs="KaiTi"/>
        </w:rPr>
      </w:pPr>
      <w:r>
        <w:rPr>
          <w:rFonts w:eastAsia="KaiTi" w:hint="eastAsia"/>
          <w:b w:val="0"/>
          <w:bCs w:val="0"/>
          <w:color w:val="000000"/>
          <w:sz w:val="24"/>
          <w:szCs w:val="21"/>
          <w:lang w:val="en-US" w:eastAsia="zh-CN" w:bidi="ar"/>
        </w:rPr>
        <w:t>（3）构建基于MXene/M-Zr-MOF的新型选择性吸附-电催化膜过滤系统，明确该系统去除污染物原理，实现持续高效去除和资源化回收废水中的重金属。</w:t>
      </w:r>
    </w:p>
    <w:p w14:paraId="428F435C">
      <w:pPr>
        <w:wordWrap w:val="0"/>
        <w:spacing w:line="440" w:lineRule="exact"/>
        <w:ind w:firstLine="560" w:firstLineChars="200"/>
        <w:rPr>
          <w:rFonts w:ascii="KaiTi" w:eastAsia="KaiTi" w:hAnsi="KaiTi" w:cs="KaiTi"/>
        </w:rPr>
      </w:pPr>
      <w:r>
        <w:rPr>
          <w:rFonts w:ascii="KaiTi" w:eastAsia="KaiTi" w:hAnsi="KaiTi" w:cs="KaiTi" w:hint="eastAsia"/>
        </w:rPr>
        <w:t>5.预期成果（项目成果的呈现形式及描述）</w:t>
      </w:r>
    </w:p>
    <w:p w14:paraId="0FDFDDD5">
      <w:pPr>
        <w:keepNext w:val="0"/>
        <w:keepLines w:val="0"/>
        <w:pageBreakBefore w:val="0"/>
        <w:widowControl w:val="0"/>
        <w:numPr>
          <w:ilvl w:val="0"/>
          <w:numId w:val="0"/>
        </w:numPr>
        <w:kinsoku/>
        <w:wordWrap/>
        <w:overflowPunct/>
        <w:topLinePunct w:val="0"/>
        <w:autoSpaceDE/>
        <w:autoSpaceDN/>
        <w:bidi w:val="0"/>
        <w:adjustRightInd/>
        <w:snapToGrid/>
        <w:spacing w:before="240" w:beforeLines="100" w:line="360" w:lineRule="auto"/>
        <w:ind w:firstLine="480" w:firstLineChars="200"/>
        <w:textAlignment w:val="auto"/>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（1）提出可高选择性吸附、快速电催化还原重金属的电催化膜的制备方法，明确电催化膜微观结构与吸附-催化性能间的构效关系、选择性吸附机理和电催化原理。</w:t>
      </w:r>
    </w:p>
    <w:p w14:paraId="6D7DBF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（2）构建可持续高效去除复杂环境中重金属离子和重金属有机络合物的</w:t>
      </w:r>
      <w:r>
        <w:rPr>
          <w:rFonts w:eastAsia="KaiTi" w:hint="eastAsia"/>
          <w:b w:val="0"/>
          <w:bCs w:val="0"/>
          <w:color w:val="000000"/>
          <w:sz w:val="24"/>
          <w:szCs w:val="21"/>
          <w:lang w:val="en-US" w:eastAsia="zh-CN" w:bidi="ar"/>
        </w:rPr>
        <w:t>电</w:t>
      </w:r>
      <w:r>
        <w:rPr>
          <w:rFonts w:ascii="Times New Roman" w:eastAsia="KaiTi" w:hAnsi="Times New Roman" w:hint="eastAsia"/>
          <w:b w:val="0"/>
          <w:bCs w:val="0"/>
          <w:color w:val="000000"/>
          <w:sz w:val="24"/>
          <w:szCs w:val="21"/>
          <w:lang w:val="en-US" w:eastAsia="zh-CN" w:bidi="ar"/>
        </w:rPr>
        <w:t>催化</w:t>
      </w:r>
      <w:r>
        <w:rPr>
          <w:rFonts w:eastAsia="KaiTi" w:hint="eastAsia"/>
          <w:b w:val="0"/>
          <w:bCs w:val="0"/>
          <w:color w:val="000000"/>
          <w:sz w:val="24"/>
          <w:szCs w:val="21"/>
          <w:lang w:val="en-US" w:eastAsia="zh-CN" w:bidi="ar"/>
        </w:rPr>
        <w:t>膜过滤系统，提供重要参数和运行指导。</w:t>
      </w:r>
    </w:p>
    <w:p w14:paraId="736079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（3）</w:t>
      </w:r>
      <w:bookmarkStart w:id="128" w:name="OLE_LINK9"/>
      <w:r>
        <w:rPr>
          <w:rFonts w:eastAsia="KaiTi" w:cs="Times New Roman" w:hint="eastAsia"/>
          <w:b w:val="0"/>
          <w:bCs w:val="0"/>
          <w:color w:val="000000"/>
          <w:sz w:val="24"/>
          <w:szCs w:val="21"/>
          <w:vertAlign w:val="baseline"/>
          <w:lang w:val="en-US" w:eastAsia="zh-CN" w:bidi="ar"/>
        </w:rPr>
        <w:t>发表3篇高水平研究性论文，申请2项发明专利；</w:t>
      </w:r>
      <w:bookmarkEnd w:id="128"/>
    </w:p>
    <w:p w14:paraId="0F05BC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KaiTi" w:eastAsia="KaiTi" w:hAnsi="KaiTi" w:cs="KaiTi"/>
        </w:rPr>
      </w:pPr>
      <w:r>
        <w:rPr>
          <w:rFonts w:eastAsia="KaiTi" w:cs="Times New Roman" w:hint="eastAsia"/>
          <w:b w:val="0"/>
          <w:bCs w:val="0"/>
          <w:color w:val="000000"/>
          <w:sz w:val="24"/>
          <w:szCs w:val="21"/>
          <w:vertAlign w:val="baseline"/>
          <w:lang w:val="en-US" w:eastAsia="zh-CN" w:bidi="ar"/>
        </w:rPr>
        <w:t>（4）培养研究生3名。</w:t>
      </w:r>
    </w:p>
    <w:p w14:paraId="730581F2">
      <w:pPr>
        <w:wordWrap w:val="0"/>
        <w:spacing w:line="440" w:lineRule="exact"/>
        <w:ind w:firstLine="560" w:firstLineChars="200"/>
        <w:outlineLvl w:val="0"/>
        <w:rPr>
          <w:rFonts w:ascii="KaiTi" w:eastAsia="KaiTi" w:hAnsi="KaiTi" w:cs="KaiTi"/>
          <w:b/>
        </w:rPr>
      </w:pPr>
      <w:bookmarkStart w:id="129" w:name="bm_six"/>
      <w:r>
        <w:rPr>
          <w:rFonts w:ascii="KaiTi" w:eastAsia="KaiTi" w:hAnsi="KaiTi" w:cs="KaiTi" w:hint="eastAsia"/>
          <w:b/>
        </w:rPr>
        <w:t>三、研究方案及可行性分析</w:t>
      </w:r>
    </w:p>
    <w:bookmarkEnd w:id="93"/>
    <w:bookmarkEnd w:id="129"/>
    <w:p w14:paraId="53DDA411">
      <w:pPr>
        <w:wordWrap w:val="0"/>
        <w:spacing w:line="440" w:lineRule="exact"/>
        <w:ind w:firstLine="560" w:firstLineChars="200"/>
        <w:rPr>
          <w:rFonts w:ascii="KaiTi" w:eastAsia="KaiTi" w:hAnsi="KaiTi" w:cs="KaiTi" w:hint="eastAsia"/>
        </w:rPr>
      </w:pPr>
      <w:r>
        <w:rPr>
          <w:rFonts w:ascii="KaiTi" w:eastAsia="KaiTi" w:hAnsi="KaiTi" w:cs="KaiTi" w:hint="eastAsia"/>
        </w:rPr>
        <w:t>1.研究方案（有关方法、技术路线、实验手段、关键技术等说明，项目可行性分析）</w:t>
      </w:r>
    </w:p>
    <w:p w14:paraId="71026043">
      <w:pPr>
        <w:keepNext w:val="0"/>
        <w:keepLines w:val="0"/>
        <w:pageBreakBefore w:val="0"/>
        <w:widowControl w:val="0"/>
        <w:kinsoku/>
        <w:wordWrap/>
        <w:overflowPunct/>
        <w:topLinePunct w:val="0"/>
        <w:autoSpaceDE/>
        <w:autoSpaceDN/>
        <w:bidi w:val="0"/>
        <w:adjustRightInd/>
        <w:snapToGrid/>
        <w:spacing w:before="240" w:beforeLines="100" w:line="360" w:lineRule="auto"/>
        <w:ind w:firstLine="480" w:firstLineChars="200"/>
        <w:textAlignment w:val="auto"/>
        <w:rPr>
          <w:rFonts w:eastAsia="KaiTi" w:hint="eastAsia"/>
          <w:b/>
          <w:bCs/>
          <w:color w:val="000000"/>
          <w:sz w:val="24"/>
          <w:szCs w:val="21"/>
          <w:lang w:val="en-US" w:eastAsia="zh-CN" w:bidi="ar"/>
        </w:rPr>
      </w:pPr>
      <w:bookmarkStart w:id="130" w:name="OLE_LINK44"/>
      <w:r>
        <w:rPr>
          <w:rFonts w:eastAsia="KaiTi" w:hint="eastAsia"/>
          <w:b/>
          <w:bCs/>
          <w:color w:val="000000"/>
          <w:sz w:val="24"/>
          <w:szCs w:val="21"/>
          <w:lang w:val="en-US" w:eastAsia="zh-CN" w:bidi="ar"/>
        </w:rPr>
        <w:t>1.1拟采取的研究方案</w:t>
      </w:r>
      <w:bookmarkEnd w:id="130"/>
    </w:p>
    <w:p w14:paraId="41C6977A">
      <w:pPr>
        <w:spacing w:line="360" w:lineRule="auto"/>
        <w:ind w:firstLine="480" w:firstLineChars="200"/>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本项目的研究工作包括MXene/M-Zr-MOF电催化膜制备和微结构调控、</w:t>
      </w:r>
      <w:bookmarkStart w:id="131" w:name="OLE_LINK93"/>
      <w:r>
        <w:rPr>
          <w:rFonts w:eastAsia="KaiTi" w:cs="Times New Roman" w:hint="eastAsia"/>
          <w:b w:val="0"/>
          <w:bCs w:val="0"/>
          <w:color w:val="000000"/>
          <w:sz w:val="24"/>
          <w:szCs w:val="21"/>
          <w:vertAlign w:val="baseline"/>
          <w:lang w:val="en-US" w:eastAsia="zh-CN" w:bidi="ar"/>
        </w:rPr>
        <w:t>选择性吸附-电催化</w:t>
      </w:r>
      <w:bookmarkEnd w:id="131"/>
      <w:r>
        <w:rPr>
          <w:rFonts w:eastAsia="KaiTi" w:cs="Times New Roman" w:hint="eastAsia"/>
          <w:b w:val="0"/>
          <w:bCs w:val="0"/>
          <w:color w:val="000000"/>
          <w:sz w:val="24"/>
          <w:szCs w:val="21"/>
          <w:vertAlign w:val="baseline"/>
          <w:lang w:val="en-US" w:eastAsia="zh-CN" w:bidi="ar"/>
        </w:rPr>
        <w:t>膜过滤系统构建、MXene/M-Zr-MOF选择性吸附机理和电催化原理、选择性吸附和电催化还原的协同作用机制、电催化膜过滤系统回收重金属效能及工艺可持续应用研究，具体研究实验方法和手段如下：</w:t>
      </w:r>
    </w:p>
    <w:p w14:paraId="7A9BF7D5">
      <w:pPr>
        <w:numPr>
          <w:ilvl w:val="0"/>
          <w:numId w:val="6"/>
        </w:numPr>
        <w:spacing w:line="360" w:lineRule="auto"/>
        <w:ind w:firstLine="480" w:firstLineChars="200"/>
        <w:rPr>
          <w:rFonts w:eastAsia="KaiTi" w:cs="Times New Roman" w:hint="eastAsia"/>
          <w:b/>
          <w:bCs/>
          <w:color w:val="000000"/>
          <w:sz w:val="24"/>
          <w:szCs w:val="21"/>
          <w:vertAlign w:val="baseline"/>
          <w:lang w:val="en-US" w:eastAsia="zh-CN" w:bidi="ar"/>
        </w:rPr>
      </w:pPr>
      <w:bookmarkStart w:id="132" w:name="OLE_LINK79"/>
      <w:r>
        <w:rPr>
          <w:rFonts w:eastAsia="KaiTi" w:cs="Times New Roman" w:hint="eastAsia"/>
          <w:b/>
          <w:bCs/>
          <w:color w:val="000000"/>
          <w:sz w:val="24"/>
          <w:szCs w:val="21"/>
          <w:vertAlign w:val="baseline"/>
          <w:lang w:val="en-US" w:eastAsia="zh-CN" w:bidi="ar"/>
        </w:rPr>
        <w:t>MXene/</w:t>
      </w:r>
      <w:bookmarkStart w:id="133" w:name="OLE_LINK5"/>
      <w:r>
        <w:rPr>
          <w:rFonts w:eastAsia="KaiTi" w:cs="Times New Roman" w:hint="eastAsia"/>
          <w:b/>
          <w:bCs/>
          <w:color w:val="000000"/>
          <w:sz w:val="24"/>
          <w:szCs w:val="21"/>
          <w:vertAlign w:val="baseline"/>
          <w:lang w:val="en-US" w:eastAsia="zh-CN" w:bidi="ar"/>
        </w:rPr>
        <w:t>M-Zr-MOF</w:t>
      </w:r>
      <w:bookmarkEnd w:id="133"/>
      <w:r>
        <w:rPr>
          <w:rFonts w:eastAsia="KaiTi" w:cs="Times New Roman" w:hint="eastAsia"/>
          <w:b/>
          <w:bCs/>
          <w:color w:val="000000"/>
          <w:sz w:val="24"/>
          <w:szCs w:val="21"/>
          <w:vertAlign w:val="baseline"/>
          <w:lang w:val="en-US" w:eastAsia="zh-CN" w:bidi="ar"/>
        </w:rPr>
        <w:t>电催化膜的构建原理与</w:t>
      </w:r>
      <w:bookmarkEnd w:id="132"/>
      <w:r>
        <w:rPr>
          <w:rFonts w:eastAsia="KaiTi" w:cs="Times New Roman" w:hint="eastAsia"/>
          <w:b/>
          <w:bCs/>
          <w:color w:val="000000"/>
          <w:sz w:val="24"/>
          <w:szCs w:val="21"/>
          <w:vertAlign w:val="baseline"/>
          <w:lang w:val="en-US" w:eastAsia="zh-CN" w:bidi="ar"/>
        </w:rPr>
        <w:t>调控</w:t>
      </w:r>
    </w:p>
    <w:p w14:paraId="5446893B">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560" w:leftChars="200"/>
        <w:textAlignment w:val="auto"/>
        <w:rPr>
          <w:rFonts w:eastAsia="KaiTi" w:cs="Times New Roman" w:hint="eastAsia"/>
          <w:b w:val="0"/>
          <w:bCs w:val="0"/>
          <w:color w:val="000000"/>
          <w:sz w:val="24"/>
          <w:szCs w:val="21"/>
          <w:vertAlign w:val="baseline"/>
          <w:lang w:val="en-US" w:eastAsia="zh-CN" w:bidi="ar"/>
        </w:rPr>
      </w:pPr>
      <w:bookmarkStart w:id="134" w:name="OLE_LINK91"/>
      <w:bookmarkStart w:id="135" w:name="OLE_LINK97"/>
      <w:r>
        <w:rPr>
          <w:rFonts w:eastAsia="KaiTi" w:cs="Times New Roman" w:hint="eastAsia"/>
          <w:b w:val="0"/>
          <w:bCs w:val="0"/>
          <w:color w:val="000000"/>
          <w:sz w:val="24"/>
          <w:szCs w:val="21"/>
          <w:vertAlign w:val="baseline"/>
          <w:lang w:val="en-US" w:eastAsia="zh-CN" w:bidi="ar"/>
        </w:rPr>
        <w:t>MXene/M-Zr-MOF的合成过程解析</w:t>
      </w:r>
      <w:bookmarkEnd w:id="134"/>
    </w:p>
    <w:bookmarkEnd w:id="135"/>
    <w:p w14:paraId="3D7801F7">
      <w:p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采用改进的MILD法，在LiF/HCl混合溶液选择性蚀刻Ti</w:t>
      </w:r>
      <w:r>
        <w:rPr>
          <w:rFonts w:eastAsia="KaiTi" w:cs="Times New Roman" w:hint="eastAsia"/>
          <w:b w:val="0"/>
          <w:bCs w:val="0"/>
          <w:color w:val="000000"/>
          <w:sz w:val="24"/>
          <w:szCs w:val="21"/>
          <w:vertAlign w:val="subscript"/>
          <w:lang w:val="en-US" w:eastAsia="zh-CN" w:bidi="ar"/>
        </w:rPr>
        <w:t>3</w:t>
      </w:r>
      <w:r>
        <w:rPr>
          <w:rFonts w:eastAsia="KaiTi" w:cs="Times New Roman" w:hint="eastAsia"/>
          <w:b w:val="0"/>
          <w:bCs w:val="0"/>
          <w:color w:val="000000"/>
          <w:sz w:val="24"/>
          <w:szCs w:val="21"/>
          <w:vertAlign w:val="baseline"/>
          <w:lang w:val="en-US" w:eastAsia="zh-CN" w:bidi="ar"/>
        </w:rPr>
        <w:t>AlC</w:t>
      </w:r>
      <w:r>
        <w:rPr>
          <w:rFonts w:eastAsia="KaiTi" w:cs="Times New Roman" w:hint="eastAsia"/>
          <w:b w:val="0"/>
          <w:bCs w:val="0"/>
          <w:color w:val="000000"/>
          <w:sz w:val="24"/>
          <w:szCs w:val="21"/>
          <w:vertAlign w:val="subscript"/>
          <w:lang w:val="en-US" w:eastAsia="zh-CN" w:bidi="ar"/>
        </w:rPr>
        <w:t>2</w:t>
      </w:r>
      <w:r>
        <w:rPr>
          <w:rFonts w:eastAsia="KaiTi" w:cs="Times New Roman" w:hint="eastAsia"/>
          <w:b w:val="0"/>
          <w:bCs w:val="0"/>
          <w:color w:val="000000"/>
          <w:sz w:val="24"/>
          <w:szCs w:val="21"/>
          <w:vertAlign w:val="baseline"/>
          <w:lang w:val="en-US" w:eastAsia="zh-CN" w:bidi="ar"/>
        </w:rPr>
        <w:t>中的Al层，合成Ti</w:t>
      </w:r>
      <w:r>
        <w:rPr>
          <w:rFonts w:eastAsia="KaiTi" w:cs="Times New Roman" w:hint="eastAsia"/>
          <w:b w:val="0"/>
          <w:bCs w:val="0"/>
          <w:color w:val="000000"/>
          <w:sz w:val="24"/>
          <w:szCs w:val="21"/>
          <w:vertAlign w:val="subscript"/>
          <w:lang w:val="en-US" w:eastAsia="zh-CN" w:bidi="ar"/>
        </w:rPr>
        <w:t>3</w:t>
      </w:r>
      <w:r>
        <w:rPr>
          <w:rFonts w:eastAsia="KaiTi" w:cs="Times New Roman" w:hint="eastAsia"/>
          <w:b w:val="0"/>
          <w:bCs w:val="0"/>
          <w:color w:val="000000"/>
          <w:sz w:val="24"/>
          <w:szCs w:val="21"/>
          <w:vertAlign w:val="baseline"/>
          <w:lang w:val="en-US" w:eastAsia="zh-CN" w:bidi="ar"/>
        </w:rPr>
        <w:t>C</w:t>
      </w:r>
      <w:r>
        <w:rPr>
          <w:rFonts w:eastAsia="KaiTi" w:cs="Times New Roman" w:hint="eastAsia"/>
          <w:b w:val="0"/>
          <w:bCs w:val="0"/>
          <w:color w:val="000000"/>
          <w:sz w:val="24"/>
          <w:szCs w:val="21"/>
          <w:vertAlign w:val="subscript"/>
          <w:lang w:val="en-US" w:eastAsia="zh-CN" w:bidi="ar"/>
        </w:rPr>
        <w:t>2</w:t>
      </w:r>
      <w:r>
        <w:rPr>
          <w:rFonts w:eastAsia="KaiTi" w:cs="Times New Roman" w:hint="eastAsia"/>
          <w:b w:val="0"/>
          <w:bCs w:val="0"/>
          <w:color w:val="000000"/>
          <w:sz w:val="24"/>
          <w:szCs w:val="21"/>
          <w:vertAlign w:val="baseline"/>
          <w:lang w:val="en-US" w:eastAsia="zh-CN" w:bidi="ar"/>
        </w:rPr>
        <w:t>T</w:t>
      </w:r>
      <w:r>
        <w:rPr>
          <w:rFonts w:eastAsia="KaiTi" w:cs="Times New Roman" w:hint="eastAsia"/>
          <w:b w:val="0"/>
          <w:bCs w:val="0"/>
          <w:color w:val="000000"/>
          <w:sz w:val="24"/>
          <w:szCs w:val="21"/>
          <w:vertAlign w:val="subscript"/>
          <w:lang w:val="en-US" w:eastAsia="zh-CN" w:bidi="ar"/>
        </w:rPr>
        <w:t>x</w:t>
      </w:r>
      <w:r>
        <w:rPr>
          <w:rFonts w:eastAsia="KaiTi" w:cs="Times New Roman" w:hint="eastAsia"/>
          <w:b w:val="0"/>
          <w:bCs w:val="0"/>
          <w:color w:val="000000"/>
          <w:sz w:val="24"/>
          <w:szCs w:val="21"/>
          <w:vertAlign w:val="baseline"/>
          <w:lang w:val="en-US" w:eastAsia="zh-CN" w:bidi="ar"/>
        </w:rPr>
        <w:t>纳米片。具体如下：将氟化锂溶解到9 M盐酸溶液中，然后将Ti</w:t>
      </w:r>
      <w:r>
        <w:rPr>
          <w:rFonts w:eastAsia="KaiTi" w:cs="Times New Roman" w:hint="eastAsia"/>
          <w:b w:val="0"/>
          <w:bCs w:val="0"/>
          <w:color w:val="000000"/>
          <w:sz w:val="24"/>
          <w:szCs w:val="21"/>
          <w:vertAlign w:val="subscript"/>
          <w:lang w:val="en-US" w:eastAsia="zh-CN" w:bidi="ar"/>
        </w:rPr>
        <w:t>3</w:t>
      </w:r>
      <w:r>
        <w:rPr>
          <w:rFonts w:eastAsia="KaiTi" w:cs="Times New Roman" w:hint="eastAsia"/>
          <w:b w:val="0"/>
          <w:bCs w:val="0"/>
          <w:color w:val="000000"/>
          <w:sz w:val="24"/>
          <w:szCs w:val="21"/>
          <w:vertAlign w:val="baseline"/>
          <w:lang w:val="en-US" w:eastAsia="zh-CN" w:bidi="ar"/>
        </w:rPr>
        <w:t>AlC</w:t>
      </w:r>
      <w:r>
        <w:rPr>
          <w:rFonts w:eastAsia="KaiTi" w:cs="Times New Roman" w:hint="eastAsia"/>
          <w:b w:val="0"/>
          <w:bCs w:val="0"/>
          <w:color w:val="000000"/>
          <w:sz w:val="24"/>
          <w:szCs w:val="21"/>
          <w:vertAlign w:val="subscript"/>
          <w:lang w:val="en-US" w:eastAsia="zh-CN" w:bidi="ar"/>
        </w:rPr>
        <w:t>2</w:t>
      </w:r>
      <w:r>
        <w:rPr>
          <w:rFonts w:eastAsia="KaiTi" w:cs="Times New Roman" w:hint="eastAsia"/>
          <w:b w:val="0"/>
          <w:bCs w:val="0"/>
          <w:color w:val="000000"/>
          <w:sz w:val="24"/>
          <w:szCs w:val="21"/>
          <w:vertAlign w:val="baseline"/>
          <w:lang w:val="en-US" w:eastAsia="zh-CN" w:bidi="ar"/>
        </w:rPr>
        <w:t>慢慢添加到上述蚀刻溶液混合均匀，</w:t>
      </w:r>
      <w:bookmarkStart w:id="136" w:name="OLE_LINK87"/>
      <w:r>
        <w:rPr>
          <w:rFonts w:eastAsia="KaiTi" w:cs="Times New Roman" w:hint="eastAsia"/>
          <w:b w:val="0"/>
          <w:bCs w:val="0"/>
          <w:color w:val="000000"/>
          <w:sz w:val="24"/>
          <w:szCs w:val="21"/>
          <w:vertAlign w:val="baseline"/>
          <w:lang w:val="en-US" w:eastAsia="zh-CN" w:bidi="ar"/>
        </w:rPr>
        <w:t>在</w:t>
      </w:r>
      <w:r>
        <w:rPr>
          <w:rFonts w:ascii="Times New Roman" w:eastAsia="KaiTi" w:hAnsi="Times New Roman" w:cs="Times New Roman" w:hint="default"/>
          <w:b w:val="0"/>
          <w:bCs w:val="0"/>
          <w:color w:val="000000"/>
          <w:sz w:val="24"/>
          <w:szCs w:val="21"/>
          <w:vertAlign w:val="baseline"/>
          <w:lang w:val="en-US" w:eastAsia="zh-CN" w:bidi="ar"/>
        </w:rPr>
        <w:t>37℃</w:t>
      </w:r>
      <w:r>
        <w:rPr>
          <w:rFonts w:eastAsia="KaiTi" w:cs="Times New Roman" w:hint="eastAsia"/>
          <w:b w:val="0"/>
          <w:bCs w:val="0"/>
          <w:color w:val="000000"/>
          <w:sz w:val="24"/>
          <w:szCs w:val="21"/>
          <w:vertAlign w:val="baseline"/>
          <w:lang w:val="en-US" w:eastAsia="zh-CN" w:bidi="ar"/>
        </w:rPr>
        <w:t>下连续搅拌（300 rpm）24 h</w:t>
      </w:r>
      <w:bookmarkEnd w:id="136"/>
      <w:r>
        <w:rPr>
          <w:rFonts w:eastAsia="KaiTi" w:cs="Times New Roman" w:hint="eastAsia"/>
          <w:b w:val="0"/>
          <w:bCs w:val="0"/>
          <w:color w:val="000000"/>
          <w:sz w:val="24"/>
          <w:szCs w:val="21"/>
          <w:vertAlign w:val="baseline"/>
          <w:lang w:val="en-US" w:eastAsia="zh-CN" w:bidi="ar"/>
        </w:rPr>
        <w:t>。将得到的酸性产物转移到离心管中，离心5 min。随后倒掉上层溶液，加入去离子水摇匀后离心，如此反复洗涤离心，直至上层溶液的pH值接近6为止。然后，用去离子水稀释所得沉积物，并在Ar气氛下的冰水浴中超声剥离1 h。最后，将超声剥离好的悬浮液转移到离心管中，用高速离心机在3500 rpm下离心1 h后，得到的上层悬浮液即为MXene溶液，收集MXene溶液并置于低温氩气气氛下保存备用。</w:t>
      </w:r>
    </w:p>
    <w:p w14:paraId="0A5AAF9E">
      <w:p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将金属化合物（FeCl</w:t>
      </w:r>
      <w:r>
        <w:rPr>
          <w:rFonts w:eastAsia="KaiTi" w:cs="Times New Roman" w:hint="eastAsia"/>
          <w:b w:val="0"/>
          <w:bCs w:val="0"/>
          <w:color w:val="000000"/>
          <w:sz w:val="24"/>
          <w:szCs w:val="21"/>
          <w:vertAlign w:val="subscript"/>
          <w:lang w:val="en-US" w:eastAsia="zh-CN" w:bidi="ar"/>
        </w:rPr>
        <w:t>3</w:t>
      </w:r>
      <w:r>
        <w:rPr>
          <w:rFonts w:ascii="Times New Roman" w:eastAsia="KaiTi" w:hAnsi="Times New Roman" w:cs="Times New Roman" w:hint="default"/>
          <w:b w:val="0"/>
          <w:bCs w:val="0"/>
          <w:color w:val="000000"/>
          <w:sz w:val="24"/>
          <w:szCs w:val="21"/>
          <w:vertAlign w:val="baseline"/>
          <w:lang w:val="en-US" w:eastAsia="zh-CN" w:bidi="ar"/>
        </w:rPr>
        <w:t>·</w:t>
      </w:r>
      <w:r>
        <w:rPr>
          <w:rFonts w:eastAsia="KaiTi" w:cs="Times New Roman" w:hint="eastAsia"/>
          <w:b w:val="0"/>
          <w:bCs w:val="0"/>
          <w:color w:val="000000"/>
          <w:sz w:val="24"/>
          <w:szCs w:val="21"/>
          <w:vertAlign w:val="baseline"/>
          <w:lang w:val="en-US" w:eastAsia="zh-CN" w:bidi="ar"/>
        </w:rPr>
        <w:t>6H</w:t>
      </w:r>
      <w:r>
        <w:rPr>
          <w:rFonts w:eastAsia="KaiTi" w:cs="Times New Roman" w:hint="eastAsia"/>
          <w:b w:val="0"/>
          <w:bCs w:val="0"/>
          <w:color w:val="000000"/>
          <w:sz w:val="24"/>
          <w:szCs w:val="21"/>
          <w:vertAlign w:val="subscript"/>
          <w:lang w:val="en-US" w:eastAsia="zh-CN" w:bidi="ar"/>
        </w:rPr>
        <w:t>2</w:t>
      </w:r>
      <w:r>
        <w:rPr>
          <w:rFonts w:eastAsia="KaiTi" w:cs="Times New Roman" w:hint="eastAsia"/>
          <w:b w:val="0"/>
          <w:bCs w:val="0"/>
          <w:color w:val="000000"/>
          <w:sz w:val="24"/>
          <w:szCs w:val="21"/>
          <w:vertAlign w:val="baseline"/>
          <w:lang w:val="en-US" w:eastAsia="zh-CN" w:bidi="ar"/>
        </w:rPr>
        <w:t>O、</w:t>
      </w:r>
      <w:r>
        <w:rPr>
          <w:rFonts w:eastAsia="KaiTi" w:cs="Times New Roman" w:hint="eastAsia"/>
          <w:b w:val="0"/>
          <w:bCs w:val="0"/>
          <w:color w:val="000000"/>
          <w:sz w:val="24"/>
          <w:vertAlign w:val="baseline"/>
          <w:lang w:val="en-US" w:eastAsia="zh-CN" w:bidi="ar"/>
        </w:rPr>
        <w:t>Co</w:t>
      </w:r>
      <w:bookmarkStart w:id="137" w:name="OLE_LINK84"/>
      <w:r>
        <w:rPr>
          <w:rFonts w:eastAsia="KaiTi" w:cs="Times New Roman" w:hint="eastAsia"/>
          <w:b w:val="0"/>
          <w:bCs w:val="0"/>
          <w:color w:val="000000"/>
          <w:sz w:val="24"/>
          <w:vertAlign w:val="baseline"/>
          <w:lang w:val="en-US" w:eastAsia="zh-CN" w:bidi="ar"/>
        </w:rPr>
        <w:t>(OAc)</w:t>
      </w:r>
      <w:r>
        <w:rPr>
          <w:rFonts w:eastAsia="KaiTi" w:cs="Times New Roman" w:hint="eastAsia"/>
          <w:b w:val="0"/>
          <w:bCs w:val="0"/>
          <w:color w:val="000000"/>
          <w:sz w:val="24"/>
          <w:vertAlign w:val="subscript"/>
          <w:lang w:val="en-US" w:eastAsia="zh-CN" w:bidi="ar"/>
        </w:rPr>
        <w:t>2</w:t>
      </w:r>
      <w:bookmarkEnd w:id="137"/>
      <w:r>
        <w:rPr>
          <w:rFonts w:ascii="Times New Roman" w:eastAsia="KaiTi" w:hAnsi="Times New Roman" w:cs="Times New Roman" w:hint="default"/>
          <w:b w:val="0"/>
          <w:bCs w:val="0"/>
          <w:color w:val="000000"/>
          <w:sz w:val="24"/>
          <w:vertAlign w:val="subscript"/>
          <w:lang w:val="en-US" w:eastAsia="zh-CN" w:bidi="ar"/>
        </w:rPr>
        <w:t>·</w:t>
      </w:r>
      <w:r>
        <w:rPr>
          <w:rFonts w:eastAsia="KaiTi" w:cs="Times New Roman" w:hint="eastAsia"/>
          <w:b w:val="0"/>
          <w:bCs w:val="0"/>
          <w:color w:val="000000"/>
          <w:sz w:val="24"/>
          <w:vertAlign w:val="baseline"/>
          <w:lang w:val="en-US" w:eastAsia="zh-CN" w:bidi="ar"/>
        </w:rPr>
        <w:t>4H</w:t>
      </w:r>
      <w:r>
        <w:rPr>
          <w:rFonts w:eastAsia="KaiTi" w:cs="Times New Roman" w:hint="eastAsia"/>
          <w:b w:val="0"/>
          <w:bCs w:val="0"/>
          <w:color w:val="000000"/>
          <w:sz w:val="24"/>
          <w:vertAlign w:val="subscript"/>
          <w:lang w:val="en-US" w:eastAsia="zh-CN" w:bidi="ar"/>
        </w:rPr>
        <w:t>2</w:t>
      </w:r>
      <w:r>
        <w:rPr>
          <w:rFonts w:eastAsia="KaiTi" w:cs="Times New Roman" w:hint="eastAsia"/>
          <w:b w:val="0"/>
          <w:bCs w:val="0"/>
          <w:color w:val="000000"/>
          <w:sz w:val="24"/>
          <w:vertAlign w:val="baseline"/>
          <w:lang w:val="en-US" w:eastAsia="zh-CN" w:bidi="ar"/>
        </w:rPr>
        <w:t>O、NiCl</w:t>
      </w:r>
      <w:r>
        <w:rPr>
          <w:rFonts w:eastAsia="KaiTi" w:cs="Times New Roman" w:hint="eastAsia"/>
          <w:b w:val="0"/>
          <w:bCs w:val="0"/>
          <w:color w:val="000000"/>
          <w:sz w:val="24"/>
          <w:vertAlign w:val="subscript"/>
          <w:lang w:val="en-US" w:eastAsia="zh-CN" w:bidi="ar"/>
        </w:rPr>
        <w:t>2</w:t>
      </w:r>
      <w:r>
        <w:rPr>
          <w:rFonts w:ascii="Times New Roman" w:eastAsia="KaiTi" w:hAnsi="Times New Roman" w:cs="Times New Roman" w:hint="default"/>
          <w:b w:val="0"/>
          <w:bCs w:val="0"/>
          <w:color w:val="000000"/>
          <w:sz w:val="24"/>
          <w:vertAlign w:val="baseline"/>
          <w:lang w:val="en-US" w:eastAsia="zh-CN" w:bidi="ar"/>
        </w:rPr>
        <w:t>·</w:t>
      </w:r>
      <w:r>
        <w:rPr>
          <w:rFonts w:eastAsia="KaiTi" w:cs="Times New Roman" w:hint="eastAsia"/>
          <w:b w:val="0"/>
          <w:bCs w:val="0"/>
          <w:color w:val="000000"/>
          <w:sz w:val="24"/>
          <w:vertAlign w:val="baseline"/>
          <w:lang w:val="en-US" w:eastAsia="zh-CN" w:bidi="ar"/>
        </w:rPr>
        <w:t>6H</w:t>
      </w:r>
      <w:r>
        <w:rPr>
          <w:rFonts w:eastAsia="KaiTi" w:cs="Times New Roman" w:hint="eastAsia"/>
          <w:b w:val="0"/>
          <w:bCs w:val="0"/>
          <w:color w:val="000000"/>
          <w:sz w:val="24"/>
          <w:vertAlign w:val="subscript"/>
          <w:lang w:val="en-US" w:eastAsia="zh-CN" w:bidi="ar"/>
        </w:rPr>
        <w:t>2</w:t>
      </w:r>
      <w:r>
        <w:rPr>
          <w:rFonts w:eastAsia="KaiTi" w:cs="Times New Roman" w:hint="eastAsia"/>
          <w:b w:val="0"/>
          <w:bCs w:val="0"/>
          <w:color w:val="000000"/>
          <w:sz w:val="24"/>
          <w:vertAlign w:val="baseline"/>
          <w:lang w:val="en-US" w:eastAsia="zh-CN" w:bidi="ar"/>
        </w:rPr>
        <w:t>O</w:t>
      </w:r>
      <w:r>
        <w:rPr>
          <w:rFonts w:eastAsia="KaiTi" w:cs="Times New Roman" w:hint="eastAsia"/>
          <w:b w:val="0"/>
          <w:bCs w:val="0"/>
          <w:color w:val="000000"/>
          <w:sz w:val="24"/>
          <w:szCs w:val="21"/>
          <w:vertAlign w:val="baseline"/>
          <w:lang w:val="en-US" w:eastAsia="zh-CN" w:bidi="ar"/>
        </w:rPr>
        <w:t>）、</w:t>
      </w:r>
      <w:bookmarkStart w:id="138" w:name="OLE_LINK4"/>
      <w:r>
        <w:rPr>
          <w:rFonts w:eastAsia="KaiTi" w:cs="Times New Roman" w:hint="eastAsia"/>
          <w:b w:val="0"/>
          <w:bCs w:val="0"/>
          <w:color w:val="000000"/>
          <w:sz w:val="24"/>
          <w:szCs w:val="21"/>
          <w:vertAlign w:val="baseline"/>
          <w:lang w:val="en-US" w:eastAsia="zh-CN" w:bidi="ar"/>
        </w:rPr>
        <w:t>二氯二茂</w:t>
      </w:r>
      <w:bookmarkEnd w:id="138"/>
      <w:r>
        <w:rPr>
          <w:rFonts w:eastAsia="KaiTi" w:cs="Times New Roman" w:hint="eastAsia"/>
          <w:b w:val="0"/>
          <w:bCs w:val="0"/>
          <w:color w:val="000000"/>
          <w:sz w:val="24"/>
          <w:szCs w:val="21"/>
          <w:vertAlign w:val="baseline"/>
          <w:lang w:val="en-US" w:eastAsia="zh-CN" w:bidi="ar"/>
        </w:rPr>
        <w:t>锆、异烟酸（或4-（4H-1,2,4-三氮唑-4-基）苯甲酸）溶解于DMF、四氯化碳和去离子水的混合溶液中，在室温下搅拌10 min，随后将溶液转移到聚四氟乙烯内衬的不锈钢高压反应釜中在120℃下加热 12 h。将合成后的材料用 DMF洗涤数次后在60℃下干燥至恒重得到</w:t>
      </w:r>
      <w:bookmarkStart w:id="139" w:name="OLE_LINK6"/>
      <w:r>
        <w:rPr>
          <w:rFonts w:eastAsia="KaiTi" w:cs="Times New Roman" w:hint="eastAsia"/>
          <w:b w:val="0"/>
          <w:bCs w:val="0"/>
          <w:color w:val="000000"/>
          <w:sz w:val="24"/>
          <w:szCs w:val="21"/>
          <w:vertAlign w:val="baseline"/>
          <w:lang w:val="en-US" w:eastAsia="zh-CN" w:bidi="ar"/>
        </w:rPr>
        <w:t>M-Zr-MOF</w:t>
      </w:r>
      <w:bookmarkEnd w:id="139"/>
      <w:r>
        <w:rPr>
          <w:rFonts w:eastAsia="KaiTi" w:cs="Times New Roman" w:hint="eastAsia"/>
          <w:b w:val="0"/>
          <w:bCs w:val="0"/>
          <w:color w:val="000000"/>
          <w:sz w:val="24"/>
          <w:szCs w:val="21"/>
          <w:vertAlign w:val="baseline"/>
          <w:lang w:val="en-US" w:eastAsia="zh-CN" w:bidi="ar"/>
        </w:rPr>
        <w:t>。</w:t>
      </w:r>
    </w:p>
    <w:p w14:paraId="374D2E52">
      <w:p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在制备好的MXene分散液中加入M-Zr-MOF和三乙胺，在Ar气氛下超声6-12 h。使用聚醚砜微滤膜对上述混合分散液进行真空辅助抽滤，然后在80</w:t>
      </w:r>
      <w:r>
        <w:rPr>
          <w:rFonts w:ascii="SimSun" w:eastAsia="SimSun" w:hAnsi="SimSun" w:cs="SimSun" w:hint="eastAsia"/>
          <w:b w:val="0"/>
          <w:bCs w:val="0"/>
          <w:color w:val="000000"/>
          <w:sz w:val="24"/>
          <w:szCs w:val="21"/>
          <w:vertAlign w:val="baseline"/>
          <w:lang w:val="en-US" w:eastAsia="zh-CN" w:bidi="ar"/>
        </w:rPr>
        <w:t>℃</w:t>
      </w:r>
      <w:r>
        <w:rPr>
          <w:rFonts w:eastAsia="KaiTi" w:cs="Times New Roman" w:hint="eastAsia"/>
          <w:b w:val="0"/>
          <w:bCs w:val="0"/>
          <w:color w:val="000000"/>
          <w:sz w:val="24"/>
          <w:szCs w:val="21"/>
          <w:vertAlign w:val="baseline"/>
          <w:lang w:val="en-US" w:eastAsia="zh-CN" w:bidi="ar"/>
        </w:rPr>
        <w:t>下真空干燥6 h, 获得MXene/M-Zr-MOF电催化膜。通过改变金属和配体组成、物质比例、反应温度和时间等，调控MXene/M-Zr-MOF电催化膜的形貌特征、层间通道尺寸、空间分布状态及堆叠厚度等物化特征。</w:t>
      </w:r>
    </w:p>
    <w:p w14:paraId="3A6CDF03">
      <w:p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通过扫描电镜（SEM）、透射电镜（TEM）、傅里叶红外光谱（FT-IR）、能谱分析（EDS）、X射线光电子能谱（XPS）、X射线衍射（XRD）等常规表征手段考察M-Zr-MOF和电催化膜的形貌尺寸、化学组成、晶体结构及官能团组成等理化性质，解析</w:t>
      </w:r>
      <w:bookmarkStart w:id="140" w:name="OLE_LINK92"/>
      <w:r>
        <w:rPr>
          <w:rFonts w:eastAsia="KaiTi" w:cs="Times New Roman" w:hint="eastAsia"/>
          <w:b w:val="0"/>
          <w:bCs w:val="0"/>
          <w:color w:val="000000"/>
          <w:sz w:val="24"/>
          <w:szCs w:val="21"/>
          <w:vertAlign w:val="baseline"/>
          <w:lang w:val="en-US" w:eastAsia="zh-CN" w:bidi="ar"/>
        </w:rPr>
        <w:t>MXene/M-Zr-MOF</w:t>
      </w:r>
      <w:bookmarkEnd w:id="140"/>
      <w:r>
        <w:rPr>
          <w:rFonts w:eastAsia="KaiTi" w:cs="Times New Roman" w:hint="eastAsia"/>
          <w:b w:val="0"/>
          <w:bCs w:val="0"/>
          <w:color w:val="000000"/>
          <w:sz w:val="24"/>
          <w:szCs w:val="21"/>
          <w:vertAlign w:val="baseline"/>
          <w:lang w:val="en-US" w:eastAsia="zh-CN" w:bidi="ar"/>
        </w:rPr>
        <w:t>电催化膜的合成过程；通过氮气吸附/脱附测试（BET）对M-</w:t>
      </w:r>
      <w:bookmarkStart w:id="141" w:name="OLE_LINK7"/>
      <w:r>
        <w:rPr>
          <w:rFonts w:eastAsia="KaiTi" w:cs="Times New Roman" w:hint="eastAsia"/>
          <w:b w:val="0"/>
          <w:bCs w:val="0"/>
          <w:color w:val="000000"/>
          <w:sz w:val="24"/>
          <w:szCs w:val="21"/>
          <w:vertAlign w:val="baseline"/>
          <w:lang w:val="en-US" w:eastAsia="zh-CN" w:bidi="ar"/>
        </w:rPr>
        <w:t>Zr-MOF</w:t>
      </w:r>
      <w:bookmarkEnd w:id="141"/>
      <w:r>
        <w:rPr>
          <w:rFonts w:eastAsia="KaiTi" w:cs="Times New Roman" w:hint="eastAsia"/>
          <w:b w:val="0"/>
          <w:bCs w:val="0"/>
          <w:color w:val="000000"/>
          <w:sz w:val="24"/>
          <w:szCs w:val="21"/>
          <w:vertAlign w:val="baseline"/>
          <w:lang w:val="en-US" w:eastAsia="zh-CN" w:bidi="ar"/>
        </w:rPr>
        <w:t>和电催化膜比表面积和孔结构进行计算分析；采用光学接触角测量仪对电催化膜的表面亲疏水性进行测定；采用同步辐射精细吸收谱（XAS）对膜材料的精细结构进行表征解析，包括材料的电子结构，如元素价态、对称性、轨道占据等，以及材料的配位环境，如配位原子的种类、键长、配位数等；借助DFT模拟计算分析膜材料的电子特征，如电子态密度、电荷/密度等。</w:t>
      </w:r>
    </w:p>
    <w:p w14:paraId="5FC5708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560" w:leftChars="200"/>
        <w:textAlignment w:val="auto"/>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MXene/M-Zr-MOF微观结构调控</w:t>
      </w:r>
    </w:p>
    <w:p w14:paraId="2D93BF27">
      <w:pPr>
        <w:spacing w:line="360" w:lineRule="auto"/>
        <w:ind w:firstLine="480" w:firstLineChars="200"/>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配置重金属离子</w:t>
      </w:r>
      <w:bookmarkStart w:id="142" w:name="OLE_LINK110"/>
      <w:r>
        <w:rPr>
          <w:rFonts w:eastAsia="KaiTi" w:cs="Times New Roman" w:hint="eastAsia"/>
          <w:b w:val="0"/>
          <w:bCs w:val="0"/>
          <w:color w:val="000000"/>
          <w:sz w:val="24"/>
          <w:szCs w:val="21"/>
          <w:vertAlign w:val="baseline"/>
          <w:lang w:val="en-US" w:eastAsia="zh-CN" w:bidi="ar"/>
        </w:rPr>
        <w:t>（</w:t>
      </w:r>
      <w:bookmarkStart w:id="143" w:name="OLE_LINK100"/>
      <w:r>
        <w:rPr>
          <w:rFonts w:eastAsia="KaiTi" w:cs="Times New Roman" w:hint="eastAsia"/>
          <w:b w:val="0"/>
          <w:bCs w:val="0"/>
          <w:color w:val="000000"/>
          <w:sz w:val="24"/>
          <w:szCs w:val="21"/>
          <w:vertAlign w:val="baseline"/>
          <w:lang w:val="en-US" w:eastAsia="zh-CN" w:bidi="ar"/>
        </w:rPr>
        <w:t>Ag</w:t>
      </w:r>
      <w:r>
        <w:rPr>
          <w:rFonts w:eastAsia="KaiTi" w:cs="Times New Roman" w:hint="eastAsia"/>
          <w:b w:val="0"/>
          <w:bCs w:val="0"/>
          <w:color w:val="000000"/>
          <w:sz w:val="24"/>
          <w:szCs w:val="21"/>
          <w:vertAlign w:val="superscript"/>
          <w:lang w:val="en-US" w:eastAsia="zh-CN" w:bidi="ar"/>
        </w:rPr>
        <w:t>+</w:t>
      </w:r>
      <w:r>
        <w:rPr>
          <w:rFonts w:eastAsia="KaiTi" w:cs="Times New Roman" w:hint="eastAsia"/>
          <w:b w:val="0"/>
          <w:bCs w:val="0"/>
          <w:color w:val="000000"/>
          <w:sz w:val="24"/>
          <w:szCs w:val="21"/>
          <w:vertAlign w:val="baseline"/>
          <w:lang w:val="en-US" w:eastAsia="zh-CN" w:bidi="ar"/>
        </w:rPr>
        <w:t>、Pb</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、Cd</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、Cr (VI)、Cu</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、Hg</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等</w:t>
      </w:r>
      <w:bookmarkEnd w:id="143"/>
      <w:r>
        <w:rPr>
          <w:rFonts w:eastAsia="KaiTi" w:cs="Times New Roman" w:hint="eastAsia"/>
          <w:b w:val="0"/>
          <w:bCs w:val="0"/>
          <w:color w:val="000000"/>
          <w:sz w:val="24"/>
          <w:szCs w:val="21"/>
          <w:vertAlign w:val="baseline"/>
          <w:lang w:val="en-US" w:eastAsia="zh-CN" w:bidi="ar"/>
        </w:rPr>
        <w:t>）</w:t>
      </w:r>
      <w:bookmarkEnd w:id="142"/>
      <w:r>
        <w:rPr>
          <w:rFonts w:eastAsia="KaiTi" w:cs="Times New Roman" w:hint="eastAsia"/>
          <w:b w:val="0"/>
          <w:bCs w:val="0"/>
          <w:color w:val="000000"/>
          <w:sz w:val="24"/>
          <w:szCs w:val="21"/>
          <w:vertAlign w:val="baseline"/>
          <w:lang w:val="en-US" w:eastAsia="zh-CN" w:bidi="ar"/>
        </w:rPr>
        <w:t>和重金属有机络合物（Cu(II)-EDTA、乙二胺四乙酸铅（II）、乙二胺四乙酸镍（II）等）储备液，测定不同MXene/M-Zr-MOF膜对重金属的单独吸附容量，对比分析筛选出选择性吸附某一种重金属的最优材料组成、结构；</w:t>
      </w:r>
      <w:r>
        <w:rPr>
          <w:rFonts w:eastAsia="KaiTi" w:cs="Times New Roman" w:hint="default"/>
          <w:b w:val="0"/>
          <w:bCs w:val="0"/>
          <w:color w:val="000000"/>
          <w:sz w:val="24"/>
          <w:szCs w:val="21"/>
          <w:vertAlign w:val="baseline"/>
          <w:lang w:val="en-US" w:eastAsia="zh-CN" w:bidi="ar"/>
        </w:rPr>
        <w:t>使用电化学工作站在三电极体系中</w:t>
      </w:r>
      <w:r>
        <w:rPr>
          <w:rFonts w:eastAsia="KaiTi" w:cs="Times New Roman" w:hint="eastAsia"/>
          <w:b w:val="0"/>
          <w:bCs w:val="0"/>
          <w:color w:val="000000"/>
          <w:sz w:val="24"/>
          <w:szCs w:val="21"/>
          <w:vertAlign w:val="baseline"/>
          <w:lang w:val="en-US" w:eastAsia="zh-CN" w:bidi="ar"/>
        </w:rPr>
        <w:t>通过循环伏安法（CV）、线性伏安扫描法（LSV）、恒电流充放电（CP）和电化学阻抗（EIS）电化学性能测试</w:t>
      </w:r>
      <w:r>
        <w:rPr>
          <w:rFonts w:eastAsia="KaiTi" w:cs="Times New Roman" w:hint="default"/>
          <w:b w:val="0"/>
          <w:bCs w:val="0"/>
          <w:color w:val="000000"/>
          <w:sz w:val="24"/>
          <w:szCs w:val="21"/>
          <w:vertAlign w:val="baseline"/>
          <w:lang w:val="en-US" w:eastAsia="zh-CN" w:bidi="ar"/>
        </w:rPr>
        <w:t>对</w:t>
      </w:r>
      <w:r>
        <w:rPr>
          <w:rFonts w:eastAsia="KaiTi" w:cs="Times New Roman" w:hint="eastAsia"/>
          <w:b w:val="0"/>
          <w:bCs w:val="0"/>
          <w:color w:val="000000"/>
          <w:sz w:val="24"/>
          <w:szCs w:val="21"/>
          <w:vertAlign w:val="baseline"/>
          <w:lang w:val="en-US" w:eastAsia="zh-CN" w:bidi="ar"/>
        </w:rPr>
        <w:t>电催化膜</w:t>
      </w:r>
      <w:r>
        <w:rPr>
          <w:rFonts w:eastAsia="KaiTi" w:cs="Times New Roman" w:hint="default"/>
          <w:b w:val="0"/>
          <w:bCs w:val="0"/>
          <w:color w:val="000000"/>
          <w:sz w:val="24"/>
          <w:szCs w:val="21"/>
          <w:vertAlign w:val="baseline"/>
          <w:lang w:val="en-US" w:eastAsia="zh-CN" w:bidi="ar"/>
        </w:rPr>
        <w:t>的</w:t>
      </w:r>
      <w:r>
        <w:rPr>
          <w:rFonts w:eastAsia="KaiTi" w:cs="Times New Roman" w:hint="eastAsia"/>
          <w:b w:val="0"/>
          <w:bCs w:val="0"/>
          <w:color w:val="000000"/>
          <w:sz w:val="24"/>
          <w:szCs w:val="21"/>
          <w:vertAlign w:val="baseline"/>
          <w:lang w:val="en-US" w:eastAsia="zh-CN" w:bidi="ar"/>
        </w:rPr>
        <w:t>导电性、比电容、电阻、过电位、塔菲尔斜率、电化学活性面积、电化学稳定性</w:t>
      </w:r>
      <w:r>
        <w:rPr>
          <w:rFonts w:eastAsia="KaiTi" w:cs="Times New Roman" w:hint="default"/>
          <w:b w:val="0"/>
          <w:bCs w:val="0"/>
          <w:color w:val="000000"/>
          <w:sz w:val="24"/>
          <w:szCs w:val="21"/>
          <w:vertAlign w:val="baseline"/>
          <w:lang w:val="en-US" w:eastAsia="zh-CN" w:bidi="ar"/>
        </w:rPr>
        <w:t>进行测试评价</w:t>
      </w:r>
      <w:r>
        <w:rPr>
          <w:rFonts w:eastAsia="KaiTi" w:cs="Times New Roman" w:hint="eastAsia"/>
          <w:b w:val="0"/>
          <w:bCs w:val="0"/>
          <w:color w:val="000000"/>
          <w:sz w:val="24"/>
          <w:szCs w:val="21"/>
          <w:vertAlign w:val="baseline"/>
          <w:lang w:val="en-US" w:eastAsia="zh-CN" w:bidi="ar"/>
        </w:rPr>
        <w:t>；通过</w:t>
      </w:r>
      <w:bookmarkStart w:id="144" w:name="OLE_LINK105"/>
      <w:r>
        <w:rPr>
          <w:rFonts w:eastAsia="KaiTi" w:cs="Times New Roman" w:hint="eastAsia"/>
          <w:b w:val="0"/>
          <w:bCs w:val="0"/>
          <w:color w:val="000000"/>
          <w:sz w:val="24"/>
          <w:szCs w:val="21"/>
          <w:vertAlign w:val="baseline"/>
          <w:lang w:val="en-US" w:eastAsia="zh-CN" w:bidi="ar"/>
        </w:rPr>
        <w:t>电化学原位拉曼光谱和原位红外光谱</w:t>
      </w:r>
      <w:bookmarkEnd w:id="144"/>
      <w:r>
        <w:rPr>
          <w:rFonts w:eastAsia="KaiTi" w:cs="Times New Roman" w:hint="eastAsia"/>
          <w:b w:val="0"/>
          <w:bCs w:val="0"/>
          <w:color w:val="000000"/>
          <w:sz w:val="24"/>
          <w:szCs w:val="21"/>
          <w:vertAlign w:val="baseline"/>
          <w:lang w:val="en-US" w:eastAsia="zh-CN" w:bidi="ar"/>
        </w:rPr>
        <w:t>探究性能最佳电催化膜在电催化体系中关键中间体物种的形成及演变过程，并结合XPS、XRD、XAS表征评价膜电催化稳定性；探明膜材料“合成-结构-性能”之间的关系，明确提高选择性吸附和电催化还原性能的电催化膜组成、微观结构调控策略。</w:t>
      </w:r>
    </w:p>
    <w:p w14:paraId="7AD5B288">
      <w:pPr>
        <w:numPr>
          <w:ilvl w:val="0"/>
          <w:numId w:val="6"/>
        </w:numPr>
        <w:spacing w:line="360" w:lineRule="auto"/>
        <w:ind w:left="0" w:firstLine="480" w:leftChars="0" w:firstLineChars="200"/>
        <w:rPr>
          <w:rFonts w:eastAsia="KaiTi" w:cs="Times New Roman" w:hint="eastAsia"/>
          <w:b/>
          <w:bCs/>
          <w:color w:val="000000"/>
          <w:sz w:val="24"/>
          <w:szCs w:val="21"/>
          <w:vertAlign w:val="baseline"/>
          <w:lang w:val="en-US" w:eastAsia="zh-CN" w:bidi="ar"/>
        </w:rPr>
      </w:pPr>
      <w:r>
        <w:rPr>
          <w:rFonts w:eastAsia="KaiTi" w:cs="Times New Roman" w:hint="eastAsia"/>
          <w:b/>
          <w:bCs/>
          <w:color w:val="000000"/>
          <w:sz w:val="24"/>
          <w:szCs w:val="21"/>
          <w:vertAlign w:val="baseline"/>
          <w:lang w:val="en-US" w:eastAsia="zh-CN" w:bidi="ar"/>
        </w:rPr>
        <w:t>MXene/M-Zr-MOF选择性吸附-电催化还原重金属机制解析</w:t>
      </w:r>
    </w:p>
    <w:p w14:paraId="37F0B5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560" w:leftChars="200"/>
        <w:textAlignment w:val="auto"/>
        <w:rPr>
          <w:rFonts w:eastAsia="KaiTi" w:cs="Times New Roman" w:hint="eastAsia"/>
          <w:b w:val="0"/>
          <w:bCs w:val="0"/>
          <w:color w:val="000000"/>
          <w:sz w:val="24"/>
          <w:szCs w:val="21"/>
          <w:vertAlign w:val="baseline"/>
          <w:lang w:val="en-US" w:eastAsia="zh-CN" w:bidi="ar"/>
        </w:rPr>
      </w:pPr>
      <w:bookmarkStart w:id="145" w:name="OLE_LINK102"/>
      <w:r>
        <w:rPr>
          <w:rFonts w:eastAsia="KaiTi" w:cs="Times New Roman" w:hint="eastAsia"/>
          <w:b w:val="0"/>
          <w:bCs w:val="0"/>
          <w:color w:val="000000"/>
          <w:sz w:val="24"/>
          <w:szCs w:val="21"/>
          <w:vertAlign w:val="baseline"/>
          <w:lang w:val="en-US" w:eastAsia="zh-CN" w:bidi="ar"/>
        </w:rPr>
        <w:t>1）MXene/M-Zr-MOF</w:t>
      </w:r>
      <w:bookmarkEnd w:id="145"/>
      <w:r>
        <w:rPr>
          <w:rFonts w:eastAsia="KaiTi" w:cs="Times New Roman" w:hint="eastAsia"/>
          <w:b w:val="0"/>
          <w:bCs w:val="0"/>
          <w:color w:val="000000"/>
          <w:sz w:val="24"/>
          <w:szCs w:val="21"/>
          <w:vertAlign w:val="baseline"/>
          <w:lang w:val="en-US" w:eastAsia="zh-CN" w:bidi="ar"/>
        </w:rPr>
        <w:t>选择性吸附能力研究</w:t>
      </w:r>
    </w:p>
    <w:p w14:paraId="73066E9F">
      <w:pPr>
        <w:spacing w:line="360" w:lineRule="auto"/>
        <w:ind w:firstLine="480" w:firstLineChars="200"/>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研究MXene/M-Zr-MOF对重金属离子和重金属有机络合物（Ag</w:t>
      </w:r>
      <w:r>
        <w:rPr>
          <w:rFonts w:eastAsia="KaiTi" w:cs="Times New Roman" w:hint="eastAsia"/>
          <w:b w:val="0"/>
          <w:bCs w:val="0"/>
          <w:color w:val="000000"/>
          <w:sz w:val="24"/>
          <w:szCs w:val="21"/>
          <w:vertAlign w:val="superscript"/>
          <w:lang w:val="en-US" w:eastAsia="zh-CN" w:bidi="ar"/>
        </w:rPr>
        <w:t>+</w:t>
      </w:r>
      <w:r>
        <w:rPr>
          <w:rFonts w:eastAsia="KaiTi" w:cs="Times New Roman" w:hint="eastAsia"/>
          <w:b w:val="0"/>
          <w:bCs w:val="0"/>
          <w:color w:val="000000"/>
          <w:sz w:val="24"/>
          <w:szCs w:val="21"/>
          <w:vertAlign w:val="baseline"/>
          <w:lang w:val="en-US" w:eastAsia="zh-CN" w:bidi="ar"/>
        </w:rPr>
        <w:t>、Pb</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、Cd</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、Cr (VI)、Cu</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、Hg</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、Cu(II)-EDTA、乙二胺四乙酸铅（II）、乙二胺四乙酸镍（II）等）、水体背景离子和有机物（如Ca</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、Mg</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、SO</w:t>
      </w:r>
      <w:r>
        <w:rPr>
          <w:rFonts w:eastAsia="KaiTi" w:cs="Times New Roman" w:hint="eastAsia"/>
          <w:b w:val="0"/>
          <w:bCs w:val="0"/>
          <w:color w:val="000000"/>
          <w:sz w:val="24"/>
          <w:szCs w:val="21"/>
          <w:vertAlign w:val="subscript"/>
          <w:lang w:val="en-US" w:eastAsia="zh-CN" w:bidi="ar"/>
        </w:rPr>
        <w:t>4</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、CO</w:t>
      </w:r>
      <w:r>
        <w:rPr>
          <w:rFonts w:eastAsia="KaiTi" w:cs="Times New Roman" w:hint="eastAsia"/>
          <w:b w:val="0"/>
          <w:bCs w:val="0"/>
          <w:color w:val="000000"/>
          <w:sz w:val="24"/>
          <w:szCs w:val="21"/>
          <w:vertAlign w:val="subscript"/>
          <w:lang w:val="en-US" w:eastAsia="zh-CN" w:bidi="ar"/>
        </w:rPr>
        <w:t>3</w:t>
      </w:r>
      <w:r>
        <w:rPr>
          <w:rFonts w:eastAsia="KaiTi" w:cs="Times New Roman" w:hint="eastAsia"/>
          <w:b w:val="0"/>
          <w:bCs w:val="0"/>
          <w:color w:val="000000"/>
          <w:sz w:val="24"/>
          <w:szCs w:val="21"/>
          <w:vertAlign w:val="superscript"/>
          <w:lang w:val="en-US" w:eastAsia="zh-CN" w:bidi="ar"/>
        </w:rPr>
        <w:t>2-</w:t>
      </w:r>
      <w:r>
        <w:rPr>
          <w:rFonts w:eastAsia="KaiTi" w:cs="Times New Roman" w:hint="eastAsia"/>
          <w:b w:val="0"/>
          <w:bCs w:val="0"/>
          <w:color w:val="000000"/>
          <w:sz w:val="24"/>
          <w:szCs w:val="21"/>
          <w:vertAlign w:val="baseline"/>
          <w:lang w:val="en-US" w:eastAsia="zh-CN" w:bidi="ar"/>
        </w:rPr>
        <w:t>、腐殖酸等）的吸附热力学和动力学，通过静态等温吸附实验明确MXene/M-Zr-MOF对重金属和其他物质的最大吸附容量和吸附类型；利用准一级动力学模型和准二级动力学模型拟合每种物质的动力学吸附曲线，明确MXene/M-Zr-MOF对不同重金属、水体背景物质的吸附平衡时间和控制步骤；另外，探究有无外加电场条件下，</w:t>
      </w:r>
      <w:bookmarkStart w:id="146" w:name="OLE_LINK112"/>
      <w:r>
        <w:rPr>
          <w:rFonts w:eastAsia="KaiTi" w:cs="Times New Roman" w:hint="eastAsia"/>
          <w:b w:val="0"/>
          <w:bCs w:val="0"/>
          <w:color w:val="000000"/>
          <w:sz w:val="24"/>
          <w:szCs w:val="21"/>
          <w:vertAlign w:val="baseline"/>
          <w:lang w:val="en-US" w:eastAsia="zh-CN" w:bidi="ar"/>
        </w:rPr>
        <w:t>MXene/M-Zr-MOF</w:t>
      </w:r>
      <w:bookmarkEnd w:id="146"/>
      <w:r>
        <w:rPr>
          <w:rFonts w:eastAsia="KaiTi" w:cs="Times New Roman" w:hint="eastAsia"/>
          <w:b w:val="0"/>
          <w:bCs w:val="0"/>
          <w:color w:val="000000"/>
          <w:sz w:val="24"/>
          <w:szCs w:val="21"/>
          <w:vertAlign w:val="baseline"/>
          <w:lang w:val="en-US" w:eastAsia="zh-CN" w:bidi="ar"/>
        </w:rPr>
        <w:t>对上述物质的吸附性能差异，探明外加电场对其吸附选择性和效能的影响；计算MXene/M-Zr-MOF对某一重金属和其他吸附物的选择性系数，评价其选择性能力。</w:t>
      </w:r>
    </w:p>
    <w:p w14:paraId="0AEF7A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560" w:leftChars="200"/>
        <w:textAlignment w:val="auto"/>
        <w:rPr>
          <w:rFonts w:eastAsia="KaiTi" w:cs="Times New Roman" w:hint="eastAsia"/>
          <w:b w:val="0"/>
          <w:bCs w:val="0"/>
          <w:color w:val="000000"/>
          <w:sz w:val="24"/>
          <w:szCs w:val="21"/>
          <w:vertAlign w:val="baseline"/>
          <w:lang w:val="en-US" w:eastAsia="zh-CN" w:bidi="ar"/>
        </w:rPr>
      </w:pPr>
      <w:bookmarkStart w:id="147" w:name="OLE_LINK98"/>
      <w:r>
        <w:rPr>
          <w:rFonts w:eastAsia="KaiTi" w:cs="Times New Roman" w:hint="eastAsia"/>
          <w:b w:val="0"/>
          <w:bCs w:val="0"/>
          <w:color w:val="000000"/>
          <w:sz w:val="24"/>
          <w:szCs w:val="21"/>
          <w:vertAlign w:val="baseline"/>
          <w:lang w:val="en-US" w:eastAsia="zh-CN" w:bidi="ar"/>
        </w:rPr>
        <w:t>2）MXene/M-Zr-MOF</w:t>
      </w:r>
      <w:bookmarkEnd w:id="147"/>
      <w:r>
        <w:rPr>
          <w:rFonts w:eastAsia="KaiTi" w:cs="Times New Roman" w:hint="eastAsia"/>
          <w:b w:val="0"/>
          <w:bCs w:val="0"/>
          <w:color w:val="000000"/>
          <w:sz w:val="24"/>
          <w:szCs w:val="21"/>
          <w:vertAlign w:val="baseline"/>
          <w:lang w:val="en-US" w:eastAsia="zh-CN" w:bidi="ar"/>
        </w:rPr>
        <w:t>选择性吸附机理研究</w:t>
      </w:r>
    </w:p>
    <w:p w14:paraId="133735BF">
      <w:pPr>
        <w:spacing w:line="360" w:lineRule="auto"/>
        <w:ind w:firstLine="480" w:firstLineChars="200"/>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利用密度泛函理论（DFT）研究</w:t>
      </w:r>
      <w:bookmarkStart w:id="148" w:name="OLE_LINK103"/>
      <w:r>
        <w:rPr>
          <w:rFonts w:eastAsia="KaiTi" w:cs="Times New Roman" w:hint="eastAsia"/>
          <w:b w:val="0"/>
          <w:bCs w:val="0"/>
          <w:color w:val="000000"/>
          <w:sz w:val="24"/>
          <w:szCs w:val="21"/>
          <w:vertAlign w:val="baseline"/>
          <w:lang w:val="en-US" w:eastAsia="zh-CN" w:bidi="ar"/>
        </w:rPr>
        <w:t>MXene/M-Zr-MOF</w:t>
      </w:r>
      <w:bookmarkEnd w:id="148"/>
      <w:r>
        <w:rPr>
          <w:rFonts w:eastAsia="KaiTi" w:cs="Times New Roman" w:hint="eastAsia"/>
          <w:b w:val="0"/>
          <w:bCs w:val="0"/>
          <w:color w:val="000000"/>
          <w:sz w:val="24"/>
          <w:szCs w:val="21"/>
          <w:vertAlign w:val="baseline"/>
          <w:lang w:val="en-US" w:eastAsia="zh-CN" w:bidi="ar"/>
        </w:rPr>
        <w:t>上吸附位点与金属离子和重金属有机络合物的结合能和键长两个参数来量化其对结合位点的亲和力；进一步结合XRD、FITR、XPS、SEM-EDS等分析MXene/M-Zr-MOF的形貌结构和主要官能团和元素结合能在重金属吸附前后的结构特征变化，揭示重金属与吸附位点的相互作用原理（配位、离子交换、酸碱、氢键）及吸附过程的微观驱动力（静电），进而阐明MXene/M-Zr-MOF的选择性吸附机理。</w:t>
      </w:r>
    </w:p>
    <w:p w14:paraId="29AA52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560" w:leftChars="200"/>
        <w:textAlignment w:val="auto"/>
        <w:rPr>
          <w:rFonts w:eastAsia="KaiTi" w:cs="Times New Roman" w:hint="eastAsia"/>
          <w:b w:val="0"/>
          <w:bCs w:val="0"/>
          <w:color w:val="000000"/>
          <w:sz w:val="24"/>
          <w:szCs w:val="21"/>
          <w:vertAlign w:val="baseline"/>
          <w:lang w:val="en-US" w:eastAsia="zh-CN" w:bidi="ar"/>
        </w:rPr>
      </w:pPr>
      <w:bookmarkStart w:id="149" w:name="OLE_LINK104"/>
      <w:bookmarkStart w:id="150" w:name="OLE_LINK99"/>
      <w:r>
        <w:rPr>
          <w:rFonts w:eastAsia="KaiTi" w:cs="Times New Roman" w:hint="eastAsia"/>
          <w:b w:val="0"/>
          <w:bCs w:val="0"/>
          <w:color w:val="000000"/>
          <w:sz w:val="24"/>
          <w:szCs w:val="21"/>
          <w:vertAlign w:val="baseline"/>
          <w:lang w:val="en-US" w:eastAsia="zh-CN" w:bidi="ar"/>
        </w:rPr>
        <w:t>3）MXene/M-Zr-MOF</w:t>
      </w:r>
      <w:bookmarkEnd w:id="149"/>
      <w:r>
        <w:rPr>
          <w:rFonts w:eastAsia="KaiTi" w:cs="Times New Roman" w:hint="eastAsia"/>
          <w:b w:val="0"/>
          <w:bCs w:val="0"/>
          <w:color w:val="000000"/>
          <w:sz w:val="24"/>
          <w:szCs w:val="21"/>
          <w:vertAlign w:val="baseline"/>
          <w:lang w:val="en-US" w:eastAsia="zh-CN" w:bidi="ar"/>
        </w:rPr>
        <w:t>电催化还原重金属效能和机理研究</w:t>
      </w:r>
      <w:bookmarkEnd w:id="150"/>
    </w:p>
    <w:p w14:paraId="5833EA38">
      <w:pPr>
        <w:spacing w:line="360" w:lineRule="auto"/>
        <w:ind w:firstLine="480" w:firstLineChars="200"/>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搭建电催化膜过滤系统，研究由石墨电极和MXene/M-Zr-MOF电催化膜分别为阳极和阴极构筑的电化学体系吸附-电催化还原不同重金属效能；</w:t>
      </w:r>
      <w:bookmarkStart w:id="151" w:name="OLE_LINK106"/>
      <w:r>
        <w:rPr>
          <w:rFonts w:eastAsia="KaiTi" w:cs="Times New Roman" w:hint="eastAsia"/>
          <w:b w:val="0"/>
          <w:bCs w:val="0"/>
          <w:color w:val="000000"/>
          <w:sz w:val="24"/>
          <w:szCs w:val="21"/>
          <w:vertAlign w:val="baseline"/>
          <w:lang w:val="en-US" w:eastAsia="zh-CN" w:bidi="ar"/>
        </w:rPr>
        <w:t>通过化学淬灭实验（叔丁醇、糠醇、DMPO、苯醌</w:t>
      </w:r>
      <w:bookmarkEnd w:id="151"/>
      <w:r>
        <w:rPr>
          <w:rFonts w:eastAsia="KaiTi" w:cs="Times New Roman" w:hint="eastAsia"/>
          <w:b w:val="0"/>
          <w:bCs w:val="0"/>
          <w:color w:val="000000"/>
          <w:sz w:val="24"/>
          <w:szCs w:val="21"/>
          <w:vertAlign w:val="baseline"/>
          <w:lang w:val="en-US" w:eastAsia="zh-CN" w:bidi="ar"/>
        </w:rPr>
        <w:t>），利用LC-MS测定分析反应中间产物类型及浓度，明确体系内不同活性物种对污染物的作用机理；结合ATR-FITR、XPS、原位电化学测试、电化学原位拉曼光谱、同位素效应等探究MXene/M-Zr-MOF表面各催化位点在还原重金属前后的结构特征变化，探明重金属离子和重金属有机络合物电催化还原机制；基于DFT构建模型，确定反应物、中间产物和最终产物在电催化膜表面的吸附位点和吸附能，判别各催化位点的活性并解释其催化作用。</w:t>
      </w:r>
    </w:p>
    <w:p w14:paraId="2CCC8A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560" w:leftChars="200"/>
        <w:textAlignment w:val="auto"/>
        <w:rPr>
          <w:rFonts w:eastAsia="KaiTi" w:cs="Times New Roman" w:hint="eastAsia"/>
          <w:b w:val="0"/>
          <w:bCs w:val="0"/>
          <w:color w:val="000000"/>
          <w:sz w:val="24"/>
          <w:szCs w:val="21"/>
          <w:vertAlign w:val="baseline"/>
          <w:lang w:val="en-US" w:eastAsia="zh-CN" w:bidi="ar"/>
        </w:rPr>
      </w:pPr>
      <w:bookmarkStart w:id="152" w:name="OLE_LINK108"/>
      <w:r>
        <w:rPr>
          <w:rFonts w:eastAsia="KaiTi" w:cs="Times New Roman" w:hint="eastAsia"/>
          <w:b w:val="0"/>
          <w:bCs w:val="0"/>
          <w:color w:val="000000"/>
          <w:sz w:val="24"/>
          <w:szCs w:val="21"/>
          <w:vertAlign w:val="baseline"/>
          <w:lang w:val="en-US" w:eastAsia="zh-CN" w:bidi="ar"/>
        </w:rPr>
        <w:t>4）微观结构与吸附-催化性能间的构效关系研究</w:t>
      </w:r>
    </w:p>
    <w:bookmarkEnd w:id="152"/>
    <w:p w14:paraId="32231F31">
      <w:p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在明确了</w:t>
      </w:r>
      <w:bookmarkStart w:id="153" w:name="OLE_LINK107"/>
      <w:r>
        <w:rPr>
          <w:rFonts w:eastAsia="KaiTi" w:cs="Times New Roman" w:hint="eastAsia"/>
          <w:b w:val="0"/>
          <w:bCs w:val="0"/>
          <w:color w:val="000000"/>
          <w:sz w:val="24"/>
          <w:szCs w:val="21"/>
          <w:vertAlign w:val="baseline"/>
          <w:lang w:val="en-US" w:eastAsia="zh-CN" w:bidi="ar"/>
        </w:rPr>
        <w:t>MXene/M-Zr-MOF</w:t>
      </w:r>
      <w:bookmarkEnd w:id="153"/>
      <w:r>
        <w:rPr>
          <w:rFonts w:eastAsia="KaiTi" w:cs="Times New Roman" w:hint="eastAsia"/>
          <w:b w:val="0"/>
          <w:bCs w:val="0"/>
          <w:color w:val="000000"/>
          <w:sz w:val="24"/>
          <w:szCs w:val="21"/>
          <w:vertAlign w:val="baseline"/>
          <w:lang w:val="en-US" w:eastAsia="zh-CN" w:bidi="ar"/>
        </w:rPr>
        <w:t>选择性吸附-电催化性能和机理的基础上，分析</w:t>
      </w:r>
      <w:bookmarkStart w:id="154" w:name="OLE_LINK30"/>
      <w:r>
        <w:rPr>
          <w:rFonts w:eastAsia="KaiTi" w:cs="Times New Roman" w:hint="eastAsia"/>
          <w:b w:val="0"/>
          <w:bCs w:val="0"/>
          <w:color w:val="000000"/>
          <w:sz w:val="24"/>
          <w:szCs w:val="21"/>
          <w:vertAlign w:val="baseline"/>
          <w:lang w:val="en-US" w:eastAsia="zh-CN" w:bidi="ar"/>
        </w:rPr>
        <w:t>MXene/M-Zr-MOF</w:t>
      </w:r>
      <w:bookmarkEnd w:id="154"/>
      <w:r>
        <w:rPr>
          <w:rFonts w:eastAsia="KaiTi" w:cs="Times New Roman" w:hint="eastAsia"/>
          <w:b w:val="0"/>
          <w:bCs w:val="0"/>
          <w:color w:val="000000"/>
          <w:sz w:val="24"/>
          <w:szCs w:val="21"/>
          <w:vertAlign w:val="baseline"/>
          <w:lang w:val="en-US" w:eastAsia="zh-CN" w:bidi="ar"/>
        </w:rPr>
        <w:t>组分和微观结构对选择性吸附和电催化还原重金属性能的影响规律，明确MXene/M-Zr-MOF微观结构与吸附-催化性能间的构效关系研究。</w:t>
      </w:r>
    </w:p>
    <w:p w14:paraId="659C1D89">
      <w:pPr>
        <w:numPr>
          <w:ilvl w:val="0"/>
          <w:numId w:val="6"/>
        </w:numPr>
        <w:spacing w:line="360" w:lineRule="auto"/>
        <w:ind w:left="0" w:firstLine="480" w:leftChars="0" w:firstLineChars="200"/>
        <w:rPr>
          <w:rFonts w:eastAsia="KaiTi" w:cs="Times New Roman" w:hint="eastAsia"/>
          <w:b/>
          <w:bCs/>
          <w:color w:val="000000"/>
          <w:sz w:val="24"/>
          <w:szCs w:val="21"/>
          <w:vertAlign w:val="baseline"/>
          <w:lang w:val="en-US" w:eastAsia="zh-CN" w:bidi="ar"/>
        </w:rPr>
      </w:pPr>
      <w:r>
        <w:rPr>
          <w:rFonts w:eastAsia="KaiTi" w:cs="Times New Roman" w:hint="eastAsia"/>
          <w:b/>
          <w:bCs/>
          <w:color w:val="000000"/>
          <w:sz w:val="24"/>
          <w:szCs w:val="21"/>
          <w:vertAlign w:val="baseline"/>
          <w:lang w:val="en-US" w:eastAsia="zh-CN" w:bidi="ar"/>
        </w:rPr>
        <w:t>电化学过程物态转变过程、微界面电子转移规律及热/动力学特性</w:t>
      </w:r>
    </w:p>
    <w:p w14:paraId="173B4E2C">
      <w:pPr>
        <w:spacing w:line="360" w:lineRule="auto"/>
        <w:ind w:firstLine="480" w:firstLineChars="200"/>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通过化学淬灭、电子顺磁共振能谱图、原子吸收色谱等技术定性定量跟踪电化学过程中产生的活性物种类型（H</w:t>
      </w:r>
      <w:r>
        <w:rPr>
          <w:rFonts w:eastAsia="KaiTi" w:cs="Times New Roman" w:hint="eastAsia"/>
          <w:b w:val="0"/>
          <w:bCs w:val="0"/>
          <w:color w:val="000000"/>
          <w:sz w:val="24"/>
          <w:szCs w:val="21"/>
          <w:vertAlign w:val="subscript"/>
          <w:lang w:val="en-US" w:eastAsia="zh-CN" w:bidi="ar"/>
        </w:rPr>
        <w:t>2</w:t>
      </w:r>
      <w:r>
        <w:rPr>
          <w:rFonts w:eastAsia="KaiTi" w:cs="Times New Roman" w:hint="eastAsia"/>
          <w:b w:val="0"/>
          <w:bCs w:val="0"/>
          <w:color w:val="000000"/>
          <w:sz w:val="24"/>
          <w:szCs w:val="21"/>
          <w:vertAlign w:val="baseline"/>
          <w:lang w:val="en-US" w:eastAsia="zh-CN" w:bidi="ar"/>
        </w:rPr>
        <w:t>O</w:t>
      </w:r>
      <w:r>
        <w:rPr>
          <w:rFonts w:eastAsia="KaiTi" w:cs="Times New Roman" w:hint="eastAsia"/>
          <w:b w:val="0"/>
          <w:bCs w:val="0"/>
          <w:color w:val="000000"/>
          <w:sz w:val="24"/>
          <w:szCs w:val="21"/>
          <w:vertAlign w:val="subscript"/>
          <w:lang w:val="en-US" w:eastAsia="zh-CN" w:bidi="ar"/>
        </w:rPr>
        <w:t>2</w:t>
      </w:r>
      <w:r>
        <w:rPr>
          <w:rFonts w:eastAsia="KaiTi" w:cs="Times New Roman" w:hint="eastAsia"/>
          <w:b w:val="0"/>
          <w:bCs w:val="0"/>
          <w:color w:val="000000"/>
          <w:sz w:val="24"/>
          <w:szCs w:val="21"/>
          <w:vertAlign w:val="baseline"/>
          <w:lang w:val="en-US" w:eastAsia="zh-CN" w:bidi="ar"/>
        </w:rPr>
        <w:t>、H</w:t>
      </w:r>
      <w:r>
        <w:rPr>
          <w:rFonts w:ascii="Times New Roman" w:eastAsia="KaiTi" w:hAnsi="Times New Roman" w:cs="Times New Roman" w:hint="default"/>
          <w:b w:val="0"/>
          <w:bCs w:val="0"/>
          <w:color w:val="000000"/>
          <w:sz w:val="24"/>
          <w:szCs w:val="21"/>
          <w:vertAlign w:val="baseline"/>
          <w:lang w:val="en-US" w:eastAsia="zh-CN" w:bidi="ar"/>
        </w:rPr>
        <w:t>*</w:t>
      </w:r>
      <w:r>
        <w:rPr>
          <w:rFonts w:eastAsia="KaiTi" w:cs="Times New Roman" w:hint="eastAsia"/>
          <w:b w:val="0"/>
          <w:bCs w:val="0"/>
          <w:color w:val="000000"/>
          <w:sz w:val="24"/>
          <w:szCs w:val="21"/>
          <w:vertAlign w:val="baseline"/>
          <w:lang w:val="en-US" w:eastAsia="zh-CN" w:bidi="ar"/>
        </w:rPr>
        <w:t>、</w:t>
      </w:r>
      <w:r>
        <w:rPr>
          <w:rFonts w:eastAsia="KaiTi" w:cs="Times New Roman" w:hint="default"/>
          <w:b w:val="0"/>
          <w:bCs w:val="0"/>
          <w:color w:val="000000"/>
          <w:sz w:val="24"/>
          <w:szCs w:val="21"/>
          <w:vertAlign w:val="baseline"/>
          <w:lang w:val="en-US" w:eastAsia="zh-CN" w:bidi="ar"/>
        </w:rPr>
        <w:t>·</w:t>
      </w:r>
      <w:r>
        <w:rPr>
          <w:rFonts w:eastAsia="KaiTi" w:cs="Times New Roman" w:hint="eastAsia"/>
          <w:b w:val="0"/>
          <w:bCs w:val="0"/>
          <w:color w:val="000000"/>
          <w:sz w:val="24"/>
          <w:szCs w:val="21"/>
          <w:vertAlign w:val="baseline"/>
          <w:lang w:val="en-US" w:eastAsia="zh-CN" w:bidi="ar"/>
        </w:rPr>
        <w:t>OH），通过计算不同淬灭剂条件下体系内的重金属有机络合物降解率和降解速率常数，分析各活性物种对其降解贡献度，明确体系中主要活性物种类型；通过电化学反应前后电催化膜的表面特性、中间产物和活性物种，推导MXene/M-Zr-MOF电催化还原重金属的微界面电子转移规律；通过DFT计算探寻双金属氧化-还原价态循环过程和协同加速界面电子转移机制并确定整个反应过程的能量路径图；确定电催化过程的热/动力学方程，从热动力学角度阐释MXene/</w:t>
      </w:r>
      <w:bookmarkStart w:id="155" w:name="OLE_LINK8"/>
      <w:r>
        <w:rPr>
          <w:rFonts w:eastAsia="KaiTi" w:cs="Times New Roman" w:hint="eastAsia"/>
          <w:b w:val="0"/>
          <w:bCs w:val="0"/>
          <w:color w:val="000000"/>
          <w:sz w:val="24"/>
          <w:szCs w:val="21"/>
          <w:vertAlign w:val="baseline"/>
          <w:lang w:val="en-US" w:eastAsia="zh-CN" w:bidi="ar"/>
        </w:rPr>
        <w:t>M-Zr-MOF</w:t>
      </w:r>
      <w:bookmarkEnd w:id="155"/>
      <w:r>
        <w:rPr>
          <w:rFonts w:eastAsia="KaiTi" w:cs="Times New Roman" w:hint="eastAsia"/>
          <w:b w:val="0"/>
          <w:bCs w:val="0"/>
          <w:color w:val="000000"/>
          <w:sz w:val="24"/>
          <w:szCs w:val="21"/>
          <w:vertAlign w:val="baseline"/>
          <w:lang w:val="en-US" w:eastAsia="zh-CN" w:bidi="ar"/>
        </w:rPr>
        <w:t>电催化还原重金属的内在能量作用机制。</w:t>
      </w:r>
    </w:p>
    <w:p w14:paraId="35A7009F">
      <w:pPr>
        <w:numPr>
          <w:ilvl w:val="0"/>
          <w:numId w:val="6"/>
        </w:numPr>
        <w:spacing w:line="360" w:lineRule="auto"/>
        <w:ind w:left="0" w:firstLine="480" w:leftChars="0" w:firstLineChars="200"/>
        <w:rPr>
          <w:rFonts w:eastAsia="KaiTi" w:cs="Times New Roman" w:hint="eastAsia"/>
          <w:b/>
          <w:bCs/>
          <w:color w:val="000000"/>
          <w:sz w:val="24"/>
          <w:szCs w:val="21"/>
          <w:vertAlign w:val="baseline"/>
          <w:lang w:val="en-US" w:eastAsia="zh-CN" w:bidi="ar"/>
        </w:rPr>
      </w:pPr>
      <w:bookmarkStart w:id="156" w:name="OLE_LINK22"/>
      <w:bookmarkStart w:id="157" w:name="OLE_LINK10"/>
      <w:r>
        <w:rPr>
          <w:rFonts w:eastAsia="KaiTi" w:cs="Times New Roman" w:hint="eastAsia"/>
          <w:b/>
          <w:bCs/>
          <w:color w:val="000000"/>
          <w:sz w:val="24"/>
          <w:szCs w:val="21"/>
          <w:vertAlign w:val="baseline"/>
          <w:lang w:val="en-US" w:eastAsia="zh-CN" w:bidi="ar"/>
        </w:rPr>
        <w:t>吸附-电催化膜过滤系统去除污染物效能、影响因素及相互作用机制</w:t>
      </w:r>
      <w:bookmarkEnd w:id="156"/>
    </w:p>
    <w:bookmarkEnd w:id="157"/>
    <w:p w14:paraId="07B44A16">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560" w:leftChars="200"/>
        <w:textAlignment w:val="auto"/>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工艺去除污染物效能和影响因素研究</w:t>
      </w:r>
    </w:p>
    <w:p w14:paraId="421BFCEC">
      <w:pPr>
        <w:spacing w:line="360" w:lineRule="auto"/>
        <w:ind w:firstLine="480" w:firstLineChars="200"/>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考察复合污染环境条件下（如pH、无机离子、溶解性天然有机物等）膜过滤系统产生的活性物种、浓度及其选择性吸附-还原重金属效能，研究外加电压、膜过滤系统压力和流速、污染物初始浓度等工艺参数对污染物去除性能的影响规律，明确膜过滤系统去除污染物效能、影响因素和最佳工艺参数；探究反应过程通过电位调控逐级还原为不同重金属单质以实现分步资源化回收的潜能。</w:t>
      </w:r>
    </w:p>
    <w:p w14:paraId="11142D43">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560" w:leftChars="200"/>
        <w:textAlignment w:val="auto"/>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电催化膜稳定性、污染机制与再生策略研究</w:t>
      </w:r>
    </w:p>
    <w:p w14:paraId="7E43F3B9">
      <w:p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考察不同膜工艺操作条件下，水质条件和工艺参数对电催化膜通量变化的影响，分析催化膜的微观结构结构（形貌、片层间距、M-Zr-MOF空间分布和负载量等）与膜通量间的关系，明确运行过程中电催化膜的抗污染特性；探究催化膜的清洗方式（物理或化学）及其对膜电催化活性和稳定性的影响，明确催化膜的清洗方式和再生策略；选取实际废水作为处理对象，采用气、液相色谱、ICP-MS、溶解氧仪、COD等分析水中重金属离子和重金属有机络合物种类、浓度、共存杂质等，明确水处理需求；依据具体水质指标处理需求，反馈调节电催化膜过滤系统工艺参数和预/深度处理策略，实现高效高选择性回收重金属目标；搭建连续流电催化膜过滤装置开展长周期连续性实验，考察最佳工艺条件下膜过滤系统实际水处理效能稳定性，分析运行过程中催化膜表面微观结构、吸附和催化位点、金属离子溶出、重金属还原效率以及膜通量的变化，揭示催化膜的界面催化机制和长期稳定性。以工程化应用为目标，综合污染物去除效能、重金属资源回收、能量消耗，建立高效稳定、经济的吸附-电催化膜过滤系统并提出重要参数和运行指导。</w:t>
      </w:r>
    </w:p>
    <w:p w14:paraId="1C62AA25">
      <w:pPr>
        <w:numPr>
          <w:ilvl w:val="0"/>
          <w:numId w:val="0"/>
        </w:numPr>
        <w:spacing w:line="360" w:lineRule="auto"/>
        <w:ind w:firstLine="480" w:firstLineChars="200"/>
        <w:rPr>
          <w:rFonts w:eastAsia="KaiTi" w:hint="eastAsia"/>
          <w:b/>
          <w:bCs/>
          <w:color w:val="000000"/>
          <w:sz w:val="24"/>
          <w:szCs w:val="21"/>
          <w:lang w:val="en-US" w:eastAsia="zh-CN" w:bidi="ar"/>
        </w:rPr>
      </w:pPr>
      <w:r>
        <w:rPr>
          <w:rFonts w:eastAsia="KaiTi" w:hint="eastAsia"/>
          <w:b/>
          <w:bCs/>
          <w:color w:val="000000"/>
          <w:sz w:val="24"/>
          <w:szCs w:val="21"/>
          <w:lang w:val="en-US" w:eastAsia="zh-CN" w:bidi="ar"/>
        </w:rPr>
        <w:t>1.2技术路线</w:t>
      </w:r>
    </w:p>
    <w:p w14:paraId="681F97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KaiTi" w:cs="Times New Roman" w:hint="eastAsia"/>
          <w:b w:val="0"/>
          <w:bCs w:val="0"/>
          <w:color w:val="auto"/>
          <w:sz w:val="24"/>
          <w:szCs w:val="21"/>
          <w:highlight w:val="none"/>
          <w:vertAlign w:val="baseline"/>
          <w:lang w:val="en-US" w:eastAsia="zh-CN" w:bidi="ar"/>
        </w:rPr>
      </w:pPr>
      <w:r>
        <w:rPr>
          <w:rFonts w:eastAsia="KaiTi" w:cs="Times New Roman" w:hint="eastAsia"/>
          <w:b w:val="0"/>
          <w:bCs w:val="0"/>
          <w:color w:val="auto"/>
          <w:sz w:val="24"/>
          <w:szCs w:val="21"/>
          <w:highlight w:val="none"/>
          <w:vertAlign w:val="baseline"/>
          <w:lang w:val="en-US" w:eastAsia="zh-CN" w:bidi="ar"/>
        </w:rPr>
        <w:t>本项目的技术路线如下图所示：</w:t>
      </w:r>
    </w:p>
    <w:p w14:paraId="364893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drawing>
          <wp:inline distT="0" distB="0" distL="114300" distR="114300">
            <wp:extent cx="5755640" cy="5960745"/>
            <wp:effectExtent l="0" t="0" r="10160" b="8255"/>
            <wp:docPr id="1" name="图片 1" descr="图片_2025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33209" name="图片 1" descr="图片_20250325"/>
                    <pic:cNvPicPr>
                      <a:picLocks noChangeAspect="1"/>
                    </pic:cNvPicPr>
                  </pic:nvPicPr>
                  <pic:blipFill>
                    <a:blip xmlns:r="http://schemas.openxmlformats.org/officeDocument/2006/relationships" r:embed="rId6"/>
                    <a:stretch>
                      <a:fillRect/>
                    </a:stretch>
                  </pic:blipFill>
                  <pic:spPr>
                    <a:xfrm>
                      <a:off x="0" y="0"/>
                      <a:ext cx="5755640" cy="5960745"/>
                    </a:xfrm>
                    <a:prstGeom prst="rect">
                      <a:avLst/>
                    </a:prstGeom>
                  </pic:spPr>
                </pic:pic>
              </a:graphicData>
            </a:graphic>
          </wp:inline>
        </w:drawing>
      </w:r>
    </w:p>
    <w:p w14:paraId="33250BA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eastAsia="KaiTi" w:cs="Times New Roman" w:hint="default"/>
          <w:b w:val="0"/>
          <w:bCs w:val="0"/>
          <w:color w:val="000000"/>
          <w:sz w:val="24"/>
          <w:szCs w:val="21"/>
          <w:highlight w:val="none"/>
          <w:vertAlign w:val="baseline"/>
          <w:lang w:val="en-US" w:eastAsia="zh-CN" w:bidi="ar"/>
        </w:rPr>
      </w:pPr>
      <w:r>
        <w:rPr>
          <w:rFonts w:eastAsia="KaiTi" w:cs="Times New Roman" w:hint="eastAsia"/>
          <w:b w:val="0"/>
          <w:bCs w:val="0"/>
          <w:color w:val="000000"/>
          <w:sz w:val="24"/>
          <w:szCs w:val="21"/>
          <w:highlight w:val="none"/>
          <w:vertAlign w:val="baseline"/>
          <w:lang w:val="en-US" w:eastAsia="zh-CN" w:bidi="ar"/>
        </w:rPr>
        <w:t>图2 本项目的研究技术路线</w:t>
      </w:r>
    </w:p>
    <w:p w14:paraId="4F434681">
      <w:pPr>
        <w:numPr>
          <w:ilvl w:val="0"/>
          <w:numId w:val="0"/>
        </w:numPr>
        <w:spacing w:line="360" w:lineRule="auto"/>
        <w:ind w:firstLine="480" w:firstLineChars="200"/>
        <w:rPr>
          <w:rFonts w:eastAsia="KaiTi" w:hint="eastAsia"/>
          <w:b/>
          <w:bCs/>
          <w:color w:val="000000"/>
          <w:sz w:val="24"/>
          <w:szCs w:val="21"/>
          <w:lang w:val="en-US" w:eastAsia="zh-CN" w:bidi="ar"/>
        </w:rPr>
      </w:pPr>
      <w:r>
        <w:rPr>
          <w:rFonts w:eastAsia="KaiTi" w:hint="eastAsia"/>
          <w:b/>
          <w:bCs/>
          <w:color w:val="000000"/>
          <w:sz w:val="24"/>
          <w:szCs w:val="21"/>
          <w:lang w:val="en-US" w:eastAsia="zh-CN" w:bidi="ar"/>
        </w:rPr>
        <w:t>1.3可行性分析</w:t>
      </w:r>
    </w:p>
    <w:p w14:paraId="6E5E7581">
      <w:pPr>
        <w:numPr>
          <w:ilvl w:val="0"/>
          <w:numId w:val="9"/>
        </w:numPr>
        <w:spacing w:line="360" w:lineRule="auto"/>
        <w:ind w:firstLine="480" w:firstLineChars="200"/>
        <w:rPr>
          <w:rFonts w:eastAsia="KaiTi" w:hint="eastAsia"/>
          <w:b/>
          <w:bCs/>
          <w:color w:val="000000"/>
          <w:sz w:val="24"/>
          <w:szCs w:val="21"/>
          <w:lang w:val="en-US" w:eastAsia="zh-CN" w:bidi="ar"/>
        </w:rPr>
      </w:pPr>
      <w:r>
        <w:rPr>
          <w:rFonts w:eastAsia="KaiTi" w:hint="eastAsia"/>
          <w:b/>
          <w:bCs/>
          <w:color w:val="000000"/>
          <w:sz w:val="24"/>
          <w:szCs w:val="21"/>
          <w:lang w:val="en-US" w:eastAsia="zh-CN" w:bidi="ar"/>
        </w:rPr>
        <w:t>理论和研究思路可行性</w:t>
      </w:r>
    </w:p>
    <w:p w14:paraId="1A5E5299">
      <w:pPr>
        <w:spacing w:line="360" w:lineRule="auto"/>
        <w:ind w:firstLine="480" w:firstLineChars="200"/>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首先，水和废水中重金属的选择性去除与资源化回收是当前国内外研究的热点，吸附技术和电化学技术是当前水处理过程中应对有机和无机污染物应用较为广泛的成熟的水处理技术。基于此，发展并完善基于选择性吸附-电催化水处理技术以实现废水中重金属离子和重金属有机络合物的高选择性、高效率去除以及重金属的资源化回收具有较好的理论研究基础；其次，近年来，基于靶向配位的污染物高选择性吸附去除被普遍发现和关注，申请人和所在团队也一直致力于废水中有价物质的高选择性去除和资源化回收研究，开发了选择性捕获和回收磷和砷的电容去离子体系，证实了二茂铁作为功能性官能团在特异性吸附和电催化氧化中的关键作用。此外，前期研究还证实了定制MOF材料具有多功能性，可用于电化学技术实现环境修复。基于此，设计合成具有选择性吸附功能的电催化膜构建选择性吸附-电催化膜过滤系统高效去除和回收废水中重金属有充实的理论拓展依据；最后，选择性吸附机理、电催化污染物去除机制、活性物种生成转变和电子转移过程等机理与机制的解析方法不断被确立和完善。基于此，</w:t>
      </w:r>
      <w:r>
        <w:rPr>
          <w:rFonts w:eastAsia="KaiTi" w:cs="Times New Roman" w:hint="eastAsia"/>
          <w:b w:val="0"/>
          <w:bCs w:val="0"/>
          <w:color w:val="000000"/>
          <w:sz w:val="24"/>
          <w:szCs w:val="21"/>
          <w:highlight w:val="none"/>
          <w:vertAlign w:val="baseline"/>
          <w:lang w:val="en-US" w:eastAsia="zh-CN" w:bidi="ar"/>
        </w:rPr>
        <w:t>探究并解析吸附型电催化膜的合成原理和调控策略、选择性吸附和电催化还原的协同作用机制等科学问题具有理论基础和技术支撑。</w:t>
      </w:r>
      <w:r>
        <w:rPr>
          <w:rFonts w:eastAsia="KaiTi" w:cs="Times New Roman" w:hint="eastAsia"/>
          <w:b w:val="0"/>
          <w:bCs w:val="0"/>
          <w:color w:val="000000"/>
          <w:sz w:val="24"/>
          <w:szCs w:val="21"/>
          <w:vertAlign w:val="baseline"/>
          <w:lang w:val="en-US" w:eastAsia="zh-CN" w:bidi="ar"/>
        </w:rPr>
        <w:t>因此，本项目具有理论和研究思路可行性。</w:t>
      </w:r>
    </w:p>
    <w:p w14:paraId="607F836D">
      <w:pPr>
        <w:numPr>
          <w:ilvl w:val="0"/>
          <w:numId w:val="9"/>
        </w:numPr>
        <w:spacing w:line="360" w:lineRule="auto"/>
        <w:ind w:left="0" w:firstLine="480" w:leftChars="0" w:firstLineChars="200"/>
        <w:rPr>
          <w:rFonts w:eastAsia="KaiTi" w:hint="eastAsia"/>
          <w:b/>
          <w:bCs/>
          <w:color w:val="000000"/>
          <w:sz w:val="24"/>
          <w:szCs w:val="21"/>
          <w:lang w:val="en-US" w:eastAsia="zh-CN" w:bidi="ar"/>
        </w:rPr>
      </w:pPr>
      <w:r>
        <w:rPr>
          <w:rFonts w:eastAsia="KaiTi" w:hint="eastAsia"/>
          <w:b/>
          <w:bCs/>
          <w:color w:val="000000"/>
          <w:sz w:val="24"/>
          <w:szCs w:val="21"/>
          <w:lang w:val="en-US" w:eastAsia="zh-CN" w:bidi="ar"/>
        </w:rPr>
        <w:t>技术可行性</w:t>
      </w:r>
    </w:p>
    <w:p w14:paraId="35252CFE">
      <w:p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申请人在攻读博士和博士后期间从事电化学水处理技术用于污水处理与资源化研究，在功能电极制备、机理解析、电化学过程调控等方面积累了丰富经验，为项目的顺利实施提供了技术保障。首先，关于本项目涉及的材料制备，已具备充分的技术储备，包括碳材料改性负载（</w:t>
      </w:r>
      <w:bookmarkStart w:id="158" w:name="OLE_LINK68"/>
      <w:bookmarkStart w:id="159" w:name="OLE_LINK65"/>
      <w:r>
        <w:rPr>
          <w:rFonts w:eastAsia="KaiTi" w:cs="Times New Roman" w:hint="eastAsia"/>
          <w:b w:val="0"/>
          <w:bCs w:val="0"/>
          <w:i/>
          <w:iCs/>
          <w:color w:val="000000"/>
          <w:sz w:val="24"/>
          <w:szCs w:val="21"/>
          <w:vertAlign w:val="baseline"/>
          <w:lang w:val="en-US" w:eastAsia="zh-CN" w:bidi="ar"/>
        </w:rPr>
        <w:t>ACS Appl. Mater. Interfaces, 2022, 14, 31962-31972</w:t>
      </w:r>
      <w:bookmarkEnd w:id="158"/>
      <w:r>
        <w:rPr>
          <w:rFonts w:eastAsia="KaiTi" w:cs="Times New Roman" w:hint="eastAsia"/>
          <w:b w:val="0"/>
          <w:bCs w:val="0"/>
          <w:i/>
          <w:iCs/>
          <w:color w:val="000000"/>
          <w:sz w:val="24"/>
          <w:szCs w:val="21"/>
          <w:vertAlign w:val="baseline"/>
          <w:lang w:val="en-US" w:eastAsia="zh-CN" w:bidi="ar"/>
        </w:rPr>
        <w:t>;</w:t>
      </w:r>
      <w:bookmarkEnd w:id="159"/>
      <w:r>
        <w:rPr>
          <w:rFonts w:eastAsia="KaiTi" w:cs="Times New Roman" w:hint="eastAsia"/>
          <w:b w:val="0"/>
          <w:bCs w:val="0"/>
          <w:i/>
          <w:iCs/>
          <w:color w:val="000000"/>
          <w:sz w:val="24"/>
          <w:szCs w:val="21"/>
          <w:vertAlign w:val="baseline"/>
          <w:lang w:val="en-US" w:eastAsia="zh-CN" w:bidi="ar"/>
        </w:rPr>
        <w:t xml:space="preserve"> </w:t>
      </w:r>
      <w:bookmarkStart w:id="160" w:name="OLE_LINK64"/>
      <w:r>
        <w:rPr>
          <w:rFonts w:eastAsia="KaiTi" w:cs="Times New Roman" w:hint="default"/>
          <w:b w:val="0"/>
          <w:bCs w:val="0"/>
          <w:i/>
          <w:iCs/>
          <w:color w:val="000000"/>
          <w:sz w:val="24"/>
          <w:szCs w:val="21"/>
          <w:vertAlign w:val="baseline"/>
          <w:lang w:val="en-US" w:eastAsia="zh-CN" w:bidi="ar"/>
        </w:rPr>
        <w:t>ACS ES&amp;T Water</w:t>
      </w:r>
      <w:r>
        <w:rPr>
          <w:rFonts w:eastAsia="KaiTi" w:cs="Times New Roman" w:hint="eastAsia"/>
          <w:b w:val="0"/>
          <w:bCs w:val="0"/>
          <w:i/>
          <w:iCs/>
          <w:color w:val="000000"/>
          <w:sz w:val="24"/>
          <w:szCs w:val="21"/>
          <w:vertAlign w:val="baseline"/>
          <w:lang w:val="en-US" w:eastAsia="zh-CN" w:bidi="ar"/>
        </w:rPr>
        <w:t xml:space="preserve">, </w:t>
      </w:r>
      <w:r>
        <w:rPr>
          <w:rFonts w:eastAsia="KaiTi" w:cs="Times New Roman" w:hint="default"/>
          <w:b w:val="0"/>
          <w:bCs w:val="0"/>
          <w:i/>
          <w:iCs/>
          <w:color w:val="000000"/>
          <w:sz w:val="24"/>
          <w:szCs w:val="21"/>
          <w:vertAlign w:val="baseline"/>
          <w:lang w:val="en-US" w:eastAsia="zh-CN" w:bidi="ar"/>
        </w:rPr>
        <w:t>2022</w:t>
      </w:r>
      <w:r>
        <w:rPr>
          <w:rFonts w:eastAsia="KaiTi" w:cs="Times New Roman" w:hint="eastAsia"/>
          <w:b w:val="0"/>
          <w:bCs w:val="0"/>
          <w:i/>
          <w:iCs/>
          <w:color w:val="000000"/>
          <w:sz w:val="24"/>
          <w:szCs w:val="21"/>
          <w:vertAlign w:val="baseline"/>
          <w:lang w:val="en-US" w:eastAsia="zh-CN" w:bidi="ar"/>
        </w:rPr>
        <w:t>, 2, 2602-2612</w:t>
      </w:r>
      <w:bookmarkEnd w:id="160"/>
      <w:r>
        <w:rPr>
          <w:rFonts w:eastAsia="KaiTi" w:cs="Times New Roman" w:hint="eastAsia"/>
          <w:b w:val="0"/>
          <w:bCs w:val="0"/>
          <w:i/>
          <w:iCs/>
          <w:color w:val="000000"/>
          <w:sz w:val="24"/>
          <w:szCs w:val="21"/>
          <w:vertAlign w:val="baseline"/>
          <w:lang w:val="en-US" w:eastAsia="zh-CN" w:bidi="ar"/>
        </w:rPr>
        <w:t xml:space="preserve">; </w:t>
      </w:r>
      <w:bookmarkStart w:id="161" w:name="OLE_LINK113"/>
      <w:r>
        <w:rPr>
          <w:rFonts w:eastAsia="KaiTi" w:cs="Times New Roman" w:hint="eastAsia"/>
          <w:b w:val="0"/>
          <w:bCs w:val="0"/>
          <w:i/>
          <w:iCs/>
          <w:color w:val="000000"/>
          <w:sz w:val="24"/>
          <w:szCs w:val="21"/>
          <w:vertAlign w:val="baseline"/>
          <w:lang w:val="en-US" w:eastAsia="zh-CN" w:bidi="ar"/>
        </w:rPr>
        <w:t>ACS ES&amp;T Water, 2021, 2, 237-246</w:t>
      </w:r>
      <w:bookmarkEnd w:id="161"/>
      <w:r>
        <w:rPr>
          <w:rFonts w:eastAsia="KaiTi" w:cs="Times New Roman" w:hint="eastAsia"/>
          <w:b w:val="0"/>
          <w:bCs w:val="0"/>
          <w:i/>
          <w:iCs/>
          <w:color w:val="000000"/>
          <w:sz w:val="24"/>
          <w:szCs w:val="21"/>
          <w:vertAlign w:val="baseline"/>
          <w:lang w:val="en-US" w:eastAsia="zh-CN" w:bidi="ar"/>
        </w:rPr>
        <w:t>; Nature Communications, 2024, 15, 10828</w:t>
      </w:r>
      <w:r>
        <w:rPr>
          <w:rFonts w:eastAsia="KaiTi" w:cs="Times New Roman" w:hint="eastAsia"/>
          <w:b w:val="0"/>
          <w:bCs w:val="0"/>
          <w:color w:val="000000"/>
          <w:sz w:val="24"/>
          <w:szCs w:val="21"/>
          <w:vertAlign w:val="baseline"/>
          <w:lang w:val="en-US" w:eastAsia="zh-CN" w:bidi="ar"/>
        </w:rPr>
        <w:t>）、二茂铁修饰铁基MOF合成（</w:t>
      </w:r>
      <w:r>
        <w:rPr>
          <w:rFonts w:eastAsia="KaiTi" w:cs="Times New Roman" w:hint="eastAsia"/>
          <w:b w:val="0"/>
          <w:bCs w:val="0"/>
          <w:i/>
          <w:iCs/>
          <w:color w:val="000000"/>
          <w:sz w:val="24"/>
          <w:szCs w:val="21"/>
          <w:vertAlign w:val="baseline"/>
          <w:lang w:val="en-US" w:eastAsia="zh-CN" w:bidi="ar"/>
        </w:rPr>
        <w:t>Environ. Sci. Technol., 2023, 57, 6342-6352; Water Research, 2024, 260, 121915</w:t>
      </w:r>
      <w:r>
        <w:rPr>
          <w:rFonts w:eastAsia="KaiTi" w:cs="Times New Roman" w:hint="eastAsia"/>
          <w:b w:val="0"/>
          <w:bCs w:val="0"/>
          <w:color w:val="000000"/>
          <w:sz w:val="24"/>
          <w:szCs w:val="21"/>
          <w:vertAlign w:val="baseline"/>
          <w:lang w:val="en-US" w:eastAsia="zh-CN" w:bidi="ar"/>
        </w:rPr>
        <w:t>）、高沸石负载混合基质膜制备（</w:t>
      </w:r>
      <w:r>
        <w:rPr>
          <w:rFonts w:eastAsia="KaiTi" w:cs="Times New Roman" w:hint="eastAsia"/>
          <w:b w:val="0"/>
          <w:bCs w:val="0"/>
          <w:i/>
          <w:iCs/>
          <w:color w:val="000000"/>
          <w:sz w:val="24"/>
          <w:szCs w:val="21"/>
          <w:vertAlign w:val="baseline"/>
          <w:lang w:val="en-US" w:eastAsia="zh-CN" w:bidi="ar"/>
        </w:rPr>
        <w:t>Water Res., 2022, 221, 118849</w:t>
      </w:r>
      <w:r>
        <w:rPr>
          <w:rFonts w:eastAsia="KaiTi" w:cs="Times New Roman" w:hint="eastAsia"/>
          <w:b w:val="0"/>
          <w:bCs w:val="0"/>
          <w:color w:val="000000"/>
          <w:sz w:val="24"/>
          <w:szCs w:val="21"/>
          <w:vertAlign w:val="baseline"/>
          <w:lang w:val="en-US" w:eastAsia="zh-CN" w:bidi="ar"/>
        </w:rPr>
        <w:t>）等；其次，有关水处理工艺优化和调控，也具有良好的技术积累，如双极膜电渗析和膜电容去离子耦合电化学技术去除/回收污水中营养元素（</w:t>
      </w:r>
      <w:r>
        <w:rPr>
          <w:rFonts w:eastAsia="KaiTi" w:cs="Times New Roman" w:hint="eastAsia"/>
          <w:b w:val="0"/>
          <w:bCs w:val="0"/>
          <w:i/>
          <w:iCs/>
          <w:color w:val="000000"/>
          <w:sz w:val="24"/>
          <w:szCs w:val="21"/>
          <w:vertAlign w:val="baseline"/>
          <w:lang w:val="en-US" w:eastAsia="zh-CN" w:bidi="ar"/>
        </w:rPr>
        <w:t>Environ. Sci.: Water Res. Technol., 2020, 6, 383-391</w:t>
      </w:r>
      <w:r>
        <w:rPr>
          <w:rFonts w:eastAsia="KaiTi" w:cs="Times New Roman" w:hint="eastAsia"/>
          <w:b w:val="0"/>
          <w:bCs w:val="0"/>
          <w:color w:val="000000"/>
          <w:sz w:val="24"/>
          <w:szCs w:val="21"/>
          <w:vertAlign w:val="baseline"/>
          <w:lang w:val="en-US" w:eastAsia="zh-CN" w:bidi="ar"/>
        </w:rPr>
        <w:t>）和磁化预处理对反渗透系统防污堵机理探究及操作条件优化（</w:t>
      </w:r>
      <w:r>
        <w:rPr>
          <w:rFonts w:eastAsia="KaiTi" w:cs="Times New Roman" w:hint="eastAsia"/>
          <w:b w:val="0"/>
          <w:bCs w:val="0"/>
          <w:i/>
          <w:iCs/>
          <w:color w:val="000000"/>
          <w:sz w:val="24"/>
          <w:szCs w:val="21"/>
          <w:vertAlign w:val="baseline"/>
          <w:lang w:val="en-US" w:eastAsia="zh-CN" w:bidi="ar"/>
        </w:rPr>
        <w:t>Chem. Eng. Sci., 2024, 286, 119650</w:t>
      </w:r>
      <w:r>
        <w:rPr>
          <w:rFonts w:eastAsia="KaiTi" w:cs="Times New Roman" w:hint="eastAsia"/>
          <w:b w:val="0"/>
          <w:bCs w:val="0"/>
          <w:color w:val="000000"/>
          <w:sz w:val="24"/>
          <w:szCs w:val="21"/>
          <w:vertAlign w:val="baseline"/>
          <w:lang w:val="en-US" w:eastAsia="zh-CN" w:bidi="ar"/>
        </w:rPr>
        <w:t>）等；最后，针对界面过程解析，基于EIS的层层自组装纳滤膜合成过程原位分析（</w:t>
      </w:r>
      <w:r>
        <w:rPr>
          <w:rFonts w:eastAsia="KaiTi" w:cs="Times New Roman" w:hint="eastAsia"/>
          <w:b w:val="0"/>
          <w:bCs w:val="0"/>
          <w:i/>
          <w:iCs/>
          <w:color w:val="000000"/>
          <w:sz w:val="24"/>
          <w:szCs w:val="21"/>
          <w:vertAlign w:val="baseline"/>
          <w:lang w:val="en-US" w:eastAsia="zh-CN" w:bidi="ar"/>
        </w:rPr>
        <w:t>J. Membr. Sci., 2021, 619, 118747</w:t>
      </w:r>
      <w:r>
        <w:rPr>
          <w:rFonts w:eastAsia="KaiTi" w:cs="Times New Roman" w:hint="eastAsia"/>
          <w:b w:val="0"/>
          <w:bCs w:val="0"/>
          <w:color w:val="000000"/>
          <w:sz w:val="24"/>
          <w:szCs w:val="21"/>
          <w:vertAlign w:val="baseline"/>
          <w:lang w:val="en-US" w:eastAsia="zh-CN" w:bidi="ar"/>
        </w:rPr>
        <w:t>）及课题组长期研究经验积累可提供支撑。上述关键技术作为本项目的前期储备和积淀，可保证相关研究工作顺利开展。</w:t>
      </w:r>
    </w:p>
    <w:p w14:paraId="0C56A748">
      <w:pPr>
        <w:numPr>
          <w:ilvl w:val="0"/>
          <w:numId w:val="9"/>
        </w:numPr>
        <w:spacing w:line="360" w:lineRule="auto"/>
        <w:ind w:left="0" w:firstLine="480" w:leftChars="0" w:firstLineChars="200"/>
        <w:rPr>
          <w:rFonts w:eastAsia="KaiTi" w:hint="eastAsia"/>
          <w:b/>
          <w:bCs/>
          <w:color w:val="000000"/>
          <w:sz w:val="24"/>
          <w:szCs w:val="21"/>
          <w:lang w:val="en-US" w:eastAsia="zh-CN" w:bidi="ar"/>
        </w:rPr>
      </w:pPr>
      <w:r>
        <w:rPr>
          <w:rFonts w:eastAsia="KaiTi" w:hint="eastAsia"/>
          <w:b/>
          <w:bCs/>
          <w:color w:val="000000"/>
          <w:sz w:val="24"/>
          <w:szCs w:val="21"/>
          <w:lang w:val="en-US" w:eastAsia="zh-CN" w:bidi="ar"/>
        </w:rPr>
        <w:t>实施条件可行性</w:t>
      </w:r>
    </w:p>
    <w:p w14:paraId="12FD8FC2">
      <w:p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申请人主持过国家自然科学基金青年项目，作为项目骨干参与重点研发计划子课题，还曾先后参与国家自然科学基金重点项目和面上项目，具备统筹规划、科学研究、推进实施和总结进展的能力。申请人所在的研究团队由教授、副教授、讲师、博士、硕士研究生组成，项目参与成员经过严格的科学研究训练，具有较强的机理探索、材料表征和工艺运行等方面学术功底，</w:t>
      </w:r>
      <w:r>
        <w:rPr>
          <w:rFonts w:eastAsia="KaiTi" w:cs="Times New Roman" w:hint="default"/>
          <w:b w:val="0"/>
          <w:bCs w:val="0"/>
          <w:color w:val="000000"/>
          <w:sz w:val="24"/>
          <w:szCs w:val="21"/>
          <w:vertAlign w:val="baseline"/>
          <w:lang w:val="en-US" w:eastAsia="zh-CN" w:bidi="ar"/>
        </w:rPr>
        <w:t>具有良好的团队合作精神</w:t>
      </w:r>
      <w:r>
        <w:rPr>
          <w:rFonts w:eastAsia="KaiTi" w:cs="Times New Roman" w:hint="eastAsia"/>
          <w:b w:val="0"/>
          <w:bCs w:val="0"/>
          <w:color w:val="000000"/>
          <w:sz w:val="24"/>
          <w:szCs w:val="21"/>
          <w:vertAlign w:val="baseline"/>
          <w:lang w:val="en-US" w:eastAsia="zh-CN" w:bidi="ar"/>
        </w:rPr>
        <w:t>，为本项目开展奠定较好的人员基础；此外，申请人所在的沧州市天津工业大学研究院的实验平台具有齐全的实验设备、先进仪器和完善的实验基地，可满足项目所需的各项实验要求。以上人员基础和实验平台可为本项目的有序实施提供有力支持。</w:t>
      </w:r>
    </w:p>
    <w:p w14:paraId="209E984E">
      <w:p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综上，本项目从理论到实践均具有可行性，申请人在理论基础、技术储备、实施平台支持方面做好了充足的准备，能够按时完成项目的所有任务。</w:t>
      </w:r>
    </w:p>
    <w:p w14:paraId="19EFDB16">
      <w:pPr>
        <w:wordWrap w:val="0"/>
        <w:snapToGrid w:val="0"/>
        <w:spacing w:line="440" w:lineRule="exact"/>
        <w:ind w:firstLine="560" w:firstLineChars="200"/>
        <w:rPr>
          <w:rFonts w:ascii="KaiTi" w:eastAsia="KaiTi" w:hAnsi="KaiTi" w:cs="KaiTi" w:hint="eastAsia"/>
        </w:rPr>
      </w:pPr>
      <w:r>
        <w:rPr>
          <w:rFonts w:ascii="KaiTi" w:eastAsia="KaiTi" w:hAnsi="KaiTi" w:cs="KaiTi" w:hint="eastAsia"/>
        </w:rPr>
        <w:t>2.年度计划安排（包括拟组织的重要学术交流活动、国际合作与交流计划等）</w:t>
      </w:r>
    </w:p>
    <w:p w14:paraId="4D72F8C3">
      <w:pPr>
        <w:keepNext w:val="0"/>
        <w:keepLines w:val="0"/>
        <w:pageBreakBefore w:val="0"/>
        <w:widowControl w:val="0"/>
        <w:numPr>
          <w:ilvl w:val="0"/>
          <w:numId w:val="0"/>
        </w:numPr>
        <w:kinsoku/>
        <w:wordWrap/>
        <w:overflowPunct/>
        <w:topLinePunct w:val="0"/>
        <w:autoSpaceDE/>
        <w:autoSpaceDN/>
        <w:bidi w:val="0"/>
        <w:adjustRightInd/>
        <w:snapToGrid/>
        <w:spacing w:before="240" w:beforeLines="100" w:line="360" w:lineRule="auto"/>
        <w:ind w:firstLine="480" w:firstLineChars="200"/>
        <w:textAlignment w:val="auto"/>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本项目按3年计划执行，具体研究进展安排如下：</w:t>
      </w:r>
    </w:p>
    <w:p w14:paraId="141443F3">
      <w:pPr>
        <w:numPr>
          <w:ilvl w:val="0"/>
          <w:numId w:val="0"/>
        </w:numPr>
        <w:spacing w:line="360" w:lineRule="auto"/>
        <w:ind w:firstLine="480" w:firstLineChars="200"/>
        <w:rPr>
          <w:rFonts w:eastAsia="KaiTi" w:cs="Times New Roman" w:hint="eastAsia"/>
          <w:b/>
          <w:bCs/>
          <w:color w:val="000000"/>
          <w:sz w:val="24"/>
          <w:szCs w:val="21"/>
          <w:vertAlign w:val="baseline"/>
          <w:lang w:val="en-US" w:eastAsia="zh-CN" w:bidi="ar"/>
        </w:rPr>
      </w:pPr>
      <w:bookmarkStart w:id="162" w:name="OLE_LINK54"/>
      <w:r>
        <w:rPr>
          <w:rFonts w:eastAsia="KaiTi" w:cs="Times New Roman" w:hint="eastAsia"/>
          <w:b/>
          <w:bCs/>
          <w:color w:val="000000"/>
          <w:sz w:val="24"/>
          <w:szCs w:val="21"/>
          <w:vertAlign w:val="baseline"/>
          <w:lang w:val="en-US" w:eastAsia="zh-CN" w:bidi="ar"/>
        </w:rPr>
        <w:t>2025年年度计划：</w:t>
      </w:r>
    </w:p>
    <w:bookmarkEnd w:id="162"/>
    <w:p w14:paraId="65B5EC5D">
      <w:pPr>
        <w:numPr>
          <w:ilvl w:val="0"/>
          <w:numId w:val="0"/>
        </w:num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2025.01~2025.03：完善和细化研究方案，完成研究实验的准备工作；</w:t>
      </w:r>
    </w:p>
    <w:p w14:paraId="56C90171">
      <w:pPr>
        <w:numPr>
          <w:ilvl w:val="0"/>
          <w:numId w:val="0"/>
        </w:num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2025.04~2025.06：锆基异质金属有机框架材料制备及表征，优化合成条件；</w:t>
      </w:r>
    </w:p>
    <w:p w14:paraId="60BC15BE">
      <w:pPr>
        <w:numPr>
          <w:ilvl w:val="0"/>
          <w:numId w:val="0"/>
        </w:num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2025.07~2025.09：选择性吸附去除重金属效能测试及吸附机制解析；</w:t>
      </w:r>
    </w:p>
    <w:p w14:paraId="0064BD52">
      <w:pPr>
        <w:numPr>
          <w:ilvl w:val="0"/>
          <w:numId w:val="0"/>
        </w:numPr>
        <w:spacing w:line="360" w:lineRule="auto"/>
        <w:ind w:left="2396" w:hanging="1920" w:leftChars="170" w:hangingChars="8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2025.10~2025.12：</w:t>
      </w:r>
      <w:bookmarkStart w:id="163" w:name="OLE_LINK60"/>
      <w:r>
        <w:rPr>
          <w:rFonts w:eastAsia="KaiTi" w:cs="Times New Roman" w:hint="eastAsia"/>
          <w:b w:val="0"/>
          <w:bCs w:val="0"/>
          <w:color w:val="000000"/>
          <w:sz w:val="24"/>
          <w:szCs w:val="21"/>
          <w:vertAlign w:val="baseline"/>
          <w:lang w:val="en-US" w:eastAsia="zh-CN" w:bidi="ar"/>
        </w:rPr>
        <w:t>具有二维纳米流体通道的MXene/M-Zr-MOF电催化膜构筑及表征，优化制备条件</w:t>
      </w:r>
      <w:bookmarkEnd w:id="163"/>
      <w:r>
        <w:rPr>
          <w:rFonts w:eastAsia="KaiTi" w:cs="Times New Roman" w:hint="eastAsia"/>
          <w:b w:val="0"/>
          <w:bCs w:val="0"/>
          <w:color w:val="000000"/>
          <w:sz w:val="24"/>
          <w:szCs w:val="21"/>
          <w:vertAlign w:val="baseline"/>
          <w:lang w:val="en-US" w:eastAsia="zh-CN" w:bidi="ar"/>
        </w:rPr>
        <w:t>。</w:t>
      </w:r>
    </w:p>
    <w:p w14:paraId="1FEAD987">
      <w:pPr>
        <w:spacing w:line="360" w:lineRule="auto"/>
        <w:ind w:firstLine="480" w:firstLineChars="200"/>
        <w:rPr>
          <w:rFonts w:eastAsia="KaiTi" w:cs="Times New Roman" w:hint="default"/>
          <w:b w:val="0"/>
          <w:bCs w:val="0"/>
          <w:color w:val="000000"/>
          <w:sz w:val="24"/>
          <w:szCs w:val="21"/>
          <w:vertAlign w:val="baseline"/>
          <w:lang w:val="en-US" w:eastAsia="zh-CN" w:bidi="ar"/>
        </w:rPr>
      </w:pPr>
      <w:bookmarkStart w:id="164" w:name="OLE_LINK59"/>
      <w:r>
        <w:rPr>
          <w:rFonts w:eastAsia="KaiTi" w:cs="Times New Roman" w:hint="eastAsia"/>
          <w:b w:val="0"/>
          <w:bCs w:val="0"/>
          <w:color w:val="000000"/>
          <w:sz w:val="24"/>
          <w:szCs w:val="21"/>
          <w:vertAlign w:val="baseline"/>
          <w:lang w:val="en-US" w:eastAsia="zh-CN" w:bidi="ar"/>
        </w:rPr>
        <w:t>预计申请1项MXene/M-Zr-MOF电催化膜构筑及选择性去除重金属相关的发明专利。</w:t>
      </w:r>
    </w:p>
    <w:bookmarkEnd w:id="164"/>
    <w:p w14:paraId="004D4BC4">
      <w:pPr>
        <w:numPr>
          <w:ilvl w:val="0"/>
          <w:numId w:val="0"/>
        </w:numPr>
        <w:spacing w:line="360" w:lineRule="auto"/>
        <w:ind w:firstLine="480" w:firstLineChars="200"/>
        <w:rPr>
          <w:rFonts w:eastAsia="KaiTi" w:cs="Times New Roman" w:hint="eastAsia"/>
          <w:b/>
          <w:bCs/>
          <w:color w:val="000000"/>
          <w:sz w:val="24"/>
          <w:szCs w:val="21"/>
          <w:vertAlign w:val="baseline"/>
          <w:lang w:val="en-US" w:eastAsia="zh-CN" w:bidi="ar"/>
        </w:rPr>
      </w:pPr>
      <w:r>
        <w:rPr>
          <w:rFonts w:eastAsia="KaiTi" w:cs="Times New Roman" w:hint="eastAsia"/>
          <w:b/>
          <w:bCs/>
          <w:color w:val="000000"/>
          <w:sz w:val="24"/>
          <w:szCs w:val="21"/>
          <w:vertAlign w:val="baseline"/>
          <w:lang w:val="en-US" w:eastAsia="zh-CN" w:bidi="ar"/>
        </w:rPr>
        <w:t>2026年年度计划：</w:t>
      </w:r>
    </w:p>
    <w:p w14:paraId="5BD30833">
      <w:pPr>
        <w:spacing w:line="360" w:lineRule="auto"/>
        <w:ind w:firstLine="480" w:firstLineChars="200"/>
        <w:rPr>
          <w:rFonts w:eastAsia="KaiTi" w:cs="Times New Roman" w:hint="default"/>
          <w:b w:val="0"/>
          <w:bCs w:val="0"/>
          <w:color w:val="000000"/>
          <w:sz w:val="24"/>
          <w:szCs w:val="21"/>
          <w:vertAlign w:val="baseline"/>
          <w:lang w:val="en-US" w:eastAsia="zh-CN" w:bidi="ar"/>
        </w:rPr>
      </w:pPr>
      <w:bookmarkStart w:id="165" w:name="OLE_LINK61"/>
      <w:r>
        <w:rPr>
          <w:rFonts w:eastAsia="KaiTi" w:cs="Times New Roman" w:hint="eastAsia"/>
          <w:b w:val="0"/>
          <w:bCs w:val="0"/>
          <w:color w:val="000000"/>
          <w:sz w:val="24"/>
          <w:szCs w:val="21"/>
          <w:vertAlign w:val="baseline"/>
          <w:lang w:val="en-US" w:eastAsia="zh-CN" w:bidi="ar"/>
        </w:rPr>
        <w:t>2026.01~2026.03：</w:t>
      </w:r>
      <w:bookmarkStart w:id="166" w:name="OLE_LINK53"/>
      <w:r>
        <w:rPr>
          <w:rFonts w:eastAsia="KaiTi" w:cs="Times New Roman" w:hint="eastAsia"/>
          <w:b w:val="0"/>
          <w:bCs w:val="0"/>
          <w:color w:val="000000"/>
          <w:sz w:val="24"/>
          <w:szCs w:val="21"/>
          <w:vertAlign w:val="baseline"/>
          <w:lang w:val="en-US" w:eastAsia="zh-CN" w:bidi="ar"/>
        </w:rPr>
        <w:t>MXene/M-Zr-MOF电催化膜微观结构调控策略解析；</w:t>
      </w:r>
    </w:p>
    <w:p w14:paraId="1743EE9D">
      <w:pPr>
        <w:numPr>
          <w:ilvl w:val="0"/>
          <w:numId w:val="0"/>
        </w:numPr>
        <w:spacing w:line="360" w:lineRule="auto"/>
        <w:ind w:firstLine="480" w:firstLineChars="200"/>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2026.04~2026.06：MXene/M-Zr-MOF电催化膜过滤装置搭建与工艺优化；</w:t>
      </w:r>
    </w:p>
    <w:p w14:paraId="76DB02DA">
      <w:pPr>
        <w:numPr>
          <w:ilvl w:val="0"/>
          <w:numId w:val="0"/>
        </w:numPr>
        <w:spacing w:line="360" w:lineRule="auto"/>
        <w:ind w:left="2396" w:hanging="1920" w:leftChars="170" w:hangingChars="800"/>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2026.07~2026.09：工艺选择性吸附-电催化还原重金属能力以及MXene/M-Zr-MOF电催化膜微观结构与吸附-催化性能间的构效关系解析；</w:t>
      </w:r>
    </w:p>
    <w:p w14:paraId="3DDF9A44">
      <w:pPr>
        <w:numPr>
          <w:ilvl w:val="0"/>
          <w:numId w:val="0"/>
        </w:numPr>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2026.10~2026.12：</w:t>
      </w:r>
      <w:bookmarkStart w:id="167" w:name="OLE_LINK2"/>
      <w:r>
        <w:rPr>
          <w:rFonts w:eastAsia="KaiTi" w:cs="Times New Roman" w:hint="eastAsia"/>
          <w:b w:val="0"/>
          <w:bCs w:val="0"/>
          <w:color w:val="000000"/>
          <w:sz w:val="24"/>
          <w:szCs w:val="21"/>
          <w:vertAlign w:val="baseline"/>
          <w:lang w:val="en-US" w:eastAsia="zh-CN" w:bidi="ar"/>
        </w:rPr>
        <w:t>净水过程电化学体系自由基、高价金属等活性物种的生成转变过程解析。</w:t>
      </w:r>
    </w:p>
    <w:bookmarkEnd w:id="165"/>
    <w:bookmarkEnd w:id="166"/>
    <w:bookmarkEnd w:id="167"/>
    <w:p w14:paraId="0B0EBCBD">
      <w:pPr>
        <w:tabs>
          <w:tab w:val="left" w:pos="6090"/>
        </w:tabs>
        <w:spacing w:line="360" w:lineRule="auto"/>
        <w:ind w:firstLine="480" w:firstLineChars="200"/>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预计申请1项电催化膜系统高效电催化还原重金属离子和重金属有机络合物，回收重金属单质相关的发明专利；发表2篇关于MXene/M-Zr-MOF选择性吸附-电催化去除和回收复杂废水环境中重金属的研究性论文。</w:t>
      </w:r>
    </w:p>
    <w:p w14:paraId="12728599">
      <w:pPr>
        <w:numPr>
          <w:ilvl w:val="0"/>
          <w:numId w:val="0"/>
        </w:numPr>
        <w:spacing w:line="360" w:lineRule="auto"/>
        <w:ind w:firstLine="480" w:firstLineChars="200"/>
        <w:rPr>
          <w:rFonts w:eastAsia="KaiTi" w:cs="Times New Roman" w:hint="eastAsia"/>
          <w:b/>
          <w:bCs/>
          <w:color w:val="000000"/>
          <w:sz w:val="24"/>
          <w:szCs w:val="21"/>
          <w:vertAlign w:val="baseline"/>
          <w:lang w:val="en-US" w:eastAsia="zh-CN" w:bidi="ar"/>
        </w:rPr>
      </w:pPr>
      <w:r>
        <w:rPr>
          <w:rFonts w:eastAsia="KaiTi" w:cs="Times New Roman" w:hint="eastAsia"/>
          <w:b/>
          <w:bCs/>
          <w:color w:val="000000"/>
          <w:sz w:val="24"/>
          <w:szCs w:val="21"/>
          <w:vertAlign w:val="baseline"/>
          <w:lang w:val="en-US" w:eastAsia="zh-CN" w:bidi="ar"/>
        </w:rPr>
        <w:t>2027年年度计划：</w:t>
      </w:r>
    </w:p>
    <w:p w14:paraId="2D07AC31">
      <w:pPr>
        <w:numPr>
          <w:ilvl w:val="0"/>
          <w:numId w:val="0"/>
        </w:numPr>
        <w:spacing w:line="360" w:lineRule="auto"/>
        <w:ind w:left="2558" w:hanging="1920" w:leftChars="228" w:hangingChars="800"/>
        <w:rPr>
          <w:rFonts w:eastAsia="KaiTi" w:cs="Times New Roman" w:hint="default"/>
          <w:b w:val="0"/>
          <w:bCs w:val="0"/>
          <w:color w:val="000000"/>
          <w:sz w:val="24"/>
          <w:szCs w:val="21"/>
          <w:vertAlign w:val="baseline"/>
          <w:lang w:val="en-US" w:eastAsia="zh-CN" w:bidi="ar"/>
        </w:rPr>
      </w:pPr>
      <w:bookmarkStart w:id="168" w:name="OLE_LINK62"/>
      <w:r>
        <w:rPr>
          <w:rFonts w:eastAsia="KaiTi" w:cs="Times New Roman" w:hint="eastAsia"/>
          <w:b w:val="0"/>
          <w:bCs w:val="0"/>
          <w:color w:val="000000"/>
          <w:sz w:val="24"/>
          <w:szCs w:val="21"/>
          <w:vertAlign w:val="baseline"/>
          <w:lang w:val="en-US" w:eastAsia="zh-CN" w:bidi="ar"/>
        </w:rPr>
        <w:t>2027.01~2027.03：电催化膜微界面电子转移机理以及双金属和MXene间的相互作用机制解析；</w:t>
      </w:r>
    </w:p>
    <w:p w14:paraId="63DA5ACB">
      <w:pPr>
        <w:numPr>
          <w:ilvl w:val="0"/>
          <w:numId w:val="0"/>
        </w:numPr>
        <w:spacing w:line="360" w:lineRule="auto"/>
        <w:ind w:left="2558" w:hanging="1920" w:leftChars="228" w:hangingChars="800"/>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2027.04~2027.06：分析复杂环境体系及不同膜工艺操作条件下催化膜通量的变化规律，解析其抗污染特性与再生策略；</w:t>
      </w:r>
    </w:p>
    <w:p w14:paraId="2A1FBDDB">
      <w:pPr>
        <w:numPr>
          <w:ilvl w:val="0"/>
          <w:numId w:val="0"/>
        </w:numPr>
        <w:spacing w:line="360" w:lineRule="auto"/>
        <w:ind w:left="2558" w:hanging="1920" w:leftChars="228" w:hangingChars="800"/>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2027.07~2027.09：</w:t>
      </w:r>
      <w:bookmarkStart w:id="169" w:name="OLE_LINK3"/>
      <w:r>
        <w:rPr>
          <w:rFonts w:eastAsia="KaiTi" w:cs="Times New Roman" w:hint="eastAsia"/>
          <w:b w:val="0"/>
          <w:bCs w:val="0"/>
          <w:color w:val="000000"/>
          <w:sz w:val="24"/>
          <w:szCs w:val="21"/>
          <w:vertAlign w:val="baseline"/>
          <w:lang w:val="en-US" w:eastAsia="zh-CN" w:bidi="ar"/>
        </w:rPr>
        <w:t>电催化膜吸附和电催化还原对废水中污染物的协同净水增效机制及过程热/动力学特性解析；</w:t>
      </w:r>
    </w:p>
    <w:bookmarkEnd w:id="169"/>
    <w:p w14:paraId="1E7B1253">
      <w:pPr>
        <w:spacing w:line="360" w:lineRule="auto"/>
        <w:ind w:left="2558" w:hanging="1920" w:leftChars="228" w:hangingChars="800"/>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2027.10~2027.12：长周期运行过程中重金属的回收效能及电催化膜的结构特征变化分析；撰写结题报告，完成项目验收。</w:t>
      </w:r>
    </w:p>
    <w:bookmarkEnd w:id="168"/>
    <w:p w14:paraId="4D557A79">
      <w:pPr>
        <w:tabs>
          <w:tab w:val="left" w:pos="6090"/>
        </w:tabs>
        <w:spacing w:line="360" w:lineRule="auto"/>
        <w:ind w:firstLine="480" w:firstLineChars="200"/>
        <w:rPr>
          <w:rFonts w:ascii="KaiTi" w:eastAsia="KaiTi" w:hAnsi="KaiTi" w:cs="KaiTi" w:hint="default"/>
          <w:lang w:val="en-US"/>
        </w:rPr>
      </w:pPr>
      <w:bookmarkStart w:id="170" w:name="OLE_LINK63"/>
      <w:r>
        <w:rPr>
          <w:rFonts w:eastAsia="KaiTi" w:cs="Times New Roman" w:hint="eastAsia"/>
          <w:b w:val="0"/>
          <w:bCs w:val="0"/>
          <w:color w:val="000000"/>
          <w:sz w:val="24"/>
          <w:szCs w:val="21"/>
          <w:vertAlign w:val="baseline"/>
          <w:lang w:val="en-US" w:eastAsia="zh-CN" w:bidi="ar"/>
        </w:rPr>
        <w:t>预计发表1篇关于电催化膜过滤系统吸附-电催化协同强化复杂环境中污染物去除和资源化回收的研究论文</w:t>
      </w:r>
      <w:bookmarkEnd w:id="170"/>
      <w:r>
        <w:rPr>
          <w:rFonts w:eastAsia="KaiTi" w:cs="Times New Roman" w:hint="eastAsia"/>
          <w:b w:val="0"/>
          <w:bCs w:val="0"/>
          <w:color w:val="000000"/>
          <w:sz w:val="24"/>
          <w:szCs w:val="21"/>
          <w:vertAlign w:val="baseline"/>
          <w:lang w:val="en-US" w:eastAsia="zh-CN" w:bidi="ar"/>
        </w:rPr>
        <w:t>。</w:t>
      </w:r>
    </w:p>
    <w:p w14:paraId="05CEAB8A">
      <w:pPr>
        <w:wordWrap w:val="0"/>
        <w:spacing w:line="440" w:lineRule="exact"/>
        <w:ind w:firstLine="560" w:firstLineChars="200"/>
        <w:outlineLvl w:val="0"/>
        <w:rPr>
          <w:rFonts w:ascii="KaiTi" w:eastAsia="KaiTi" w:hAnsi="KaiTi" w:cs="KaiTi"/>
          <w:b/>
        </w:rPr>
      </w:pPr>
      <w:r>
        <w:rPr>
          <w:rFonts w:ascii="KaiTi" w:eastAsia="KaiTi" w:hAnsi="KaiTi" w:cs="KaiTi" w:hint="eastAsia"/>
          <w:b/>
        </w:rPr>
        <w:t>四、研究基础与工作条件</w:t>
      </w:r>
    </w:p>
    <w:p w14:paraId="727DA309">
      <w:pPr>
        <w:wordWrap w:val="0"/>
        <w:spacing w:line="440" w:lineRule="exact"/>
        <w:ind w:firstLine="560" w:firstLineChars="200"/>
        <w:rPr>
          <w:rFonts w:ascii="KaiTi" w:eastAsia="KaiTi" w:hAnsi="KaiTi" w:cs="KaiTi"/>
        </w:rPr>
      </w:pPr>
      <w:r>
        <w:rPr>
          <w:rFonts w:ascii="KaiTi" w:eastAsia="KaiTi" w:hAnsi="KaiTi" w:cs="KaiTi" w:hint="eastAsia"/>
        </w:rPr>
        <w:t>1.研究基础（与本项目相关的研究工作积累和已取得的研究工作成绩）</w:t>
      </w:r>
    </w:p>
    <w:p w14:paraId="3974F431">
      <w:pPr>
        <w:keepNext w:val="0"/>
        <w:keepLines w:val="0"/>
        <w:pageBreakBefore w:val="0"/>
        <w:widowControl w:val="0"/>
        <w:numPr>
          <w:ilvl w:val="0"/>
          <w:numId w:val="0"/>
        </w:numPr>
        <w:kinsoku/>
        <w:wordWrap/>
        <w:overflowPunct/>
        <w:topLinePunct w:val="0"/>
        <w:autoSpaceDE/>
        <w:autoSpaceDN/>
        <w:bidi w:val="0"/>
        <w:adjustRightInd/>
        <w:snapToGrid/>
        <w:spacing w:before="240" w:beforeLines="100" w:line="360" w:lineRule="auto"/>
        <w:ind w:firstLine="480" w:firstLineChars="200"/>
        <w:textAlignment w:val="auto"/>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项目申请人高菲、环境工程博士、讲师。2020年6月获得天津大学博士学位，2023年5月同济大学博士后出站。长期从事膜法水处理技术、电化学水处理技术等研究，在超滤膜材料老化和修复、功能电极材料设计制备、污水中氮磷去除及资源化回收等方面取得了一些科研成果，以第一作者（含共同）</w:t>
      </w:r>
      <w:r>
        <w:rPr>
          <w:rFonts w:eastAsia="KaiTi" w:cs="Times New Roman" w:hint="default"/>
          <w:b w:val="0"/>
          <w:bCs w:val="0"/>
          <w:color w:val="000000"/>
          <w:sz w:val="24"/>
          <w:szCs w:val="21"/>
          <w:vertAlign w:val="baseline"/>
          <w:lang w:val="en-US" w:eastAsia="zh-CN" w:bidi="ar"/>
        </w:rPr>
        <w:t>在</w:t>
      </w:r>
      <w:r>
        <w:rPr>
          <w:rFonts w:eastAsia="KaiTi" w:cs="Times New Roman" w:hint="default"/>
          <w:b w:val="0"/>
          <w:bCs w:val="0"/>
          <w:i/>
          <w:iCs/>
          <w:color w:val="000000"/>
          <w:sz w:val="24"/>
          <w:szCs w:val="21"/>
          <w:vertAlign w:val="baseline"/>
          <w:lang w:val="en-US" w:eastAsia="zh-CN" w:bidi="ar"/>
        </w:rPr>
        <w:t>Journal of Membrane Science</w:t>
      </w:r>
      <w:r>
        <w:rPr>
          <w:rFonts w:eastAsia="KaiTi" w:cs="Times New Roman" w:hint="eastAsia"/>
          <w:b w:val="0"/>
          <w:bCs w:val="0"/>
          <w:i/>
          <w:iCs/>
          <w:color w:val="000000"/>
          <w:sz w:val="24"/>
          <w:szCs w:val="21"/>
          <w:vertAlign w:val="baseline"/>
          <w:lang w:val="en-US" w:eastAsia="zh-CN" w:bidi="ar"/>
        </w:rPr>
        <w:t>、</w:t>
      </w:r>
      <w:r>
        <w:rPr>
          <w:rFonts w:eastAsia="KaiTi" w:cs="Times New Roman" w:hint="default"/>
          <w:b w:val="0"/>
          <w:bCs w:val="0"/>
          <w:i/>
          <w:iCs/>
          <w:color w:val="000000"/>
          <w:sz w:val="24"/>
          <w:szCs w:val="21"/>
          <w:vertAlign w:val="baseline"/>
          <w:lang w:val="en-US" w:eastAsia="zh-CN" w:bidi="ar"/>
        </w:rPr>
        <w:t>ACS Applied Materials &amp; Interfaces</w:t>
      </w:r>
      <w:r>
        <w:rPr>
          <w:rFonts w:eastAsia="KaiTi" w:cs="Times New Roman" w:hint="eastAsia"/>
          <w:b w:val="0"/>
          <w:bCs w:val="0"/>
          <w:i/>
          <w:iCs/>
          <w:color w:val="000000"/>
          <w:sz w:val="24"/>
          <w:szCs w:val="21"/>
          <w:vertAlign w:val="baseline"/>
          <w:lang w:val="en-US" w:eastAsia="zh-CN" w:bidi="ar"/>
        </w:rPr>
        <w:t>、</w:t>
      </w:r>
      <w:r>
        <w:rPr>
          <w:rFonts w:eastAsia="KaiTi" w:cs="Times New Roman" w:hint="default"/>
          <w:b w:val="0"/>
          <w:bCs w:val="0"/>
          <w:i/>
          <w:iCs/>
          <w:color w:val="000000"/>
          <w:sz w:val="24"/>
          <w:szCs w:val="21"/>
          <w:vertAlign w:val="baseline"/>
          <w:lang w:val="en-US" w:eastAsia="zh-CN" w:bidi="ar"/>
        </w:rPr>
        <w:t>ACS ES&amp;T Water</w:t>
      </w:r>
      <w:r>
        <w:rPr>
          <w:rFonts w:eastAsia="KaiTi" w:cs="Times New Roman" w:hint="default"/>
          <w:b w:val="0"/>
          <w:bCs w:val="0"/>
          <w:color w:val="000000"/>
          <w:sz w:val="24"/>
          <w:szCs w:val="21"/>
          <w:vertAlign w:val="baseline"/>
          <w:lang w:val="en-US" w:eastAsia="zh-CN" w:bidi="ar"/>
        </w:rPr>
        <w:t>等高水平期刊发表论文1</w:t>
      </w:r>
      <w:r>
        <w:rPr>
          <w:rFonts w:eastAsia="KaiTi" w:cs="Times New Roman" w:hint="eastAsia"/>
          <w:b w:val="0"/>
          <w:bCs w:val="0"/>
          <w:color w:val="000000"/>
          <w:sz w:val="24"/>
          <w:szCs w:val="21"/>
          <w:vertAlign w:val="baseline"/>
          <w:lang w:val="en-US" w:eastAsia="zh-CN" w:bidi="ar"/>
        </w:rPr>
        <w:t>2</w:t>
      </w:r>
      <w:r>
        <w:rPr>
          <w:rFonts w:eastAsia="KaiTi" w:cs="Times New Roman" w:hint="default"/>
          <w:b w:val="0"/>
          <w:bCs w:val="0"/>
          <w:color w:val="000000"/>
          <w:sz w:val="24"/>
          <w:szCs w:val="21"/>
          <w:vertAlign w:val="baseline"/>
          <w:lang w:val="en-US" w:eastAsia="zh-CN" w:bidi="ar"/>
        </w:rPr>
        <w:t>篇，</w:t>
      </w:r>
      <w:r>
        <w:rPr>
          <w:rFonts w:eastAsia="KaiTi" w:cs="Times New Roman" w:hint="eastAsia"/>
          <w:b w:val="0"/>
          <w:bCs w:val="0"/>
          <w:color w:val="000000"/>
          <w:sz w:val="24"/>
          <w:szCs w:val="21"/>
          <w:vertAlign w:val="baseline"/>
          <w:lang w:val="en-US" w:eastAsia="zh-CN" w:bidi="ar"/>
        </w:rPr>
        <w:t>授权</w:t>
      </w:r>
      <w:r>
        <w:rPr>
          <w:rFonts w:eastAsia="KaiTi" w:cs="Times New Roman" w:hint="default"/>
          <w:b w:val="0"/>
          <w:bCs w:val="0"/>
          <w:color w:val="000000"/>
          <w:sz w:val="24"/>
          <w:szCs w:val="21"/>
          <w:vertAlign w:val="baseline"/>
          <w:lang w:val="en-US" w:eastAsia="zh-CN" w:bidi="ar"/>
        </w:rPr>
        <w:t>中国发明专利</w:t>
      </w:r>
      <w:r>
        <w:rPr>
          <w:rFonts w:eastAsia="KaiTi" w:cs="Times New Roman" w:hint="eastAsia"/>
          <w:b w:val="0"/>
          <w:bCs w:val="0"/>
          <w:color w:val="000000"/>
          <w:sz w:val="24"/>
          <w:szCs w:val="21"/>
          <w:vertAlign w:val="baseline"/>
          <w:lang w:val="en-US" w:eastAsia="zh-CN" w:bidi="ar"/>
        </w:rPr>
        <w:t>6项</w:t>
      </w:r>
      <w:r>
        <w:rPr>
          <w:rFonts w:eastAsia="KaiTi" w:cs="Times New Roman" w:hint="default"/>
          <w:b w:val="0"/>
          <w:bCs w:val="0"/>
          <w:color w:val="000000"/>
          <w:sz w:val="24"/>
          <w:szCs w:val="21"/>
          <w:vertAlign w:val="baseline"/>
          <w:lang w:val="en-US" w:eastAsia="zh-CN" w:bidi="ar"/>
        </w:rPr>
        <w:t>。</w:t>
      </w:r>
      <w:r>
        <w:rPr>
          <w:rFonts w:eastAsia="KaiTi" w:cs="Times New Roman" w:hint="eastAsia"/>
          <w:b w:val="0"/>
          <w:bCs w:val="0"/>
          <w:color w:val="000000"/>
          <w:sz w:val="24"/>
          <w:szCs w:val="21"/>
          <w:vertAlign w:val="baseline"/>
          <w:lang w:val="en-US" w:eastAsia="zh-CN" w:bidi="ar"/>
        </w:rPr>
        <w:t>以上研究工作和项目锻炼使申请人获得扎实的理论知识与实践累积，为本项目顺利进行奠定坚实的基础。</w:t>
      </w:r>
    </w:p>
    <w:p w14:paraId="69961E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eastAsia="KaiTi" w:cs="Times New Roman" w:hint="default"/>
          <w:b w:val="0"/>
          <w:bCs w:val="0"/>
          <w:color w:val="000000"/>
          <w:sz w:val="24"/>
          <w:szCs w:val="21"/>
          <w:vertAlign w:val="baseline"/>
          <w:lang w:val="en-US" w:eastAsia="zh-CN" w:bidi="ar"/>
        </w:rPr>
      </w:pPr>
      <w:r>
        <w:rPr>
          <w:rFonts w:eastAsia="KaiTi" w:cs="Times New Roman" w:hint="default"/>
          <w:b w:val="0"/>
          <w:bCs w:val="0"/>
          <w:color w:val="000000"/>
          <w:sz w:val="24"/>
          <w:szCs w:val="21"/>
          <w:vertAlign w:val="baseline"/>
          <w:lang w:val="en-US" w:eastAsia="zh-CN" w:bidi="ar"/>
        </w:rPr>
        <w:t>与本项目相关的前期实验研究工作如下：</w:t>
      </w:r>
    </w:p>
    <w:p w14:paraId="51ABAA32">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eastAsia="KaiTi" w:cs="Times New Roman" w:hint="eastAsia"/>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高选择性捕获磷的电极构筑及机理解析</w:t>
      </w:r>
    </w:p>
    <w:p w14:paraId="3D000E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eastAsia="KaiTi" w:cs="Times New Roman" w:hint="eastAsia"/>
          <w:b/>
          <w:bCs/>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针对CDI系统对污/废水中磷去除/回收效果不佳的问题，申请人设计制备了高选择性捕获磷酸盐且离子存储容量大、性能稳定的二茂铁改性聚苯胺/碳纳米管复合电极（</w:t>
      </w:r>
      <w:r>
        <w:rPr>
          <w:rFonts w:eastAsia="KaiTi" w:cs="Times New Roman" w:hint="eastAsia"/>
          <w:b w:val="0"/>
          <w:bCs w:val="0"/>
          <w:i/>
          <w:iCs/>
          <w:color w:val="000000"/>
          <w:sz w:val="24"/>
          <w:szCs w:val="21"/>
          <w:vertAlign w:val="baseline"/>
          <w:lang w:val="en-US" w:eastAsia="zh-CN" w:bidi="ar"/>
        </w:rPr>
        <w:t>ACS Appl. Mater. Interfaces, 2022, 14, 31962-31972</w:t>
      </w:r>
      <w:r>
        <w:rPr>
          <w:rFonts w:eastAsia="KaiTi" w:cs="Times New Roman" w:hint="eastAsia"/>
          <w:b w:val="0"/>
          <w:bCs w:val="0"/>
          <w:color w:val="000000"/>
          <w:sz w:val="24"/>
          <w:szCs w:val="21"/>
          <w:vertAlign w:val="baseline"/>
          <w:lang w:val="en-US" w:eastAsia="zh-CN" w:bidi="ar"/>
        </w:rPr>
        <w:t>）（图3）和胍基修饰聚丙烯胺盐酸盐/碳纳米管复合电极（</w:t>
      </w:r>
      <w:r>
        <w:rPr>
          <w:rFonts w:eastAsia="KaiTi" w:cs="Times New Roman" w:hint="eastAsia"/>
          <w:b w:val="0"/>
          <w:bCs w:val="0"/>
          <w:i/>
          <w:iCs/>
          <w:color w:val="000000"/>
          <w:sz w:val="24"/>
          <w:szCs w:val="21"/>
          <w:vertAlign w:val="baseline"/>
          <w:lang w:val="en-US" w:eastAsia="zh-CN" w:bidi="ar"/>
        </w:rPr>
        <w:t>ACS ES&amp;T Water, 2021, 2, 237-246</w:t>
      </w:r>
      <w:r>
        <w:rPr>
          <w:rFonts w:eastAsia="KaiTi" w:cs="Times New Roman" w:hint="eastAsia"/>
          <w:b w:val="0"/>
          <w:bCs w:val="0"/>
          <w:color w:val="000000"/>
          <w:sz w:val="24"/>
          <w:szCs w:val="21"/>
          <w:vertAlign w:val="baseline"/>
          <w:lang w:val="en-US" w:eastAsia="zh-CN" w:bidi="ar"/>
        </w:rPr>
        <w:t>），适用于多元阴离子环境下磷酸根离子的选择性去除和回收。探明了复合电极材料的物化特性、组分赋存形态变化以及组分间相互作用机制，揭示了新型电极材料对磷酸盐的选择性捕获/释放作用机理。</w:t>
      </w:r>
      <w:r>
        <w:rPr>
          <w:rFonts w:eastAsia="KaiTi" w:cs="Times New Roman" w:hint="eastAsia"/>
          <w:b/>
          <w:bCs/>
          <w:color w:val="000000"/>
          <w:sz w:val="24"/>
          <w:szCs w:val="21"/>
          <w:vertAlign w:val="baseline"/>
          <w:lang w:val="en-US" w:eastAsia="zh-CN" w:bidi="ar"/>
        </w:rPr>
        <w:t>该研究基础有利于申请人深入认识选择性吸附机制和吸附材料设计原理，为本项目研究中MXene/M-Zr-MOF电催化膜构筑提供了理论基础和技术支持。</w:t>
      </w:r>
    </w:p>
    <w:p w14:paraId="674A64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sz w:val="21"/>
          <w:szCs w:val="21"/>
        </w:rPr>
      </w:pPr>
      <w:r>
        <w:rPr>
          <w:sz w:val="21"/>
          <w:szCs w:val="21"/>
        </w:rPr>
        <w:drawing>
          <wp:inline distT="0" distB="0" distL="114300" distR="114300">
            <wp:extent cx="4970145" cy="2893060"/>
            <wp:effectExtent l="0" t="0" r="0" b="254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01318" name="图片 5"/>
                    <pic:cNvPicPr>
                      <a:picLocks noChangeAspect="1"/>
                    </pic:cNvPicPr>
                  </pic:nvPicPr>
                  <pic:blipFill>
                    <a:blip xmlns:r="http://schemas.openxmlformats.org/officeDocument/2006/relationships" r:embed="rId7"/>
                    <a:srcRect r="11269"/>
                    <a:stretch>
                      <a:fillRect/>
                    </a:stretch>
                  </pic:blipFill>
                  <pic:spPr>
                    <a:xfrm>
                      <a:off x="0" y="0"/>
                      <a:ext cx="4970145" cy="2893060"/>
                    </a:xfrm>
                    <a:prstGeom prst="rect">
                      <a:avLst/>
                    </a:prstGeom>
                  </pic:spPr>
                </pic:pic>
              </a:graphicData>
            </a:graphic>
          </wp:inline>
        </w:drawing>
      </w:r>
    </w:p>
    <w:p w14:paraId="6A7BA78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ascii="KaiTi" w:eastAsia="KaiTi" w:hAnsi="KaiTi" w:cs="KaiTi" w:hint="eastAsia"/>
          <w:sz w:val="21"/>
          <w:szCs w:val="21"/>
          <w:lang w:val="en-US" w:eastAsia="zh-CN"/>
        </w:rPr>
      </w:pPr>
      <w:r>
        <w:rPr>
          <w:rFonts w:ascii="KaiTi" w:eastAsia="KaiTi" w:hAnsi="KaiTi" w:cs="KaiTi" w:hint="eastAsia"/>
          <w:sz w:val="21"/>
          <w:szCs w:val="21"/>
          <w:lang w:val="en-US" w:eastAsia="zh-CN"/>
        </w:rPr>
        <w:t>图3（a）二茂铁改性聚苯胺/碳纳米管复合电极选择性回收磷酸盐示意图；（b）氧化态/还原态二茂铁改性聚苯胺与各种阴离子之间的溶剂化修正结合能以及阴离子和氧化态/还原态二茂铁改性聚苯胺配合物的</w:t>
      </w:r>
      <w:r>
        <w:rPr>
          <w:rFonts w:ascii="Times New Roman" w:eastAsia="KaiTi" w:hAnsi="Times New Roman" w:cs="Times New Roman" w:hint="default"/>
          <w:sz w:val="21"/>
          <w:szCs w:val="21"/>
          <w:lang w:val="en-US" w:eastAsia="zh-CN"/>
        </w:rPr>
        <w:t>ESP</w:t>
      </w:r>
      <w:r>
        <w:rPr>
          <w:rFonts w:ascii="KaiTi" w:eastAsia="KaiTi" w:hAnsi="KaiTi" w:cs="KaiTi" w:hint="eastAsia"/>
          <w:sz w:val="21"/>
          <w:szCs w:val="21"/>
          <w:lang w:val="en-US" w:eastAsia="zh-CN"/>
        </w:rPr>
        <w:t>分布；（c）不同体系中磷酸根离子吸附量随时间变化图；（d）不同体系中氯离子吸附量随时间变化图；（e）不同体系中电极的磷酸离子吸附量和</w:t>
      </w:r>
      <w:r>
        <w:rPr>
          <w:rFonts w:ascii="Times New Roman" w:eastAsia="KaiTi" w:hAnsi="Times New Roman" w:cs="Times New Roman" w:hint="default"/>
          <w:sz w:val="21"/>
          <w:szCs w:val="21"/>
          <w:lang w:val="en-US" w:eastAsia="zh-CN"/>
        </w:rPr>
        <w:t>Fc-PANI/CNTs/ PANI/CNTs</w:t>
      </w:r>
      <w:r>
        <w:rPr>
          <w:rFonts w:ascii="KaiTi" w:eastAsia="KaiTi" w:hAnsi="KaiTi" w:cs="KaiTi" w:hint="eastAsia"/>
          <w:sz w:val="21"/>
          <w:szCs w:val="21"/>
          <w:lang w:val="en-US" w:eastAsia="zh-CN"/>
        </w:rPr>
        <w:t>体系的循环稳定性</w:t>
      </w:r>
    </w:p>
    <w:p w14:paraId="1427DD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eastAsia="KaiTi" w:cs="Times New Roman" w:hint="eastAsia"/>
          <w:b/>
          <w:bCs/>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在此基础上，制备了氮掺杂石墨烯气凝胶负载二茂铁-聚苯胺复合电极（</w:t>
      </w:r>
      <w:r>
        <w:rPr>
          <w:rFonts w:eastAsia="KaiTi" w:cs="Times New Roman" w:hint="default"/>
          <w:b w:val="0"/>
          <w:bCs w:val="0"/>
          <w:i/>
          <w:iCs/>
          <w:color w:val="000000"/>
          <w:sz w:val="24"/>
          <w:szCs w:val="21"/>
          <w:vertAlign w:val="baseline"/>
          <w:lang w:val="en-US" w:eastAsia="zh-CN" w:bidi="ar"/>
        </w:rPr>
        <w:t>ACS ES&amp;T Water</w:t>
      </w:r>
      <w:r>
        <w:rPr>
          <w:rFonts w:eastAsia="KaiTi" w:cs="Times New Roman" w:hint="eastAsia"/>
          <w:b w:val="0"/>
          <w:bCs w:val="0"/>
          <w:i/>
          <w:iCs/>
          <w:color w:val="000000"/>
          <w:sz w:val="24"/>
          <w:szCs w:val="21"/>
          <w:vertAlign w:val="baseline"/>
          <w:lang w:val="en-US" w:eastAsia="zh-CN" w:bidi="ar"/>
        </w:rPr>
        <w:t xml:space="preserve">, </w:t>
      </w:r>
      <w:r>
        <w:rPr>
          <w:rFonts w:eastAsia="KaiTi" w:cs="Times New Roman" w:hint="default"/>
          <w:b w:val="0"/>
          <w:bCs w:val="0"/>
          <w:i/>
          <w:iCs/>
          <w:color w:val="000000"/>
          <w:sz w:val="24"/>
          <w:szCs w:val="21"/>
          <w:vertAlign w:val="baseline"/>
          <w:lang w:val="en-US" w:eastAsia="zh-CN" w:bidi="ar"/>
        </w:rPr>
        <w:t>2022</w:t>
      </w:r>
      <w:r>
        <w:rPr>
          <w:rFonts w:eastAsia="KaiTi" w:cs="Times New Roman" w:hint="eastAsia"/>
          <w:b w:val="0"/>
          <w:bCs w:val="0"/>
          <w:i/>
          <w:iCs/>
          <w:color w:val="000000"/>
          <w:sz w:val="24"/>
          <w:szCs w:val="21"/>
          <w:vertAlign w:val="baseline"/>
          <w:lang w:val="en-US" w:eastAsia="zh-CN" w:bidi="ar"/>
        </w:rPr>
        <w:t>, 2, 2602-2612</w:t>
      </w:r>
      <w:r>
        <w:rPr>
          <w:rFonts w:eastAsia="KaiTi" w:cs="Times New Roman" w:hint="eastAsia"/>
          <w:b w:val="0"/>
          <w:bCs w:val="0"/>
          <w:color w:val="000000"/>
          <w:sz w:val="24"/>
          <w:szCs w:val="21"/>
          <w:vertAlign w:val="baseline"/>
          <w:lang w:val="en-US" w:eastAsia="zh-CN" w:bidi="ar"/>
        </w:rPr>
        <w:t>）（图4），用于对废水中浓度较低且难以被微生物代谢的亚磷酸盐的选择性捕获和同步催化氧化。探明了电容吸附过程双电层和赝电容效应、电催化氧化和选择性电容吸附的协同作用机制。解决了现有CDI系统中电极功能单一（吸附为主）的问题，实现了对磷的高选择性去除和资源化回收，扩展了传统电吸附技术的发展方向。</w:t>
      </w:r>
      <w:r>
        <w:rPr>
          <w:rFonts w:eastAsia="KaiTi" w:cs="Times New Roman" w:hint="eastAsia"/>
          <w:b/>
          <w:bCs/>
          <w:color w:val="000000"/>
          <w:sz w:val="24"/>
          <w:szCs w:val="21"/>
          <w:vertAlign w:val="baseline"/>
          <w:lang w:val="en-US" w:eastAsia="zh-CN" w:bidi="ar"/>
        </w:rPr>
        <w:t>该研究基础加深了申请人对选择性吸附和电催化氧化协同的认识，为本项目研究中通过构建</w:t>
      </w:r>
      <w:bookmarkStart w:id="171" w:name="OLE_LINK71"/>
      <w:r>
        <w:rPr>
          <w:rFonts w:eastAsia="KaiTi" w:cs="Times New Roman" w:hint="eastAsia"/>
          <w:b/>
          <w:bCs/>
          <w:color w:val="000000"/>
          <w:sz w:val="24"/>
          <w:szCs w:val="21"/>
          <w:vertAlign w:val="baseline"/>
          <w:lang w:val="en-US" w:eastAsia="zh-CN" w:bidi="ar"/>
        </w:rPr>
        <w:t>选择</w:t>
      </w:r>
      <w:bookmarkStart w:id="172" w:name="OLE_LINK114"/>
      <w:r>
        <w:rPr>
          <w:rFonts w:eastAsia="KaiTi" w:cs="Times New Roman" w:hint="eastAsia"/>
          <w:b/>
          <w:bCs/>
          <w:color w:val="000000"/>
          <w:sz w:val="24"/>
          <w:szCs w:val="21"/>
          <w:vertAlign w:val="baseline"/>
          <w:lang w:val="en-US" w:eastAsia="zh-CN" w:bidi="ar"/>
        </w:rPr>
        <w:t>吸附-电催化膜</w:t>
      </w:r>
      <w:bookmarkEnd w:id="172"/>
      <w:r>
        <w:rPr>
          <w:rFonts w:eastAsia="KaiTi" w:cs="Times New Roman" w:hint="eastAsia"/>
          <w:b/>
          <w:bCs/>
          <w:color w:val="000000"/>
          <w:sz w:val="24"/>
          <w:szCs w:val="21"/>
          <w:vertAlign w:val="baseline"/>
          <w:lang w:val="en-US" w:eastAsia="zh-CN" w:bidi="ar"/>
        </w:rPr>
        <w:t>过滤系统</w:t>
      </w:r>
      <w:bookmarkEnd w:id="171"/>
      <w:r>
        <w:rPr>
          <w:rFonts w:eastAsia="KaiTi" w:cs="Times New Roman" w:hint="eastAsia"/>
          <w:b/>
          <w:bCs/>
          <w:color w:val="000000"/>
          <w:sz w:val="24"/>
          <w:szCs w:val="21"/>
          <w:vertAlign w:val="baseline"/>
          <w:lang w:val="en-US" w:eastAsia="zh-CN" w:bidi="ar"/>
        </w:rPr>
        <w:t>高效去除复杂环境中重金属的方案提供了思路。</w:t>
      </w:r>
    </w:p>
    <w:p w14:paraId="772A2B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sz w:val="21"/>
          <w:szCs w:val="21"/>
        </w:rPr>
      </w:pPr>
      <w:r>
        <w:rPr>
          <w:sz w:val="21"/>
          <w:szCs w:val="21"/>
        </w:rPr>
        <w:drawing>
          <wp:inline distT="0" distB="0" distL="114300" distR="114300">
            <wp:extent cx="5396865" cy="2448560"/>
            <wp:effectExtent l="0" t="0" r="635"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76054" name="图片 1"/>
                    <pic:cNvPicPr>
                      <a:picLocks noChangeAspect="1"/>
                    </pic:cNvPicPr>
                  </pic:nvPicPr>
                  <pic:blipFill>
                    <a:blip xmlns:r="http://schemas.openxmlformats.org/officeDocument/2006/relationships" r:embed="rId8"/>
                    <a:stretch>
                      <a:fillRect/>
                    </a:stretch>
                  </pic:blipFill>
                  <pic:spPr>
                    <a:xfrm>
                      <a:off x="0" y="0"/>
                      <a:ext cx="5396865" cy="2448560"/>
                    </a:xfrm>
                    <a:prstGeom prst="rect">
                      <a:avLst/>
                    </a:prstGeom>
                    <a:noFill/>
                    <a:ln>
                      <a:noFill/>
                    </a:ln>
                  </pic:spPr>
                </pic:pic>
              </a:graphicData>
            </a:graphic>
          </wp:inline>
        </w:drawing>
      </w:r>
    </w:p>
    <w:p w14:paraId="57A27E3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sz w:val="21"/>
          <w:szCs w:val="21"/>
          <w:lang w:val="en-US" w:eastAsia="zh-CN"/>
        </w:rPr>
      </w:pPr>
      <w:r>
        <w:rPr>
          <w:rFonts w:ascii="KaiTi" w:eastAsia="KaiTi" w:hAnsi="KaiTi" w:cs="KaiTi" w:hint="eastAsia"/>
          <w:sz w:val="21"/>
          <w:szCs w:val="21"/>
          <w:lang w:val="en-US" w:eastAsia="zh-CN"/>
        </w:rPr>
        <w:t>图4（a）氮掺杂石墨烯气凝胶负载二茂铁-聚苯胺复合电极构筑的电化学系统中亚磷酸盐选择性吸附和氧化机理示意图；（b）氮掺杂石墨烯气凝胶负载二茂铁-聚苯胺与不同态磷酸根和亚磷酸根离子结合自由能的比较；（c）氮掺杂石墨烯气凝胶负载二茂铁-聚苯胺表面吸附的亚磷酸盐不同反应路线的吉布斯自由能图</w:t>
      </w:r>
    </w:p>
    <w:p w14:paraId="3525648D">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eastAsia="KaiTi" w:cs="Times New Roman" w:hint="default"/>
          <w:b w:val="0"/>
          <w:bCs w:val="0"/>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水处理工艺耦合与应用强化</w:t>
      </w:r>
    </w:p>
    <w:p w14:paraId="01D318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eastAsia="KaiTi" w:cs="Times New Roman" w:hint="default"/>
          <w:b w:val="0"/>
          <w:bCs w:val="0"/>
          <w:color w:val="000000"/>
          <w:sz w:val="24"/>
          <w:szCs w:val="21"/>
          <w:vertAlign w:val="baseline"/>
          <w:lang w:val="en-US" w:eastAsia="zh-CN" w:bidi="ar"/>
        </w:rPr>
      </w:pPr>
      <w:r>
        <w:rPr>
          <w:rFonts w:eastAsia="KaiTi" w:cs="Times New Roman" w:hint="default"/>
          <w:b w:val="0"/>
          <w:bCs w:val="0"/>
          <w:color w:val="000000"/>
          <w:sz w:val="24"/>
          <w:szCs w:val="21"/>
          <w:vertAlign w:val="baseline"/>
          <w:lang w:val="en-US" w:eastAsia="zh-CN" w:bidi="ar"/>
        </w:rPr>
        <w:t>申请人采用电化学耦合技术同步去除和回收污水中的氮和磷</w:t>
      </w:r>
      <w:r>
        <w:rPr>
          <w:rFonts w:eastAsia="KaiTi" w:cs="Times New Roman" w:hint="eastAsia"/>
          <w:b w:val="0"/>
          <w:bCs w:val="0"/>
          <w:color w:val="000000"/>
          <w:sz w:val="24"/>
          <w:szCs w:val="21"/>
          <w:vertAlign w:val="baseline"/>
          <w:lang w:val="en-US" w:eastAsia="zh-CN" w:bidi="ar"/>
        </w:rPr>
        <w:t>（</w:t>
      </w:r>
      <w:r>
        <w:rPr>
          <w:rFonts w:eastAsia="KaiTi" w:cs="Times New Roman" w:hint="eastAsia"/>
          <w:b w:val="0"/>
          <w:bCs w:val="0"/>
          <w:i/>
          <w:iCs/>
          <w:color w:val="000000"/>
          <w:sz w:val="24"/>
          <w:szCs w:val="21"/>
          <w:vertAlign w:val="baseline"/>
          <w:lang w:val="en-US" w:eastAsia="zh-CN" w:bidi="ar"/>
        </w:rPr>
        <w:t>Environ. Sci.: Water Res. Technol., 2020, 6, 383-391</w:t>
      </w:r>
      <w:r>
        <w:rPr>
          <w:rFonts w:eastAsia="KaiTi" w:cs="Times New Roman" w:hint="eastAsia"/>
          <w:b w:val="0"/>
          <w:bCs w:val="0"/>
          <w:color w:val="000000"/>
          <w:sz w:val="24"/>
          <w:szCs w:val="21"/>
          <w:vertAlign w:val="baseline"/>
          <w:lang w:val="en-US" w:eastAsia="zh-CN" w:bidi="ar"/>
        </w:rPr>
        <w:t>）（图5a）</w:t>
      </w:r>
      <w:r>
        <w:rPr>
          <w:rFonts w:eastAsia="KaiTi" w:cs="Times New Roman" w:hint="default"/>
          <w:b w:val="0"/>
          <w:bCs w:val="0"/>
          <w:color w:val="000000"/>
          <w:sz w:val="24"/>
          <w:szCs w:val="21"/>
          <w:vertAlign w:val="baseline"/>
          <w:lang w:val="en-US" w:eastAsia="zh-CN" w:bidi="ar"/>
        </w:rPr>
        <w:t>。首先，通过双极膜电渗析（BMED）系统碱化污水，BMED酸室和碱室分别为海水和模拟污水。在电场作用下，双极膜内发生水电解，产生的H</w:t>
      </w:r>
      <w:r>
        <w:rPr>
          <w:rFonts w:eastAsia="KaiTi" w:cs="Times New Roman" w:hint="default"/>
          <w:b w:val="0"/>
          <w:bCs w:val="0"/>
          <w:color w:val="000000"/>
          <w:sz w:val="24"/>
          <w:szCs w:val="21"/>
          <w:vertAlign w:val="superscript"/>
          <w:lang w:val="en-US" w:eastAsia="zh-CN" w:bidi="ar"/>
        </w:rPr>
        <w:t>+</w:t>
      </w:r>
      <w:r>
        <w:rPr>
          <w:rFonts w:eastAsia="KaiTi" w:cs="Times New Roman" w:hint="default"/>
          <w:b w:val="0"/>
          <w:bCs w:val="0"/>
          <w:color w:val="000000"/>
          <w:sz w:val="24"/>
          <w:szCs w:val="21"/>
          <w:vertAlign w:val="baseline"/>
          <w:lang w:val="en-US" w:eastAsia="zh-CN" w:bidi="ar"/>
        </w:rPr>
        <w:t>和OH</w:t>
      </w:r>
      <w:r>
        <w:rPr>
          <w:rFonts w:eastAsia="KaiTi" w:cs="Times New Roman" w:hint="default"/>
          <w:b w:val="0"/>
          <w:bCs w:val="0"/>
          <w:color w:val="000000"/>
          <w:sz w:val="24"/>
          <w:szCs w:val="21"/>
          <w:vertAlign w:val="superscript"/>
          <w:lang w:val="en-US" w:eastAsia="zh-CN" w:bidi="ar"/>
        </w:rPr>
        <w:t>-</w:t>
      </w:r>
      <w:r>
        <w:rPr>
          <w:rFonts w:eastAsia="KaiTi" w:cs="Times New Roman" w:hint="default"/>
          <w:b w:val="0"/>
          <w:bCs w:val="0"/>
          <w:color w:val="000000"/>
          <w:sz w:val="24"/>
          <w:szCs w:val="21"/>
          <w:vertAlign w:val="baseline"/>
          <w:lang w:val="en-US" w:eastAsia="zh-CN" w:bidi="ar"/>
        </w:rPr>
        <w:t>向相反方向迁移，OH</w:t>
      </w:r>
      <w:r>
        <w:rPr>
          <w:rFonts w:eastAsia="KaiTi" w:cs="Times New Roman" w:hint="default"/>
          <w:b w:val="0"/>
          <w:bCs w:val="0"/>
          <w:color w:val="000000"/>
          <w:sz w:val="24"/>
          <w:szCs w:val="21"/>
          <w:vertAlign w:val="superscript"/>
          <w:lang w:val="en-US" w:eastAsia="zh-CN" w:bidi="ar"/>
        </w:rPr>
        <w:t>-</w:t>
      </w:r>
      <w:r>
        <w:rPr>
          <w:rFonts w:eastAsia="KaiTi" w:cs="Times New Roman" w:hint="default"/>
          <w:b w:val="0"/>
          <w:bCs w:val="0"/>
          <w:color w:val="000000"/>
          <w:sz w:val="24"/>
          <w:szCs w:val="21"/>
          <w:vertAlign w:val="baseline"/>
          <w:lang w:val="en-US" w:eastAsia="zh-CN" w:bidi="ar"/>
        </w:rPr>
        <w:t>为污水中磷酸盐以鸟粪石沉淀形式回收提供了所需的碱度，同时产生的酸性海水可用于生成二氧化碳。这一电化学技术在很大程度上减少了化学药剂的使用。但是，实际污水中氮磷比较高，鸟粪石沉淀池出水中NH</w:t>
      </w:r>
      <w:r>
        <w:rPr>
          <w:rFonts w:eastAsia="KaiTi" w:cs="Times New Roman" w:hint="default"/>
          <w:b w:val="0"/>
          <w:bCs w:val="0"/>
          <w:color w:val="000000"/>
          <w:sz w:val="24"/>
          <w:szCs w:val="21"/>
          <w:vertAlign w:val="subscript"/>
          <w:lang w:val="en-US" w:eastAsia="zh-CN" w:bidi="ar"/>
        </w:rPr>
        <w:t>4</w:t>
      </w:r>
      <w:r>
        <w:rPr>
          <w:rFonts w:eastAsia="KaiTi" w:cs="Times New Roman" w:hint="default"/>
          <w:b w:val="0"/>
          <w:bCs w:val="0"/>
          <w:color w:val="000000"/>
          <w:sz w:val="24"/>
          <w:szCs w:val="21"/>
          <w:vertAlign w:val="superscript"/>
          <w:lang w:val="en-US" w:eastAsia="zh-CN" w:bidi="ar"/>
        </w:rPr>
        <w:t>+</w:t>
      </w:r>
      <w:r>
        <w:rPr>
          <w:rFonts w:eastAsia="KaiTi" w:cs="Times New Roman" w:hint="default"/>
          <w:b w:val="0"/>
          <w:bCs w:val="0"/>
          <w:color w:val="000000"/>
          <w:sz w:val="24"/>
          <w:szCs w:val="21"/>
          <w:vertAlign w:val="baseline"/>
          <w:lang w:val="en-US" w:eastAsia="zh-CN" w:bidi="ar"/>
        </w:rPr>
        <w:t>-N仍然超标。因此，进一步采用MCDI去除并富集污水中NH</w:t>
      </w:r>
      <w:r>
        <w:rPr>
          <w:rFonts w:eastAsia="KaiTi" w:cs="Times New Roman" w:hint="default"/>
          <w:b w:val="0"/>
          <w:bCs w:val="0"/>
          <w:color w:val="000000"/>
          <w:sz w:val="24"/>
          <w:szCs w:val="21"/>
          <w:vertAlign w:val="subscript"/>
          <w:lang w:val="en-US" w:eastAsia="zh-CN" w:bidi="ar"/>
        </w:rPr>
        <w:t>4</w:t>
      </w:r>
      <w:r>
        <w:rPr>
          <w:rFonts w:eastAsia="KaiTi" w:cs="Times New Roman" w:hint="default"/>
          <w:b w:val="0"/>
          <w:bCs w:val="0"/>
          <w:color w:val="000000"/>
          <w:sz w:val="24"/>
          <w:szCs w:val="21"/>
          <w:vertAlign w:val="superscript"/>
          <w:lang w:val="en-US" w:eastAsia="zh-CN" w:bidi="ar"/>
        </w:rPr>
        <w:t>+</w:t>
      </w:r>
      <w:r>
        <w:rPr>
          <w:rFonts w:eastAsia="KaiTi" w:cs="Times New Roman" w:hint="default"/>
          <w:b w:val="0"/>
          <w:bCs w:val="0"/>
          <w:color w:val="000000"/>
          <w:sz w:val="24"/>
          <w:szCs w:val="21"/>
          <w:vertAlign w:val="baseline"/>
          <w:lang w:val="en-US" w:eastAsia="zh-CN" w:bidi="ar"/>
        </w:rPr>
        <w:t>。该集成系统可回收污水中89%的磷和77%的氮，水回收率达81%，产水达到直接排放和再利用的标准。</w:t>
      </w:r>
    </w:p>
    <w:p w14:paraId="07BAAF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eastAsia="KaiTi" w:cs="Times New Roman" w:hint="default"/>
          <w:b/>
          <w:bCs/>
          <w:color w:val="000000"/>
          <w:sz w:val="24"/>
          <w:szCs w:val="21"/>
          <w:vertAlign w:val="baseline"/>
          <w:lang w:val="en-US" w:eastAsia="zh-CN" w:bidi="ar"/>
        </w:rPr>
      </w:pPr>
      <w:r>
        <w:rPr>
          <w:rFonts w:eastAsia="KaiTi" w:cs="Times New Roman" w:hint="eastAsia"/>
          <w:b w:val="0"/>
          <w:bCs w:val="0"/>
          <w:color w:val="000000"/>
          <w:sz w:val="24"/>
          <w:szCs w:val="21"/>
          <w:vertAlign w:val="baseline"/>
          <w:lang w:val="en-US" w:eastAsia="zh-CN" w:bidi="ar"/>
        </w:rPr>
        <w:t>另外，</w:t>
      </w:r>
      <w:r>
        <w:rPr>
          <w:rFonts w:eastAsia="KaiTi" w:cs="Times New Roman" w:hint="default"/>
          <w:b w:val="0"/>
          <w:bCs w:val="0"/>
          <w:color w:val="000000"/>
          <w:sz w:val="24"/>
          <w:szCs w:val="21"/>
          <w:vertAlign w:val="baseline"/>
          <w:lang w:val="en-US" w:eastAsia="zh-CN" w:bidi="ar"/>
        </w:rPr>
        <w:t>针对反渗透膜（RO）在实际运行过程中存在的膜结垢问题，</w:t>
      </w:r>
      <w:r>
        <w:rPr>
          <w:rFonts w:eastAsia="KaiTi" w:cs="Times New Roman" w:hint="eastAsia"/>
          <w:b w:val="0"/>
          <w:bCs w:val="0"/>
          <w:color w:val="000000"/>
          <w:sz w:val="24"/>
          <w:szCs w:val="21"/>
          <w:vertAlign w:val="baseline"/>
          <w:lang w:val="en-US" w:eastAsia="zh-CN" w:bidi="ar"/>
        </w:rPr>
        <w:t>申请人</w:t>
      </w:r>
      <w:r>
        <w:rPr>
          <w:rFonts w:eastAsia="KaiTi" w:cs="Times New Roman" w:hint="default"/>
          <w:b w:val="0"/>
          <w:bCs w:val="0"/>
          <w:color w:val="000000"/>
          <w:sz w:val="24"/>
          <w:szCs w:val="21"/>
          <w:vertAlign w:val="baseline"/>
          <w:lang w:val="en-US" w:eastAsia="zh-CN" w:bidi="ar"/>
        </w:rPr>
        <w:t>将磁化预处理应用于RO工艺，</w:t>
      </w:r>
      <w:r>
        <w:rPr>
          <w:rFonts w:eastAsia="KaiTi" w:cs="Times New Roman" w:hint="eastAsia"/>
          <w:b w:val="0"/>
          <w:bCs w:val="0"/>
          <w:color w:val="000000"/>
          <w:sz w:val="24"/>
          <w:szCs w:val="21"/>
          <w:vertAlign w:val="baseline"/>
          <w:lang w:val="en-US" w:eastAsia="zh-CN" w:bidi="ar"/>
        </w:rPr>
        <w:t>结合光谱等分析方法，详细研究了磁化过程溶液特性的变化以及对于后续RO工艺的阻垢效果，明晰了预磁化处理阻垢机制，探明了最佳操作条件（</w:t>
      </w:r>
      <w:r>
        <w:rPr>
          <w:rFonts w:eastAsia="KaiTi" w:cs="Times New Roman" w:hint="eastAsia"/>
          <w:b w:val="0"/>
          <w:bCs w:val="0"/>
          <w:i/>
          <w:iCs/>
          <w:color w:val="000000"/>
          <w:sz w:val="24"/>
          <w:szCs w:val="21"/>
          <w:vertAlign w:val="baseline"/>
          <w:lang w:val="en-US" w:eastAsia="zh-CN" w:bidi="ar"/>
        </w:rPr>
        <w:t>Chem. Eng. Sci., 2024, 286, 119650</w:t>
      </w:r>
      <w:r>
        <w:rPr>
          <w:rFonts w:eastAsia="KaiTi" w:cs="Times New Roman" w:hint="eastAsia"/>
          <w:b w:val="0"/>
          <w:bCs w:val="0"/>
          <w:color w:val="000000"/>
          <w:sz w:val="24"/>
          <w:szCs w:val="21"/>
          <w:vertAlign w:val="baseline"/>
          <w:lang w:val="en-US" w:eastAsia="zh-CN" w:bidi="ar"/>
        </w:rPr>
        <w:t>）（图5b）。</w:t>
      </w:r>
      <w:r>
        <w:rPr>
          <w:rFonts w:eastAsia="KaiTi" w:cs="Times New Roman" w:hint="eastAsia"/>
          <w:b/>
          <w:bCs/>
          <w:color w:val="000000"/>
          <w:sz w:val="24"/>
          <w:szCs w:val="21"/>
          <w:vertAlign w:val="baseline"/>
          <w:lang w:val="en-US" w:eastAsia="zh-CN" w:bidi="ar"/>
        </w:rPr>
        <w:t>这些研究基础锻炼了申请人在工艺优化和调控方面的实验技巧，为本项目中吸附-电催化膜过滤系统的构建和过程调控提供了方法基础。</w:t>
      </w:r>
    </w:p>
    <w:p w14:paraId="1168A4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sz w:val="21"/>
          <w:szCs w:val="21"/>
        </w:rPr>
      </w:pPr>
      <w:r>
        <w:rPr>
          <w:sz w:val="21"/>
          <w:szCs w:val="21"/>
        </w:rPr>
        <w:drawing>
          <wp:inline distT="0" distB="0" distL="114300" distR="114300">
            <wp:extent cx="4617720" cy="3169285"/>
            <wp:effectExtent l="0" t="0" r="5080"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96442" name="图片 3"/>
                    <pic:cNvPicPr>
                      <a:picLocks noChangeAspect="1"/>
                    </pic:cNvPicPr>
                  </pic:nvPicPr>
                  <pic:blipFill>
                    <a:blip xmlns:r="http://schemas.openxmlformats.org/officeDocument/2006/relationships" r:embed="rId9"/>
                    <a:stretch>
                      <a:fillRect/>
                    </a:stretch>
                  </pic:blipFill>
                  <pic:spPr>
                    <a:xfrm>
                      <a:off x="0" y="0"/>
                      <a:ext cx="4617720" cy="3169285"/>
                    </a:xfrm>
                    <a:prstGeom prst="rect">
                      <a:avLst/>
                    </a:prstGeom>
                  </pic:spPr>
                </pic:pic>
              </a:graphicData>
            </a:graphic>
          </wp:inline>
        </w:drawing>
      </w:r>
    </w:p>
    <w:p w14:paraId="5551174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ascii="KaiTi" w:eastAsia="KaiTi" w:hAnsi="KaiTi" w:cs="KaiTi"/>
        </w:rPr>
      </w:pPr>
      <w:r>
        <w:rPr>
          <w:rFonts w:ascii="KaiTi" w:eastAsia="KaiTi" w:hAnsi="KaiTi" w:cs="KaiTi" w:hint="eastAsia"/>
          <w:sz w:val="21"/>
          <w:szCs w:val="21"/>
          <w:lang w:val="en-US" w:eastAsia="zh-CN"/>
        </w:rPr>
        <w:t>图5（a）双极膜电渗析、鸟粪石沉淀池和膜电容去离子集成系统示意图；（b）磁化预处理阻垢机理示意图</w:t>
      </w:r>
    </w:p>
    <w:p w14:paraId="336C285B">
      <w:pPr>
        <w:numPr>
          <w:ilvl w:val="255"/>
          <w:numId w:val="0"/>
        </w:numPr>
        <w:wordWrap w:val="0"/>
        <w:spacing w:line="440" w:lineRule="exact"/>
        <w:ind w:firstLine="560" w:firstLineChars="200"/>
        <w:rPr>
          <w:rFonts w:ascii="KaiTi" w:eastAsia="KaiTi" w:hAnsi="KaiTi" w:cs="KaiTi"/>
        </w:rPr>
      </w:pPr>
      <w:r>
        <w:rPr>
          <w:rFonts w:ascii="KaiTi" w:eastAsia="KaiTi" w:hAnsi="KaiTi" w:cs="KaiTi" w:hint="eastAsia"/>
        </w:rPr>
        <w:t>2.工作条件（已具备的实验条件，尚缺少的实验条件和拟解决的途径）</w:t>
      </w:r>
    </w:p>
    <w:p w14:paraId="364AD438">
      <w:pPr>
        <w:keepNext w:val="0"/>
        <w:keepLines w:val="0"/>
        <w:pageBreakBefore w:val="0"/>
        <w:widowControl w:val="0"/>
        <w:numPr>
          <w:ilvl w:val="0"/>
          <w:numId w:val="0"/>
        </w:numPr>
        <w:kinsoku/>
        <w:wordWrap/>
        <w:overflowPunct/>
        <w:topLinePunct w:val="0"/>
        <w:autoSpaceDE/>
        <w:autoSpaceDN/>
        <w:bidi w:val="0"/>
        <w:adjustRightInd/>
        <w:snapToGrid/>
        <w:spacing w:before="240" w:beforeLines="100" w:line="360" w:lineRule="auto"/>
        <w:ind w:firstLine="480" w:firstLineChars="200"/>
        <w:textAlignment w:val="auto"/>
        <w:rPr>
          <w:rFonts w:eastAsia="KaiTi" w:cs="Times New Roman" w:hint="default"/>
          <w:b w:val="0"/>
          <w:bCs w:val="0"/>
          <w:color w:val="000000"/>
          <w:sz w:val="24"/>
          <w:vertAlign w:val="baseline"/>
          <w:lang w:val="en-US" w:eastAsia="zh-CN" w:bidi="ar"/>
        </w:rPr>
      </w:pPr>
      <w:r>
        <w:rPr>
          <w:rFonts w:eastAsia="KaiTi" w:cs="Times New Roman" w:hint="eastAsia"/>
          <w:b w:val="0"/>
          <w:bCs w:val="0"/>
          <w:color w:val="000000"/>
          <w:sz w:val="24"/>
          <w:vertAlign w:val="baseline"/>
          <w:lang w:val="en-US" w:eastAsia="zh-CN" w:bidi="ar"/>
        </w:rPr>
        <w:t>本项目所依托的沧州市天津工业大学研究院是由沧州市人民政府和天津工业大学联合成立的新型研发机构，具备完善的基础科研能力和较强的研究实力。配备有先进的分析测试仪器</w:t>
      </w:r>
      <w:r>
        <w:rPr>
          <w:rFonts w:eastAsia="KaiTi" w:cs="Times New Roman" w:hint="default"/>
          <w:b w:val="0"/>
          <w:bCs w:val="0"/>
          <w:color w:val="000000"/>
          <w:sz w:val="24"/>
          <w:vertAlign w:val="baseline"/>
          <w:lang w:val="en-US" w:eastAsia="zh-CN" w:bidi="ar"/>
        </w:rPr>
        <w:t>，如马尔文Zeta电位及激光粒度分析仪、全自动比表面及孔隙度分析仪（BET）、差示扫描量热仪（DSC）、核磁共振测试仪（NMR）、表面接触角测定仪、扫描电子显微镜（SEM）、高分辨率透射电子显微镜（HRTEM）、X射线衍射仪（XRD）、原子力显微镜（AFM）、固体表面Zeta电位分析仪、傅立叶变换红外光谱仪（ATR-FTIR）、拉曼光谱仪（Raman）、X射线光电子能谱仪器（XPS）、离子色谱仪、电感耦合等离子光谱发生仪（ICP）、液相色谱质谱联用仪、高效液相色谱、三维荧光光谱分析仪、原子吸收光谱、激光散射粒度分布仪、紫外可见光分光度仪、总碳分析仪等，满足本项目所需各项测试指标的分析要求</w:t>
      </w:r>
      <w:r>
        <w:rPr>
          <w:rFonts w:eastAsia="KaiTi" w:cs="Times New Roman" w:hint="eastAsia"/>
          <w:b w:val="0"/>
          <w:bCs w:val="0"/>
          <w:color w:val="000000"/>
          <w:sz w:val="24"/>
          <w:vertAlign w:val="baseline"/>
          <w:lang w:val="en-US" w:eastAsia="zh-CN" w:bidi="ar"/>
        </w:rPr>
        <w:t>。</w:t>
      </w:r>
      <w:r>
        <w:rPr>
          <w:rFonts w:eastAsia="KaiTi" w:cs="Times New Roman" w:hint="default"/>
          <w:b w:val="0"/>
          <w:bCs w:val="0"/>
          <w:color w:val="000000"/>
          <w:sz w:val="24"/>
          <w:vertAlign w:val="baseline"/>
          <w:lang w:val="en-US" w:eastAsia="zh-CN" w:bidi="ar"/>
        </w:rPr>
        <w:t>申请人</w:t>
      </w:r>
      <w:r>
        <w:rPr>
          <w:rFonts w:eastAsia="KaiTi" w:cs="Times New Roman" w:hint="eastAsia"/>
          <w:b w:val="0"/>
          <w:bCs w:val="0"/>
          <w:color w:val="000000"/>
          <w:sz w:val="24"/>
          <w:vertAlign w:val="baseline"/>
          <w:lang w:val="en-US" w:eastAsia="zh-CN" w:bidi="ar"/>
        </w:rPr>
        <w:t>所在</w:t>
      </w:r>
      <w:r>
        <w:rPr>
          <w:rFonts w:eastAsia="KaiTi" w:cs="Times New Roman" w:hint="default"/>
          <w:b w:val="0"/>
          <w:bCs w:val="0"/>
          <w:color w:val="000000"/>
          <w:sz w:val="24"/>
          <w:vertAlign w:val="baseline"/>
          <w:lang w:val="en-US" w:eastAsia="zh-CN" w:bidi="ar"/>
        </w:rPr>
        <w:t>团队</w:t>
      </w:r>
      <w:r>
        <w:rPr>
          <w:rFonts w:eastAsia="KaiTi" w:cs="Times New Roman" w:hint="eastAsia"/>
          <w:b w:val="0"/>
          <w:bCs w:val="0"/>
          <w:color w:val="000000"/>
          <w:sz w:val="24"/>
          <w:vertAlign w:val="baseline"/>
          <w:lang w:val="en-US" w:eastAsia="zh-CN" w:bidi="ar"/>
        </w:rPr>
        <w:t>长期从事膜法水处理技术和电化学水处理技术研究工作，</w:t>
      </w:r>
      <w:r>
        <w:rPr>
          <w:rFonts w:eastAsia="KaiTi" w:cs="Times New Roman" w:hint="default"/>
          <w:b w:val="0"/>
          <w:bCs w:val="0"/>
          <w:color w:val="000000"/>
          <w:sz w:val="24"/>
          <w:vertAlign w:val="baseline"/>
          <w:lang w:val="en-US" w:eastAsia="zh-CN" w:bidi="ar"/>
        </w:rPr>
        <w:t>在前期研究中已建立了成熟的仪器分析测试方法体系。</w:t>
      </w:r>
    </w:p>
    <w:p w14:paraId="6D5EDD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KaiTi" w:eastAsia="KaiTi" w:hAnsi="KaiTi" w:cs="KaiTi"/>
        </w:rPr>
      </w:pPr>
      <w:r>
        <w:rPr>
          <w:rFonts w:eastAsia="KaiTi" w:cs="Times New Roman" w:hint="eastAsia"/>
          <w:b w:val="0"/>
          <w:bCs w:val="0"/>
          <w:color w:val="000000"/>
          <w:sz w:val="24"/>
          <w:vertAlign w:val="baseline"/>
          <w:lang w:val="en-US" w:eastAsia="zh-CN" w:bidi="ar"/>
        </w:rPr>
        <w:t>综上所述</w:t>
      </w:r>
      <w:r>
        <w:rPr>
          <w:rFonts w:eastAsia="KaiTi" w:cs="Times New Roman" w:hint="default"/>
          <w:b w:val="0"/>
          <w:bCs w:val="0"/>
          <w:color w:val="000000"/>
          <w:sz w:val="24"/>
          <w:vertAlign w:val="baseline"/>
          <w:lang w:val="en-US" w:eastAsia="zh-CN" w:bidi="ar"/>
        </w:rPr>
        <w:t>，本项目组及所在单位具备承担并完成此项目的各种实验条件，</w:t>
      </w:r>
      <w:r>
        <w:rPr>
          <w:rFonts w:eastAsia="KaiTi" w:cs="Times New Roman" w:hint="eastAsia"/>
          <w:b w:val="0"/>
          <w:bCs w:val="0"/>
          <w:color w:val="000000"/>
          <w:sz w:val="24"/>
          <w:vertAlign w:val="baseline"/>
          <w:lang w:val="en-US" w:eastAsia="zh-CN" w:bidi="ar"/>
        </w:rPr>
        <w:t>可保质保量的完成研究计划内容</w:t>
      </w:r>
      <w:r>
        <w:rPr>
          <w:rFonts w:eastAsia="KaiTi" w:cs="Times New Roman" w:hint="default"/>
          <w:b w:val="0"/>
          <w:bCs w:val="0"/>
          <w:color w:val="000000"/>
          <w:sz w:val="24"/>
          <w:vertAlign w:val="baseline"/>
          <w:lang w:val="en-US" w:eastAsia="zh-CN" w:bidi="ar"/>
        </w:rPr>
        <w:t>。</w:t>
      </w:r>
    </w:p>
    <w:p w14:paraId="5EB6FFB8">
      <w:pPr>
        <w:wordWrap w:val="0"/>
        <w:spacing w:line="440" w:lineRule="exact"/>
        <w:ind w:firstLine="560" w:firstLineChars="200"/>
        <w:rPr>
          <w:rFonts w:ascii="KaiTi" w:eastAsia="KaiTi" w:hAnsi="KaiTi" w:cs="KaiTi"/>
        </w:rPr>
      </w:pPr>
      <w:r>
        <w:rPr>
          <w:rFonts w:ascii="KaiTi" w:eastAsia="KaiTi" w:hAnsi="KaiTi" w:cs="KaiTi" w:hint="eastAsia"/>
        </w:rPr>
        <w:t>3.申请者和项目主要成员业务简历（分人填写申请人和项目组主要参与者的学历和研究工作简历，近五年已发表与本项目有关的主要论著目录和获得学术奖励情况及在本项目中承担的任务。论著目录要求详细列出所有作者、论著题目、期刊名或出版社名、年、卷（期）、起止页码等，申请人不超过6篇，参与者不超过3篇；奖励情况也须详细列出全部受奖人员、奖励名称等级、授奖年等）</w:t>
      </w:r>
    </w:p>
    <w:p w14:paraId="1489D99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eastAsia="KaiTi" w:cs="Times New Roman" w:hint="default"/>
          <w:b w:val="0"/>
          <w:bCs w:val="0"/>
          <w:color w:val="000000"/>
          <w:sz w:val="24"/>
          <w:vertAlign w:val="baseline"/>
          <w:lang w:val="en-US" w:eastAsia="zh-CN" w:bidi="ar"/>
        </w:rPr>
      </w:pPr>
      <w:r>
        <w:rPr>
          <w:rFonts w:eastAsia="KaiTi" w:cs="Times New Roman" w:hint="default"/>
          <w:b/>
          <w:bCs/>
          <w:color w:val="000000"/>
          <w:sz w:val="24"/>
          <w:vertAlign w:val="baseline"/>
          <w:lang w:val="en-US" w:eastAsia="zh-CN" w:bidi="ar"/>
        </w:rPr>
        <w:t>高菲 简历</w:t>
      </w:r>
    </w:p>
    <w:p w14:paraId="3E842ED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eastAsia="KaiTi" w:cs="Times New Roman" w:hint="default"/>
          <w:b/>
          <w:bCs/>
          <w:color w:val="000000"/>
          <w:sz w:val="24"/>
          <w:vertAlign w:val="baseline"/>
          <w:lang w:val="en-US" w:eastAsia="zh-CN" w:bidi="ar"/>
        </w:rPr>
      </w:pPr>
      <w:r>
        <w:rPr>
          <w:rFonts w:eastAsia="KaiTi" w:cs="Times New Roman" w:hint="default"/>
          <w:b/>
          <w:bCs/>
          <w:color w:val="000000"/>
          <w:sz w:val="24"/>
          <w:vertAlign w:val="baseline"/>
          <w:lang w:val="en-US" w:eastAsia="zh-CN" w:bidi="ar"/>
        </w:rPr>
        <w:t>教育经历</w:t>
      </w:r>
    </w:p>
    <w:p w14:paraId="113E3BD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eastAsia="KaiTi" w:cs="Times New Roman" w:hint="default"/>
          <w:b w:val="0"/>
          <w:bCs w:val="0"/>
          <w:color w:val="000000"/>
          <w:sz w:val="24"/>
          <w:vertAlign w:val="baseline"/>
          <w:lang w:val="en-US" w:eastAsia="zh-CN" w:bidi="ar"/>
        </w:rPr>
      </w:pPr>
      <w:r>
        <w:rPr>
          <w:rFonts w:eastAsia="KaiTi" w:cs="Times New Roman" w:hint="default"/>
          <w:b w:val="0"/>
          <w:bCs w:val="0"/>
          <w:color w:val="000000"/>
          <w:sz w:val="24"/>
          <w:vertAlign w:val="baseline"/>
          <w:lang w:val="en-US" w:eastAsia="zh-CN" w:bidi="ar"/>
        </w:rPr>
        <w:t>2016-9至2020-5</w:t>
      </w:r>
      <w:r>
        <w:rPr>
          <w:rFonts w:eastAsia="KaiTi" w:cs="Times New Roman" w:hint="eastAsia"/>
          <w:b w:val="0"/>
          <w:bCs w:val="0"/>
          <w:color w:val="000000"/>
          <w:sz w:val="24"/>
          <w:vertAlign w:val="baseline"/>
          <w:lang w:val="en-US" w:eastAsia="zh-CN" w:bidi="ar"/>
        </w:rPr>
        <w:t>，</w:t>
      </w:r>
      <w:r>
        <w:rPr>
          <w:rFonts w:eastAsia="KaiTi" w:cs="Times New Roman" w:hint="default"/>
          <w:b w:val="0"/>
          <w:bCs w:val="0"/>
          <w:color w:val="000000"/>
          <w:sz w:val="24"/>
          <w:vertAlign w:val="baseline"/>
          <w:lang w:val="en-US" w:eastAsia="zh-CN" w:bidi="ar"/>
        </w:rPr>
        <w:t>天津大学</w:t>
      </w:r>
      <w:r>
        <w:rPr>
          <w:rFonts w:eastAsia="KaiTi" w:cs="Times New Roman" w:hint="eastAsia"/>
          <w:b w:val="0"/>
          <w:bCs w:val="0"/>
          <w:color w:val="000000"/>
          <w:sz w:val="24"/>
          <w:vertAlign w:val="baseline"/>
          <w:lang w:val="en-US" w:eastAsia="zh-CN" w:bidi="ar"/>
        </w:rPr>
        <w:t>，</w:t>
      </w:r>
      <w:r>
        <w:rPr>
          <w:rFonts w:eastAsia="KaiTi" w:cs="Times New Roman" w:hint="default"/>
          <w:b w:val="0"/>
          <w:bCs w:val="0"/>
          <w:color w:val="000000"/>
          <w:sz w:val="24"/>
          <w:vertAlign w:val="baseline"/>
          <w:lang w:val="en-US" w:eastAsia="zh-CN" w:bidi="ar"/>
        </w:rPr>
        <w:t>环境工程</w:t>
      </w:r>
      <w:r>
        <w:rPr>
          <w:rFonts w:eastAsia="KaiTi" w:cs="Times New Roman" w:hint="eastAsia"/>
          <w:b w:val="0"/>
          <w:bCs w:val="0"/>
          <w:color w:val="000000"/>
          <w:sz w:val="24"/>
          <w:vertAlign w:val="baseline"/>
          <w:lang w:val="en-US" w:eastAsia="zh-CN" w:bidi="ar"/>
        </w:rPr>
        <w:t>，</w:t>
      </w:r>
      <w:r>
        <w:rPr>
          <w:rFonts w:eastAsia="KaiTi" w:cs="Times New Roman" w:hint="default"/>
          <w:b w:val="0"/>
          <w:bCs w:val="0"/>
          <w:color w:val="000000"/>
          <w:sz w:val="24"/>
          <w:vertAlign w:val="baseline"/>
          <w:lang w:val="en-US" w:eastAsia="zh-CN" w:bidi="ar"/>
        </w:rPr>
        <w:t>博士</w:t>
      </w:r>
      <w:r>
        <w:rPr>
          <w:rFonts w:eastAsia="KaiTi" w:cs="Times New Roman" w:hint="eastAsia"/>
          <w:b w:val="0"/>
          <w:bCs w:val="0"/>
          <w:color w:val="000000"/>
          <w:sz w:val="24"/>
          <w:vertAlign w:val="baseline"/>
          <w:lang w:val="en-US" w:eastAsia="zh-CN" w:bidi="ar"/>
        </w:rPr>
        <w:t>，</w:t>
      </w:r>
      <w:r>
        <w:rPr>
          <w:rFonts w:eastAsia="KaiTi" w:cs="Times New Roman" w:hint="default"/>
          <w:b w:val="0"/>
          <w:bCs w:val="0"/>
          <w:color w:val="000000"/>
          <w:sz w:val="24"/>
          <w:vertAlign w:val="baseline"/>
          <w:lang w:val="en-US" w:eastAsia="zh-CN" w:bidi="ar"/>
        </w:rPr>
        <w:t>导师</w:t>
      </w:r>
      <w:r>
        <w:rPr>
          <w:rFonts w:eastAsia="KaiTi" w:cs="Times New Roman" w:hint="eastAsia"/>
          <w:b w:val="0"/>
          <w:bCs w:val="0"/>
          <w:color w:val="000000"/>
          <w:sz w:val="24"/>
          <w:vertAlign w:val="baseline"/>
          <w:lang w:val="en-US" w:eastAsia="zh-CN" w:bidi="ar"/>
        </w:rPr>
        <w:t>：</w:t>
      </w:r>
      <w:r>
        <w:rPr>
          <w:rFonts w:eastAsia="KaiTi" w:cs="Times New Roman" w:hint="default"/>
          <w:b w:val="0"/>
          <w:bCs w:val="0"/>
          <w:color w:val="000000"/>
          <w:sz w:val="24"/>
          <w:vertAlign w:val="baseline"/>
          <w:lang w:val="en-US" w:eastAsia="zh-CN" w:bidi="ar"/>
        </w:rPr>
        <w:t>张宏伟</w:t>
      </w:r>
    </w:p>
    <w:p w14:paraId="5194F44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eastAsia="KaiTi" w:cs="Times New Roman" w:hint="default"/>
          <w:b w:val="0"/>
          <w:bCs w:val="0"/>
          <w:color w:val="000000"/>
          <w:sz w:val="24"/>
          <w:vertAlign w:val="baseline"/>
          <w:lang w:val="en-US" w:eastAsia="zh-CN" w:bidi="ar"/>
        </w:rPr>
      </w:pPr>
      <w:r>
        <w:rPr>
          <w:rFonts w:eastAsia="KaiTi" w:cs="Times New Roman" w:hint="default"/>
          <w:b w:val="0"/>
          <w:bCs w:val="0"/>
          <w:color w:val="000000"/>
          <w:sz w:val="24"/>
          <w:vertAlign w:val="baseline"/>
          <w:lang w:val="en-US" w:eastAsia="zh-CN" w:bidi="ar"/>
        </w:rPr>
        <w:t>2014-9至2020-5</w:t>
      </w:r>
      <w:r>
        <w:rPr>
          <w:rFonts w:eastAsia="KaiTi" w:cs="Times New Roman" w:hint="eastAsia"/>
          <w:b w:val="0"/>
          <w:bCs w:val="0"/>
          <w:color w:val="000000"/>
          <w:sz w:val="24"/>
          <w:vertAlign w:val="baseline"/>
          <w:lang w:val="en-US" w:eastAsia="zh-CN" w:bidi="ar"/>
        </w:rPr>
        <w:t>，</w:t>
      </w:r>
      <w:r>
        <w:rPr>
          <w:rFonts w:eastAsia="KaiTi" w:cs="Times New Roman" w:hint="default"/>
          <w:b w:val="0"/>
          <w:bCs w:val="0"/>
          <w:color w:val="000000"/>
          <w:sz w:val="24"/>
          <w:vertAlign w:val="baseline"/>
          <w:lang w:val="en-US" w:eastAsia="zh-CN" w:bidi="ar"/>
        </w:rPr>
        <w:t>天津大学</w:t>
      </w:r>
      <w:r>
        <w:rPr>
          <w:rFonts w:eastAsia="KaiTi" w:cs="Times New Roman" w:hint="eastAsia"/>
          <w:b w:val="0"/>
          <w:bCs w:val="0"/>
          <w:color w:val="000000"/>
          <w:sz w:val="24"/>
          <w:vertAlign w:val="baseline"/>
          <w:lang w:val="en-US" w:eastAsia="zh-CN" w:bidi="ar"/>
        </w:rPr>
        <w:t>，</w:t>
      </w:r>
      <w:r>
        <w:rPr>
          <w:rFonts w:eastAsia="KaiTi" w:cs="Times New Roman" w:hint="default"/>
          <w:b w:val="0"/>
          <w:bCs w:val="0"/>
          <w:color w:val="000000"/>
          <w:sz w:val="24"/>
          <w:vertAlign w:val="baseline"/>
          <w:lang w:val="en-US" w:eastAsia="zh-CN" w:bidi="ar"/>
        </w:rPr>
        <w:t>环境工程</w:t>
      </w:r>
      <w:r>
        <w:rPr>
          <w:rFonts w:eastAsia="KaiTi" w:cs="Times New Roman" w:hint="eastAsia"/>
          <w:b w:val="0"/>
          <w:bCs w:val="0"/>
          <w:color w:val="000000"/>
          <w:sz w:val="24"/>
          <w:vertAlign w:val="baseline"/>
          <w:lang w:val="en-US" w:eastAsia="zh-CN" w:bidi="ar"/>
        </w:rPr>
        <w:t>，</w:t>
      </w:r>
      <w:r>
        <w:rPr>
          <w:rFonts w:eastAsia="KaiTi" w:cs="Times New Roman" w:hint="default"/>
          <w:b w:val="0"/>
          <w:bCs w:val="0"/>
          <w:color w:val="000000"/>
          <w:sz w:val="24"/>
          <w:vertAlign w:val="baseline"/>
          <w:lang w:val="en-US" w:eastAsia="zh-CN" w:bidi="ar"/>
        </w:rPr>
        <w:t>硕士</w:t>
      </w:r>
      <w:r>
        <w:rPr>
          <w:rFonts w:eastAsia="KaiTi" w:cs="Times New Roman" w:hint="eastAsia"/>
          <w:b w:val="0"/>
          <w:bCs w:val="0"/>
          <w:color w:val="000000"/>
          <w:sz w:val="24"/>
          <w:vertAlign w:val="baseline"/>
          <w:lang w:val="en-US" w:eastAsia="zh-CN" w:bidi="ar"/>
        </w:rPr>
        <w:t>，</w:t>
      </w:r>
      <w:r>
        <w:rPr>
          <w:rFonts w:eastAsia="KaiTi" w:cs="Times New Roman" w:hint="default"/>
          <w:b w:val="0"/>
          <w:bCs w:val="0"/>
          <w:color w:val="000000"/>
          <w:sz w:val="24"/>
          <w:vertAlign w:val="baseline"/>
          <w:lang w:val="en-US" w:eastAsia="zh-CN" w:bidi="ar"/>
        </w:rPr>
        <w:t>导师</w:t>
      </w:r>
      <w:r>
        <w:rPr>
          <w:rFonts w:eastAsia="KaiTi" w:cs="Times New Roman" w:hint="eastAsia"/>
          <w:b w:val="0"/>
          <w:bCs w:val="0"/>
          <w:color w:val="000000"/>
          <w:sz w:val="24"/>
          <w:vertAlign w:val="baseline"/>
          <w:lang w:val="en-US" w:eastAsia="zh-CN" w:bidi="ar"/>
        </w:rPr>
        <w:t>：</w:t>
      </w:r>
      <w:r>
        <w:rPr>
          <w:rFonts w:eastAsia="KaiTi" w:cs="Times New Roman" w:hint="default"/>
          <w:b w:val="0"/>
          <w:bCs w:val="0"/>
          <w:color w:val="000000"/>
          <w:sz w:val="24"/>
          <w:vertAlign w:val="baseline"/>
          <w:lang w:val="en-US" w:eastAsia="zh-CN" w:bidi="ar"/>
        </w:rPr>
        <w:t>张宏伟</w:t>
      </w:r>
    </w:p>
    <w:p w14:paraId="7D6EB1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eastAsia="KaiTi" w:cs="Times New Roman" w:hint="default"/>
          <w:b w:val="0"/>
          <w:bCs w:val="0"/>
          <w:color w:val="000000"/>
          <w:sz w:val="24"/>
          <w:vertAlign w:val="baseline"/>
          <w:lang w:val="en-US" w:eastAsia="zh-CN" w:bidi="ar"/>
        </w:rPr>
      </w:pPr>
      <w:r>
        <w:rPr>
          <w:rFonts w:eastAsia="KaiTi" w:cs="Times New Roman" w:hint="default"/>
          <w:b w:val="0"/>
          <w:bCs w:val="0"/>
          <w:color w:val="000000"/>
          <w:sz w:val="24"/>
          <w:vertAlign w:val="baseline"/>
          <w:lang w:val="en-US" w:eastAsia="zh-CN" w:bidi="ar"/>
        </w:rPr>
        <w:t>2010-9至2014-6</w:t>
      </w:r>
      <w:r>
        <w:rPr>
          <w:rFonts w:eastAsia="KaiTi" w:cs="Times New Roman" w:hint="eastAsia"/>
          <w:b w:val="0"/>
          <w:bCs w:val="0"/>
          <w:color w:val="000000"/>
          <w:sz w:val="24"/>
          <w:vertAlign w:val="baseline"/>
          <w:lang w:val="en-US" w:eastAsia="zh-CN" w:bidi="ar"/>
        </w:rPr>
        <w:t>，</w:t>
      </w:r>
      <w:r>
        <w:rPr>
          <w:rFonts w:eastAsia="KaiTi" w:cs="Times New Roman" w:hint="default"/>
          <w:b w:val="0"/>
          <w:bCs w:val="0"/>
          <w:color w:val="000000"/>
          <w:sz w:val="24"/>
          <w:vertAlign w:val="baseline"/>
          <w:lang w:val="en-US" w:eastAsia="zh-CN" w:bidi="ar"/>
        </w:rPr>
        <w:t>天津工业大学</w:t>
      </w:r>
      <w:r>
        <w:rPr>
          <w:rFonts w:eastAsia="KaiTi" w:cs="Times New Roman" w:hint="eastAsia"/>
          <w:b w:val="0"/>
          <w:bCs w:val="0"/>
          <w:color w:val="000000"/>
          <w:sz w:val="24"/>
          <w:vertAlign w:val="baseline"/>
          <w:lang w:val="en-US" w:eastAsia="zh-CN" w:bidi="ar"/>
        </w:rPr>
        <w:t>，</w:t>
      </w:r>
      <w:r>
        <w:rPr>
          <w:rFonts w:eastAsia="KaiTi" w:cs="Times New Roman" w:hint="default"/>
          <w:b w:val="0"/>
          <w:bCs w:val="0"/>
          <w:color w:val="000000"/>
          <w:sz w:val="24"/>
          <w:vertAlign w:val="baseline"/>
          <w:lang w:val="en-US" w:eastAsia="zh-CN" w:bidi="ar"/>
        </w:rPr>
        <w:t>环境工程</w:t>
      </w:r>
      <w:r>
        <w:rPr>
          <w:rFonts w:eastAsia="KaiTi" w:cs="Times New Roman" w:hint="eastAsia"/>
          <w:b w:val="0"/>
          <w:bCs w:val="0"/>
          <w:color w:val="000000"/>
          <w:sz w:val="24"/>
          <w:vertAlign w:val="baseline"/>
          <w:lang w:val="en-US" w:eastAsia="zh-CN" w:bidi="ar"/>
        </w:rPr>
        <w:t>，</w:t>
      </w:r>
      <w:r>
        <w:rPr>
          <w:rFonts w:eastAsia="KaiTi" w:cs="Times New Roman" w:hint="default"/>
          <w:b w:val="0"/>
          <w:bCs w:val="0"/>
          <w:color w:val="000000"/>
          <w:sz w:val="24"/>
          <w:vertAlign w:val="baseline"/>
          <w:lang w:val="en-US" w:eastAsia="zh-CN" w:bidi="ar"/>
        </w:rPr>
        <w:t>学士</w:t>
      </w:r>
    </w:p>
    <w:p w14:paraId="2020ED4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eastAsia="KaiTi" w:cs="Times New Roman" w:hint="eastAsia"/>
          <w:b/>
          <w:bCs/>
          <w:color w:val="000000"/>
          <w:sz w:val="24"/>
          <w:vertAlign w:val="baseline"/>
          <w:lang w:val="en-US" w:eastAsia="zh-CN" w:bidi="ar"/>
        </w:rPr>
      </w:pPr>
      <w:bookmarkStart w:id="173" w:name="OLE_LINK58"/>
      <w:r>
        <w:rPr>
          <w:rFonts w:eastAsia="KaiTi" w:cs="Times New Roman" w:hint="eastAsia"/>
          <w:b/>
          <w:bCs/>
          <w:color w:val="000000"/>
          <w:sz w:val="24"/>
          <w:vertAlign w:val="baseline"/>
          <w:lang w:val="en-US" w:eastAsia="zh-CN" w:bidi="ar"/>
        </w:rPr>
        <w:t>科研与学术工作经历</w:t>
      </w:r>
    </w:p>
    <w:bookmarkEnd w:id="173"/>
    <w:p w14:paraId="627DA01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eastAsia="KaiTi" w:cs="Times New Roman" w:hint="default"/>
          <w:b/>
          <w:bCs/>
          <w:color w:val="000000"/>
          <w:sz w:val="24"/>
          <w:vertAlign w:val="baseline"/>
          <w:lang w:val="en-US" w:eastAsia="zh-CN" w:bidi="ar"/>
        </w:rPr>
      </w:pPr>
      <w:bookmarkStart w:id="174" w:name="OLE_LINK69"/>
      <w:r>
        <w:rPr>
          <w:rFonts w:eastAsia="KaiTi" w:cs="Times New Roman" w:hint="eastAsia"/>
          <w:b/>
          <w:bCs/>
          <w:color w:val="000000"/>
          <w:sz w:val="24"/>
          <w:vertAlign w:val="baseline"/>
          <w:lang w:val="en-US" w:eastAsia="zh-CN" w:bidi="ar"/>
        </w:rPr>
        <w:t>2023-6至2029-12，沧州市天津工业大学研究院，科研人员，每年的工作时间为六个月</w:t>
      </w:r>
    </w:p>
    <w:bookmarkEnd w:id="174"/>
    <w:p w14:paraId="6360F32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eastAsia="KaiTi" w:cs="Times New Roman" w:hint="eastAsia"/>
          <w:b w:val="0"/>
          <w:bCs w:val="0"/>
          <w:color w:val="000000"/>
          <w:sz w:val="24"/>
          <w:vertAlign w:val="baseline"/>
          <w:lang w:val="en-US" w:eastAsia="zh-CN" w:bidi="ar"/>
        </w:rPr>
      </w:pPr>
      <w:r>
        <w:rPr>
          <w:rFonts w:eastAsia="KaiTi" w:cs="Times New Roman" w:hint="eastAsia"/>
          <w:b w:val="0"/>
          <w:bCs w:val="0"/>
          <w:color w:val="000000"/>
          <w:sz w:val="24"/>
          <w:vertAlign w:val="baseline"/>
          <w:lang w:val="en-US" w:eastAsia="zh-CN" w:bidi="ar"/>
        </w:rPr>
        <w:t>2023-6至今，天津工业大学，环境科学与工程学院，讲师</w:t>
      </w:r>
    </w:p>
    <w:p w14:paraId="4FCA495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eastAsia="KaiTi" w:cs="Times New Roman" w:hint="eastAsia"/>
          <w:b w:val="0"/>
          <w:bCs w:val="0"/>
          <w:color w:val="000000"/>
          <w:sz w:val="24"/>
          <w:vertAlign w:val="baseline"/>
          <w:lang w:val="en-US" w:eastAsia="zh-CN" w:bidi="ar"/>
        </w:rPr>
      </w:pPr>
      <w:r>
        <w:rPr>
          <w:rFonts w:eastAsia="KaiTi" w:cs="Times New Roman" w:hint="eastAsia"/>
          <w:b w:val="0"/>
          <w:bCs w:val="0"/>
          <w:color w:val="000000"/>
          <w:sz w:val="24"/>
          <w:vertAlign w:val="baseline"/>
          <w:lang w:val="en-US" w:eastAsia="zh-CN" w:bidi="ar"/>
        </w:rPr>
        <w:t>2020-7至2023-5，同济大学，环境科学与工程学院，博士后，导师：王志伟</w:t>
      </w:r>
    </w:p>
    <w:p w14:paraId="4F4E04A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eastAsia="KaiTi" w:cs="Times New Roman" w:hint="eastAsia"/>
          <w:b/>
          <w:bCs/>
          <w:color w:val="000000"/>
          <w:sz w:val="24"/>
          <w:vertAlign w:val="baseline"/>
          <w:lang w:val="en-US" w:eastAsia="zh-CN" w:bidi="ar"/>
        </w:rPr>
      </w:pPr>
      <w:r>
        <w:rPr>
          <w:rFonts w:eastAsia="KaiTi" w:cs="Times New Roman" w:hint="eastAsia"/>
          <w:b/>
          <w:bCs/>
          <w:color w:val="000000"/>
          <w:sz w:val="24"/>
          <w:vertAlign w:val="baseline"/>
          <w:lang w:val="en-US" w:eastAsia="zh-CN" w:bidi="ar"/>
        </w:rPr>
        <w:t>代表性研究成果和学术奖励情况</w:t>
      </w:r>
    </w:p>
    <w:p w14:paraId="1DA3E88F">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eastAsia="KaiTi" w:cs="Times New Roman" w:hint="eastAsia"/>
          <w:b w:val="0"/>
          <w:bCs w:val="0"/>
          <w:color w:val="000000"/>
          <w:sz w:val="24"/>
          <w:vertAlign w:val="baseline"/>
          <w:lang w:val="en-US" w:eastAsia="zh-CN" w:bidi="ar"/>
        </w:rPr>
      </w:pPr>
      <w:r>
        <w:rPr>
          <w:rFonts w:eastAsia="KaiTi" w:cs="Times New Roman" w:hint="eastAsia"/>
          <w:b/>
          <w:bCs/>
          <w:color w:val="000000"/>
          <w:sz w:val="24"/>
          <w:vertAlign w:val="baseline"/>
          <w:lang w:val="en-US" w:eastAsia="zh-CN" w:bidi="ar"/>
        </w:rPr>
        <w:t>Gao, F.</w:t>
      </w:r>
      <w:r>
        <w:rPr>
          <w:rFonts w:eastAsia="KaiTi" w:cs="Times New Roman" w:hint="eastAsia"/>
          <w:b w:val="0"/>
          <w:bCs w:val="0"/>
          <w:color w:val="000000"/>
          <w:sz w:val="24"/>
          <w:vertAlign w:val="baseline"/>
          <w:lang w:val="en-US" w:eastAsia="zh-CN" w:bidi="ar"/>
        </w:rPr>
        <w:t>; Shi, W.; Dai, R.B.; Wang, Z.W., Effective and Selective Removal of Phosphate from Wastewater Using Guanidinium-Functionalized Polyelectrolyte-Modified Electrodes in Capacitive Deionization[J]. ACS ES&amp;T Water 2021, 2(1), 237-246.</w:t>
      </w:r>
    </w:p>
    <w:p w14:paraId="66E357D0">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firstLine="0" w:leftChars="0" w:firstLineChars="0"/>
        <w:textAlignment w:val="auto"/>
        <w:rPr>
          <w:rFonts w:eastAsia="KaiTi" w:cs="Times New Roman" w:hint="eastAsia"/>
          <w:b w:val="0"/>
          <w:bCs w:val="0"/>
          <w:color w:val="000000"/>
          <w:sz w:val="24"/>
          <w:vertAlign w:val="baseline"/>
          <w:lang w:val="en-US" w:eastAsia="zh-CN" w:bidi="ar"/>
        </w:rPr>
      </w:pPr>
      <w:r>
        <w:rPr>
          <w:rFonts w:eastAsia="KaiTi" w:cs="Times New Roman" w:hint="eastAsia"/>
          <w:b/>
          <w:bCs/>
          <w:color w:val="000000"/>
          <w:sz w:val="24"/>
          <w:vertAlign w:val="baseline"/>
          <w:lang w:val="en-US" w:eastAsia="zh-CN" w:bidi="ar"/>
        </w:rPr>
        <w:t>Gao, F.</w:t>
      </w:r>
      <w:r>
        <w:rPr>
          <w:rFonts w:eastAsia="KaiTi" w:cs="Times New Roman" w:hint="eastAsia"/>
          <w:b w:val="0"/>
          <w:bCs w:val="0"/>
          <w:color w:val="000000"/>
          <w:sz w:val="24"/>
          <w:vertAlign w:val="baseline"/>
          <w:lang w:val="en-US" w:eastAsia="zh-CN" w:bidi="ar"/>
        </w:rPr>
        <w:t>; Li, X.S.; Shi, W.; Wang, Z.W., Highly Selective Recovery of Phosphorus from Wastewater via Capacitive Deionization Enabled by Ferrocene-Polyaniline Functionalized Carbon Nanotubes Electrode[J]. ACS Applied Materials &amp; Interfaces 2022, 14, 31962-31972.</w:t>
      </w:r>
    </w:p>
    <w:p w14:paraId="23E2ABA0">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firstLine="0" w:leftChars="0" w:firstLineChars="0"/>
        <w:textAlignment w:val="auto"/>
        <w:rPr>
          <w:rFonts w:eastAsia="KaiTi" w:cs="Times New Roman" w:hint="eastAsia"/>
          <w:b w:val="0"/>
          <w:bCs w:val="0"/>
          <w:color w:val="000000"/>
          <w:sz w:val="24"/>
          <w:vertAlign w:val="baseline"/>
          <w:lang w:val="en-US" w:eastAsia="zh-CN" w:bidi="ar"/>
        </w:rPr>
      </w:pPr>
      <w:r>
        <w:rPr>
          <w:rFonts w:eastAsia="KaiTi" w:cs="Times New Roman" w:hint="eastAsia"/>
          <w:b/>
          <w:bCs/>
          <w:color w:val="000000"/>
          <w:sz w:val="24"/>
          <w:vertAlign w:val="baseline"/>
          <w:lang w:val="en-US" w:eastAsia="zh-CN" w:bidi="ar"/>
        </w:rPr>
        <w:t>Gao, F.</w:t>
      </w:r>
      <w:r>
        <w:rPr>
          <w:rFonts w:eastAsia="KaiTi" w:cs="Times New Roman" w:hint="eastAsia"/>
          <w:b w:val="0"/>
          <w:bCs w:val="0"/>
          <w:color w:val="000000"/>
          <w:sz w:val="24"/>
          <w:vertAlign w:val="baseline"/>
          <w:lang w:val="en-US" w:eastAsia="zh-CN" w:bidi="ar"/>
        </w:rPr>
        <w:t>; Shi, W.; Wang, Z.W., Selective Phosphorus Removal from Wastewater Using Graphene Aerogel Loaded with Ferrocene-Polyaniline: Synergetic Adsorption and Electrochemically-Mediated Oxidation[J]. ACS ES&amp;T Water 2022, 2(12), 2602-2612.</w:t>
      </w:r>
    </w:p>
    <w:p w14:paraId="52BA0D9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firstLine="0" w:leftChars="0" w:firstLineChars="0"/>
        <w:textAlignment w:val="auto"/>
        <w:rPr>
          <w:rFonts w:eastAsia="KaiTi" w:cs="Times New Roman" w:hint="eastAsia"/>
          <w:b w:val="0"/>
          <w:bCs w:val="0"/>
          <w:color w:val="000000"/>
          <w:sz w:val="24"/>
          <w:vertAlign w:val="baseline"/>
          <w:lang w:val="en-US" w:eastAsia="zh-CN" w:bidi="ar"/>
        </w:rPr>
      </w:pPr>
      <w:r>
        <w:rPr>
          <w:rFonts w:eastAsia="KaiTi" w:cs="Times New Roman" w:hint="eastAsia"/>
          <w:b/>
          <w:bCs/>
          <w:color w:val="000000"/>
          <w:sz w:val="24"/>
          <w:vertAlign w:val="baseline"/>
          <w:lang w:val="en-US" w:eastAsia="zh-CN" w:bidi="ar"/>
        </w:rPr>
        <w:t>Gao, F.</w:t>
      </w:r>
      <w:r>
        <w:rPr>
          <w:rFonts w:eastAsia="KaiTi" w:cs="Times New Roman" w:hint="eastAsia"/>
          <w:b w:val="0"/>
          <w:bCs w:val="0"/>
          <w:color w:val="000000"/>
          <w:sz w:val="24"/>
          <w:vertAlign w:val="baseline"/>
          <w:lang w:val="en-US" w:eastAsia="zh-CN" w:bidi="ar"/>
        </w:rPr>
        <w:t>; Zheng, Y.; Li, J.; Lu, N,; Yin, Y.M.; Jia, H.; Wang, J., Magnetization coupled reverse osmosis (RO): Enhanced inhibition scaling mechanisms and operation optimization[J]. Chemical Engineering Science 2023, 286, 119650.</w:t>
      </w:r>
    </w:p>
    <w:p w14:paraId="31D296A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firstLine="0" w:leftChars="0" w:firstLineChars="0"/>
        <w:textAlignment w:val="auto"/>
        <w:rPr>
          <w:rFonts w:eastAsia="KaiTi" w:cs="Times New Roman" w:hint="default"/>
          <w:b w:val="0"/>
          <w:bCs w:val="0"/>
          <w:color w:val="000000"/>
          <w:sz w:val="24"/>
          <w:vertAlign w:val="baseline"/>
          <w:lang w:val="en-US" w:eastAsia="zh-CN" w:bidi="ar"/>
        </w:rPr>
      </w:pPr>
      <w:r>
        <w:rPr>
          <w:rFonts w:eastAsia="KaiTi" w:cs="Times New Roman" w:hint="eastAsia"/>
          <w:b/>
          <w:bCs/>
          <w:color w:val="000000"/>
          <w:sz w:val="24"/>
          <w:vertAlign w:val="baseline"/>
          <w:lang w:val="en-US" w:eastAsia="zh-CN" w:bidi="ar"/>
        </w:rPr>
        <w:t>Gao, F.</w:t>
      </w:r>
      <w:r>
        <w:rPr>
          <w:rFonts w:eastAsia="KaiTi" w:cs="Times New Roman" w:hint="eastAsia"/>
          <w:b w:val="0"/>
          <w:bCs w:val="0"/>
          <w:color w:val="000000"/>
          <w:sz w:val="24"/>
          <w:vertAlign w:val="baseline"/>
          <w:lang w:val="en-US" w:eastAsia="zh-CN" w:bidi="ar"/>
        </w:rPr>
        <w:t>; Wang, L.; Wang, J.; Zhang, H.W.; Lin, S.H., Nutrient Recovery from Treated Wastewater by a Hybrid Electrochemical Sequence Integrating Bipolar Membrane Electrodialysis and Membrane Capacitive Deionization[J]. Environmental Science: Water Research and Technology 2020, 6, 383-391.</w:t>
      </w:r>
    </w:p>
    <w:p w14:paraId="256AAB3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firstLine="0" w:leftChars="0" w:firstLineChars="0"/>
        <w:textAlignment w:val="auto"/>
        <w:rPr>
          <w:rFonts w:eastAsia="KaiTi" w:cs="Times New Roman" w:hint="eastAsia"/>
          <w:b w:val="0"/>
          <w:bCs w:val="0"/>
          <w:color w:val="000000"/>
          <w:sz w:val="24"/>
          <w:vertAlign w:val="baseline"/>
          <w:lang w:val="en-US" w:eastAsia="zh-CN" w:bidi="ar"/>
        </w:rPr>
      </w:pPr>
      <w:r>
        <w:rPr>
          <w:rFonts w:eastAsia="KaiTi" w:cs="Times New Roman" w:hint="eastAsia"/>
          <w:b w:val="0"/>
          <w:bCs w:val="0"/>
          <w:color w:val="000000"/>
          <w:sz w:val="24"/>
          <w:vertAlign w:val="baseline"/>
          <w:lang w:val="en-US" w:eastAsia="zh-CN" w:bidi="ar"/>
        </w:rPr>
        <w:t xml:space="preserve">Shi, W.; Li, J.Y.; </w:t>
      </w:r>
      <w:r>
        <w:rPr>
          <w:rFonts w:eastAsia="KaiTi" w:cs="Times New Roman" w:hint="eastAsia"/>
          <w:b/>
          <w:bCs/>
          <w:color w:val="000000"/>
          <w:sz w:val="24"/>
          <w:vertAlign w:val="baseline"/>
          <w:lang w:val="en-US" w:eastAsia="zh-CN" w:bidi="ar"/>
        </w:rPr>
        <w:t>Gao, F.</w:t>
      </w:r>
      <w:r>
        <w:rPr>
          <w:rFonts w:eastAsia="KaiTi" w:cs="Times New Roman" w:hint="eastAsia"/>
          <w:b w:val="0"/>
          <w:bCs w:val="0"/>
          <w:color w:val="000000"/>
          <w:sz w:val="24"/>
          <w:vertAlign w:val="baseline"/>
          <w:lang w:val="en-US" w:eastAsia="zh-CN" w:bidi="ar"/>
        </w:rPr>
        <w:t xml:space="preserve">; Meng, L.J.; Su, X.; Wang, Z.W., Strongly coordinating mediator enables single-step resource recovery from heavy metal-organic complexes in wastewater[J]. Nature Communications 2024, 15, 10828. </w:t>
      </w:r>
    </w:p>
    <w:p w14:paraId="282642EC">
      <w:pPr>
        <w:numPr>
          <w:ilvl w:val="0"/>
          <w:numId w:val="11"/>
        </w:numPr>
        <w:ind w:left="0" w:firstLine="0" w:leftChars="0" w:firstLineChars="0"/>
        <w:jc w:val="left"/>
        <w:rPr>
          <w:rFonts w:eastAsia="KaiTi" w:cs="Times New Roman" w:hint="default"/>
          <w:b w:val="0"/>
          <w:bCs w:val="0"/>
          <w:color w:val="000000"/>
          <w:sz w:val="24"/>
          <w:vertAlign w:val="baseline"/>
          <w:lang w:val="en-US" w:eastAsia="zh-CN" w:bidi="ar"/>
        </w:rPr>
      </w:pPr>
      <w:r>
        <w:rPr>
          <w:rFonts w:hAnsi="SimSun" w:cs="SimSun" w:hint="eastAsia"/>
          <w:sz w:val="24"/>
          <w:szCs w:val="24"/>
          <w:lang w:val="en-US" w:eastAsia="zh-CN"/>
        </w:rPr>
        <w:t xml:space="preserve">王捷 韩永良 张磊 </w:t>
      </w:r>
      <w:r>
        <w:rPr>
          <w:rFonts w:hAnsi="SimSun" w:cs="SimSun" w:hint="eastAsia"/>
          <w:b/>
          <w:bCs/>
          <w:sz w:val="24"/>
          <w:szCs w:val="24"/>
          <w:lang w:val="en-US" w:eastAsia="zh-CN"/>
        </w:rPr>
        <w:t>高菲</w:t>
      </w:r>
      <w:r>
        <w:rPr>
          <w:rFonts w:hAnsi="SimSun" w:cs="SimSun" w:hint="eastAsia"/>
          <w:sz w:val="24"/>
          <w:szCs w:val="24"/>
          <w:lang w:val="en-US" w:eastAsia="zh-CN"/>
        </w:rPr>
        <w:t xml:space="preserve"> 贾辉 吴云 胡维超 白静娜 李雯 </w:t>
      </w:r>
      <w:r>
        <w:rPr>
          <w:rFonts w:eastAsia="SimSun" w:hAnsi="SimSun" w:cs="SimSun" w:hint="eastAsia"/>
          <w:sz w:val="24"/>
          <w:szCs w:val="24"/>
          <w:lang w:val="en-US" w:eastAsia="zh-CN"/>
        </w:rPr>
        <w:t>2024中国膜工业协会科学技术奖二等奖 增强型中空纤维膜集成技术在污水处理中的开发与应用（排名：4）</w:t>
      </w:r>
    </w:p>
    <w:p w14:paraId="0E3BFDF2">
      <w:pPr>
        <w:keepNext w:val="0"/>
        <w:keepLines w:val="0"/>
        <w:pageBreakBefore w:val="0"/>
        <w:widowControl w:val="0"/>
        <w:kinsoku/>
        <w:wordWrap w:val="0"/>
        <w:overflowPunct/>
        <w:topLinePunct w:val="0"/>
        <w:autoSpaceDE/>
        <w:autoSpaceDN/>
        <w:bidi w:val="0"/>
        <w:adjustRightInd/>
        <w:snapToGrid/>
        <w:spacing w:before="120" w:beforeLines="50" w:line="360" w:lineRule="auto"/>
        <w:ind w:firstLine="480" w:firstLineChars="200"/>
        <w:textAlignment w:val="auto"/>
        <w:rPr>
          <w:rFonts w:eastAsia="KaiTi" w:cs="Times New Roman" w:hint="default"/>
          <w:b/>
          <w:bCs/>
          <w:color w:val="000000"/>
          <w:sz w:val="24"/>
          <w:vertAlign w:val="baseline"/>
          <w:lang w:val="en-US" w:eastAsia="zh-CN" w:bidi="ar"/>
        </w:rPr>
      </w:pPr>
      <w:bookmarkStart w:id="175" w:name="OLE_LINK70"/>
      <w:r>
        <w:rPr>
          <w:rFonts w:eastAsia="KaiTi" w:cs="Times New Roman" w:hint="eastAsia"/>
          <w:b/>
          <w:bCs/>
          <w:color w:val="000000"/>
          <w:sz w:val="24"/>
          <w:vertAlign w:val="baseline"/>
          <w:lang w:val="en-US" w:eastAsia="zh-CN" w:bidi="ar"/>
        </w:rPr>
        <w:t>申请人在本项目中负责整个项目的设计、组织和实施，并对项目进行总体把控。</w:t>
      </w:r>
      <w:bookmarkEnd w:id="175"/>
    </w:p>
    <w:p w14:paraId="68A538C7">
      <w:pPr>
        <w:wordWrap w:val="0"/>
        <w:spacing w:line="440" w:lineRule="exact"/>
        <w:ind w:firstLine="560" w:firstLineChars="200"/>
        <w:rPr>
          <w:rFonts w:ascii="KaiTi" w:eastAsia="KaiTi" w:hAnsi="KaiTi" w:cs="KaiTi"/>
          <w:b/>
        </w:rPr>
      </w:pPr>
      <w:r>
        <w:rPr>
          <w:rFonts w:ascii="KaiTi" w:eastAsia="KaiTi" w:hAnsi="KaiTi" w:cs="KaiTi" w:hint="eastAsia"/>
          <w:b/>
        </w:rPr>
        <w:t>五、承担项目情况</w:t>
      </w:r>
    </w:p>
    <w:p w14:paraId="277142B0">
      <w:pPr>
        <w:wordWrap w:val="0"/>
        <w:snapToGrid w:val="0"/>
        <w:spacing w:line="300" w:lineRule="auto"/>
        <w:ind w:firstLine="560" w:firstLineChars="200"/>
        <w:rPr>
          <w:rFonts w:ascii="KaiTi" w:eastAsia="KaiTi" w:hAnsi="KaiTi" w:cs="KaiTi"/>
        </w:rPr>
      </w:pPr>
      <w:r>
        <w:rPr>
          <w:rFonts w:ascii="KaiTi" w:eastAsia="KaiTi" w:hAnsi="KaiTi" w:cs="KaiTi" w:hint="eastAsia"/>
        </w:rPr>
        <w:t>1.正在承担科研项目情况（申请人和项目组主要参与者正在承担的国家和省科研项目情况，包括自然科学基金的项目，要注明项目的名称和编号、经费来源、起止年月、与本项目的关系及负责的内容等）</w:t>
      </w:r>
    </w:p>
    <w:p w14:paraId="37D7FB1D">
      <w:pPr>
        <w:wordWrap w:val="0"/>
        <w:snapToGrid w:val="0"/>
        <w:spacing w:line="300" w:lineRule="auto"/>
        <w:ind w:firstLine="560" w:firstLineChars="200"/>
        <w:rPr>
          <w:rFonts w:ascii="KaiTi" w:eastAsia="KaiTi" w:hAnsi="KaiTi" w:cs="KaiTi" w:hint="default"/>
          <w:lang w:val="en-US" w:eastAsia="zh-CN"/>
        </w:rPr>
      </w:pPr>
      <w:r>
        <w:rPr>
          <w:rFonts w:ascii="KaiTi" w:eastAsia="KaiTi" w:hAnsi="KaiTi" w:cs="KaiTi" w:hint="eastAsia"/>
          <w:lang w:val="en-US" w:eastAsia="zh-CN"/>
        </w:rPr>
        <w:t>无</w:t>
      </w:r>
    </w:p>
    <w:p w14:paraId="50F6ED2C">
      <w:pPr>
        <w:wordWrap w:val="0"/>
        <w:snapToGrid w:val="0"/>
        <w:spacing w:line="300" w:lineRule="auto"/>
        <w:ind w:firstLine="560" w:firstLineChars="200"/>
        <w:rPr>
          <w:rFonts w:ascii="KaiTi" w:eastAsia="KaiTi" w:hAnsi="KaiTi" w:cs="KaiTi" w:hint="eastAsia"/>
        </w:rPr>
      </w:pPr>
      <w:r>
        <w:rPr>
          <w:rFonts w:ascii="KaiTi" w:eastAsia="KaiTi" w:hAnsi="KaiTi" w:cs="KaiTi" w:hint="eastAsia"/>
        </w:rPr>
        <w:t>2.完成省自然科学基金项目情况（对申请人负责的前一个已结题自然科学基金项目（项目名称及批准号）完成情况、后续研究进展及与本申请项目的关系加以详细说明）</w:t>
      </w:r>
    </w:p>
    <w:p w14:paraId="4A5EED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KaiTi" w:eastAsia="KaiTi" w:hAnsi="KaiTi" w:cs="KaiTi"/>
        </w:rPr>
        <w:sectPr>
          <w:headerReference w:type="default" r:id="rId10"/>
          <w:footerReference w:type="even" r:id="rId11"/>
          <w:footerReference w:type="default" r:id="rId12"/>
          <w:footerReference w:type="first" r:id="rId13"/>
          <w:pgSz w:w="11906" w:h="16838"/>
          <w:pgMar w:top="1418" w:right="1418" w:bottom="1418" w:left="1418" w:header="851" w:footer="851" w:gutter="0"/>
          <w:pgNumType w:start="1"/>
          <w:cols w:num="1" w:space="425"/>
          <w:titlePg/>
          <w:docGrid w:linePitch="381" w:charSpace="0"/>
        </w:sectPr>
      </w:pPr>
      <w:r>
        <w:rPr>
          <w:rFonts w:eastAsia="KaiTi" w:cs="Times New Roman" w:hint="eastAsia"/>
          <w:b w:val="0"/>
          <w:bCs w:val="0"/>
          <w:color w:val="000000"/>
          <w:sz w:val="24"/>
          <w:vertAlign w:val="baseline"/>
          <w:lang w:val="en-US" w:eastAsia="zh-CN" w:bidi="ar"/>
        </w:rPr>
        <w:t>国家自然科学基金青年项目：</w:t>
      </w:r>
      <w:r>
        <w:rPr>
          <w:rFonts w:eastAsia="KaiTi" w:cs="Times New Roman" w:hint="eastAsia"/>
          <w:b w:val="0"/>
          <w:bCs w:val="0"/>
          <w:color w:val="000000"/>
          <w:sz w:val="24"/>
          <w:u w:val="thick"/>
          <w:vertAlign w:val="baseline"/>
          <w:lang w:val="en-US" w:eastAsia="zh-CN" w:bidi="ar"/>
        </w:rPr>
        <w:t>项目名称</w:t>
      </w:r>
      <w:r>
        <w:rPr>
          <w:rFonts w:eastAsia="KaiTi" w:cs="Times New Roman" w:hint="eastAsia"/>
          <w:b w:val="0"/>
          <w:bCs w:val="0"/>
          <w:color w:val="000000"/>
          <w:sz w:val="24"/>
          <w:vertAlign w:val="baseline"/>
          <w:lang w:val="en-US" w:eastAsia="zh-CN" w:bidi="ar"/>
        </w:rPr>
        <w:t>：二茂铁改性聚苯胺/碳纳米管复合电极磷酸盐选择性捕获机理及其优化调控；</w:t>
      </w:r>
      <w:r>
        <w:rPr>
          <w:rFonts w:eastAsia="KaiTi" w:cs="Times New Roman" w:hint="eastAsia"/>
          <w:b w:val="0"/>
          <w:bCs w:val="0"/>
          <w:color w:val="000000"/>
          <w:sz w:val="24"/>
          <w:u w:val="thick"/>
          <w:vertAlign w:val="baseline"/>
          <w:lang w:val="en-US" w:eastAsia="zh-CN" w:bidi="ar"/>
        </w:rPr>
        <w:t>项目编号</w:t>
      </w:r>
      <w:r>
        <w:rPr>
          <w:rFonts w:eastAsia="KaiTi" w:cs="Times New Roman" w:hint="eastAsia"/>
          <w:b w:val="0"/>
          <w:bCs w:val="0"/>
          <w:color w:val="000000"/>
          <w:sz w:val="24"/>
          <w:vertAlign w:val="baseline"/>
          <w:lang w:val="en-US" w:eastAsia="zh-CN" w:bidi="ar"/>
        </w:rPr>
        <w:t>：52100057；</w:t>
      </w:r>
      <w:r>
        <w:rPr>
          <w:rFonts w:eastAsia="KaiTi" w:cs="Times New Roman" w:hint="eastAsia"/>
          <w:b w:val="0"/>
          <w:bCs w:val="0"/>
          <w:color w:val="000000"/>
          <w:sz w:val="24"/>
          <w:u w:val="thick"/>
          <w:vertAlign w:val="baseline"/>
          <w:lang w:val="en-US" w:eastAsia="zh-CN" w:bidi="ar"/>
        </w:rPr>
        <w:t>经费来源</w:t>
      </w:r>
      <w:r>
        <w:rPr>
          <w:rFonts w:eastAsia="KaiTi" w:cs="Times New Roman" w:hint="eastAsia"/>
          <w:b w:val="0"/>
          <w:bCs w:val="0"/>
          <w:color w:val="000000"/>
          <w:sz w:val="24"/>
          <w:vertAlign w:val="baseline"/>
          <w:lang w:val="en-US" w:eastAsia="zh-CN" w:bidi="ar"/>
        </w:rPr>
        <w:t>：国家自然科学基金委员会；</w:t>
      </w:r>
      <w:r>
        <w:rPr>
          <w:rFonts w:eastAsia="KaiTi" w:cs="Times New Roman" w:hint="eastAsia"/>
          <w:b w:val="0"/>
          <w:bCs w:val="0"/>
          <w:color w:val="000000"/>
          <w:sz w:val="24"/>
          <w:u w:val="thick"/>
          <w:vertAlign w:val="baseline"/>
          <w:lang w:val="en-US" w:eastAsia="zh-CN" w:bidi="ar"/>
        </w:rPr>
        <w:t>研究经费</w:t>
      </w:r>
      <w:r>
        <w:rPr>
          <w:rFonts w:eastAsia="KaiTi" w:cs="Times New Roman" w:hint="eastAsia"/>
          <w:b w:val="0"/>
          <w:bCs w:val="0"/>
          <w:color w:val="000000"/>
          <w:sz w:val="24"/>
          <w:vertAlign w:val="baseline"/>
          <w:lang w:val="en-US" w:eastAsia="zh-CN" w:bidi="ar"/>
        </w:rPr>
        <w:t>：30.0万元；</w:t>
      </w:r>
      <w:r>
        <w:rPr>
          <w:rFonts w:eastAsia="KaiTi" w:cs="Times New Roman" w:hint="eastAsia"/>
          <w:b w:val="0"/>
          <w:bCs w:val="0"/>
          <w:color w:val="000000"/>
          <w:sz w:val="24"/>
          <w:u w:val="thick"/>
          <w:vertAlign w:val="baseline"/>
          <w:lang w:val="en-US" w:eastAsia="zh-CN" w:bidi="ar"/>
        </w:rPr>
        <w:t>起止年月</w:t>
      </w:r>
      <w:r>
        <w:rPr>
          <w:rFonts w:eastAsia="KaiTi" w:cs="Times New Roman" w:hint="eastAsia"/>
          <w:b w:val="0"/>
          <w:bCs w:val="0"/>
          <w:color w:val="000000"/>
          <w:sz w:val="24"/>
          <w:vertAlign w:val="baseline"/>
          <w:lang w:val="en-US" w:eastAsia="zh-CN" w:bidi="ar"/>
        </w:rPr>
        <w:t>：2022年01月-2024年12月。申请人已结题的青年基金项目研究重点为制备高选择性捕获磷酸盐且离子存储容量大、性能稳定的复合电极，以提高CDI运行能效和磷去除/回收效率。在该项目基金的支持下，完成了项目书的研究内容，达到了项目预期计划，成功制备了高选择性捕获磷和重金属的复合电极材料，解析了电极材料的物化特性、结构形态以及功能基团与电极骨架的相互作用机制，揭示了电极对目标物质的去除和回收机制和选择性机理，取得了较好的研究成果，在 Nature Communications、Environmental Science &amp; Technology、Water Research、ACS ES&amp;T Engineering、Chemical Engineering Science期刊发表高水平论文5篇，授权了相关发明专利2项，培养了博士生2名。</w:t>
      </w:r>
      <w:r>
        <w:rPr>
          <w:rFonts w:eastAsia="KaiTi" w:cs="Times New Roman" w:hint="eastAsia"/>
          <w:b w:val="0"/>
          <w:bCs w:val="0"/>
          <w:strike w:val="0"/>
          <w:dstrike w:val="0"/>
          <w:color w:val="000000"/>
          <w:sz w:val="24"/>
          <w:u w:val="thick"/>
          <w:vertAlign w:val="baseline"/>
          <w:lang w:val="en-US" w:eastAsia="zh-CN" w:bidi="ar"/>
        </w:rPr>
        <w:t>该项目与本项目没有明确关联性</w:t>
      </w:r>
      <w:r>
        <w:rPr>
          <w:rFonts w:eastAsia="KaiTi" w:cs="Times New Roman" w:hint="eastAsia"/>
          <w:b w:val="0"/>
          <w:bCs w:val="0"/>
          <w:color w:val="000000"/>
          <w:sz w:val="24"/>
          <w:vertAlign w:val="baseline"/>
          <w:lang w:val="en-US" w:eastAsia="zh-CN" w:bidi="ar"/>
        </w:rPr>
        <w:t>，但所取得的研究成果为本项目第一部分研究内容“MXene/M-Zr-MOF电催化膜的构建原理与制备”提供理论参考和技术支撑。</w:t>
      </w:r>
    </w:p>
    <w:p w14:paraId="789D4C18">
      <w:pPr>
        <w:wordWrap w:val="0"/>
        <w:spacing w:line="360" w:lineRule="auto"/>
        <w:jc w:val="center"/>
        <w:rPr>
          <w:b/>
          <w:szCs w:val="28"/>
        </w:rPr>
      </w:pPr>
      <w:r>
        <w:rPr>
          <w:rFonts w:hint="eastAsia"/>
          <w:b/>
          <w:szCs w:val="28"/>
        </w:rPr>
        <w:t>项目组主要成员</w:t>
      </w:r>
    </w:p>
    <w:tbl>
      <w:tblPr>
        <w:tblStyle w:val="TableNormal"/>
        <w:tblW w:w="16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
      <w:tblGrid>
        <w:gridCol w:w="658"/>
        <w:gridCol w:w="993"/>
        <w:gridCol w:w="709"/>
        <w:gridCol w:w="709"/>
        <w:gridCol w:w="2463"/>
        <w:gridCol w:w="1156"/>
        <w:gridCol w:w="939"/>
        <w:gridCol w:w="2104"/>
        <w:gridCol w:w="2006"/>
        <w:gridCol w:w="2977"/>
        <w:gridCol w:w="1449"/>
      </w:tblGrid>
      <w:tr w14:paraId="6B30CB97">
        <w:tblPrEx>
          <w:tblW w:w="16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14:paraId="457D2EB4">
            <w:pPr>
              <w:wordWrap w:val="0"/>
              <w:jc w:val="center"/>
              <w:rPr>
                <w:sz w:val="24"/>
              </w:rPr>
            </w:pPr>
            <w:r>
              <w:rPr>
                <w:rFonts w:hint="eastAsia"/>
                <w:sz w:val="24"/>
              </w:rPr>
              <w:t>序号</w:t>
            </w:r>
          </w:p>
        </w:tc>
        <w:tc>
          <w:tcPr>
            <w:tcW w:w="993" w:type="dxa"/>
            <w:tcBorders>
              <w:top w:val="single" w:sz="4" w:space="0" w:color="auto"/>
              <w:left w:val="single" w:sz="4" w:space="0" w:color="auto"/>
              <w:bottom w:val="single" w:sz="4" w:space="0" w:color="auto"/>
              <w:right w:val="single" w:sz="4" w:space="0" w:color="auto"/>
            </w:tcBorders>
            <w:vAlign w:val="center"/>
          </w:tcPr>
          <w:p w14:paraId="6E757E23">
            <w:pPr>
              <w:wordWrap w:val="0"/>
              <w:jc w:val="center"/>
              <w:rPr>
                <w:sz w:val="24"/>
              </w:rPr>
            </w:pPr>
            <w:r>
              <w:rPr>
                <w:rFonts w:hint="eastAsia"/>
                <w:sz w:val="24"/>
              </w:rPr>
              <w:t>姓名</w:t>
            </w:r>
          </w:p>
        </w:tc>
        <w:tc>
          <w:tcPr>
            <w:tcW w:w="709" w:type="dxa"/>
            <w:tcBorders>
              <w:top w:val="single" w:sz="4" w:space="0" w:color="auto"/>
              <w:left w:val="single" w:sz="4" w:space="0" w:color="auto"/>
              <w:bottom w:val="single" w:sz="4" w:space="0" w:color="auto"/>
              <w:right w:val="single" w:sz="4" w:space="0" w:color="auto"/>
            </w:tcBorders>
            <w:vAlign w:val="center"/>
          </w:tcPr>
          <w:p w14:paraId="2C75013F">
            <w:pPr>
              <w:wordWrap w:val="0"/>
              <w:jc w:val="center"/>
              <w:rPr>
                <w:sz w:val="24"/>
              </w:rPr>
            </w:pPr>
            <w:r>
              <w:rPr>
                <w:rFonts w:hint="eastAsia"/>
                <w:sz w:val="24"/>
              </w:rPr>
              <w:t>性别</w:t>
            </w:r>
          </w:p>
        </w:tc>
        <w:tc>
          <w:tcPr>
            <w:tcW w:w="709" w:type="dxa"/>
            <w:tcBorders>
              <w:top w:val="single" w:sz="4" w:space="0" w:color="auto"/>
              <w:left w:val="single" w:sz="4" w:space="0" w:color="auto"/>
              <w:bottom w:val="single" w:sz="4" w:space="0" w:color="auto"/>
              <w:right w:val="single" w:sz="4" w:space="0" w:color="auto"/>
            </w:tcBorders>
            <w:vAlign w:val="center"/>
          </w:tcPr>
          <w:p w14:paraId="1FBDA388">
            <w:pPr>
              <w:wordWrap w:val="0"/>
              <w:jc w:val="center"/>
              <w:rPr>
                <w:sz w:val="24"/>
              </w:rPr>
            </w:pPr>
            <w:r>
              <w:rPr>
                <w:rFonts w:hint="eastAsia"/>
                <w:sz w:val="24"/>
              </w:rPr>
              <w:t>年龄</w:t>
            </w:r>
          </w:p>
        </w:tc>
        <w:tc>
          <w:tcPr>
            <w:tcW w:w="2463" w:type="dxa"/>
            <w:tcBorders>
              <w:top w:val="single" w:sz="4" w:space="0" w:color="auto"/>
              <w:left w:val="single" w:sz="4" w:space="0" w:color="auto"/>
              <w:bottom w:val="single" w:sz="4" w:space="0" w:color="auto"/>
              <w:right w:val="single" w:sz="4" w:space="0" w:color="auto"/>
            </w:tcBorders>
            <w:vAlign w:val="center"/>
          </w:tcPr>
          <w:p w14:paraId="4937637C">
            <w:pPr>
              <w:wordWrap w:val="0"/>
              <w:jc w:val="center"/>
              <w:rPr>
                <w:sz w:val="24"/>
              </w:rPr>
            </w:pPr>
            <w:r>
              <w:rPr>
                <w:rFonts w:hint="eastAsia"/>
                <w:sz w:val="24"/>
              </w:rPr>
              <w:t>证件号码</w:t>
            </w:r>
          </w:p>
        </w:tc>
        <w:tc>
          <w:tcPr>
            <w:tcW w:w="1156" w:type="dxa"/>
            <w:tcBorders>
              <w:top w:val="single" w:sz="4" w:space="0" w:color="auto"/>
              <w:left w:val="single" w:sz="4" w:space="0" w:color="auto"/>
              <w:bottom w:val="single" w:sz="4" w:space="0" w:color="auto"/>
              <w:right w:val="single" w:sz="4" w:space="0" w:color="auto"/>
            </w:tcBorders>
            <w:vAlign w:val="center"/>
          </w:tcPr>
          <w:p w14:paraId="6CF06609">
            <w:pPr>
              <w:wordWrap w:val="0"/>
              <w:jc w:val="center"/>
              <w:rPr>
                <w:sz w:val="24"/>
              </w:rPr>
            </w:pPr>
            <w:r>
              <w:rPr>
                <w:rFonts w:hint="eastAsia"/>
                <w:sz w:val="24"/>
              </w:rPr>
              <w:t>职称</w:t>
            </w:r>
          </w:p>
        </w:tc>
        <w:tc>
          <w:tcPr>
            <w:tcW w:w="939" w:type="dxa"/>
            <w:tcBorders>
              <w:top w:val="single" w:sz="4" w:space="0" w:color="auto"/>
              <w:left w:val="single" w:sz="4" w:space="0" w:color="auto"/>
              <w:bottom w:val="single" w:sz="4" w:space="0" w:color="auto"/>
              <w:right w:val="single" w:sz="4" w:space="0" w:color="auto"/>
            </w:tcBorders>
            <w:vAlign w:val="center"/>
          </w:tcPr>
          <w:p w14:paraId="5D8746E0">
            <w:pPr>
              <w:wordWrap w:val="0"/>
              <w:jc w:val="center"/>
              <w:rPr>
                <w:sz w:val="24"/>
              </w:rPr>
            </w:pPr>
            <w:r>
              <w:rPr>
                <w:rFonts w:hint="eastAsia"/>
                <w:sz w:val="24"/>
              </w:rPr>
              <w:t>学位</w:t>
            </w:r>
          </w:p>
        </w:tc>
        <w:tc>
          <w:tcPr>
            <w:tcW w:w="2104" w:type="dxa"/>
            <w:tcBorders>
              <w:top w:val="single" w:sz="4" w:space="0" w:color="auto"/>
              <w:left w:val="single" w:sz="4" w:space="0" w:color="auto"/>
              <w:bottom w:val="single" w:sz="4" w:space="0" w:color="auto"/>
              <w:right w:val="single" w:sz="4" w:space="0" w:color="auto"/>
            </w:tcBorders>
            <w:vAlign w:val="center"/>
          </w:tcPr>
          <w:p w14:paraId="29B6F6E3">
            <w:pPr>
              <w:wordWrap w:val="0"/>
              <w:jc w:val="center"/>
              <w:rPr>
                <w:sz w:val="24"/>
              </w:rPr>
            </w:pPr>
            <w:r>
              <w:rPr>
                <w:rFonts w:hint="eastAsia"/>
                <w:sz w:val="24"/>
              </w:rPr>
              <w:t>研究领域</w:t>
            </w:r>
          </w:p>
        </w:tc>
        <w:tc>
          <w:tcPr>
            <w:tcW w:w="2006" w:type="dxa"/>
            <w:tcBorders>
              <w:top w:val="single" w:sz="4" w:space="0" w:color="auto"/>
              <w:left w:val="single" w:sz="4" w:space="0" w:color="auto"/>
              <w:bottom w:val="single" w:sz="4" w:space="0" w:color="auto"/>
              <w:right w:val="single" w:sz="4" w:space="0" w:color="auto"/>
            </w:tcBorders>
            <w:vAlign w:val="center"/>
          </w:tcPr>
          <w:p w14:paraId="6B2A3170">
            <w:pPr>
              <w:tabs>
                <w:tab w:val="left" w:pos="2520"/>
                <w:tab w:val="center" w:pos="4144"/>
              </w:tabs>
              <w:wordWrap w:val="0"/>
              <w:jc w:val="center"/>
              <w:rPr>
                <w:sz w:val="24"/>
              </w:rPr>
            </w:pPr>
            <w:r>
              <w:rPr>
                <w:rFonts w:hint="eastAsia"/>
                <w:sz w:val="24"/>
              </w:rPr>
              <w:t>单位名称</w:t>
            </w:r>
          </w:p>
        </w:tc>
        <w:tc>
          <w:tcPr>
            <w:tcW w:w="2977" w:type="dxa"/>
            <w:tcBorders>
              <w:top w:val="single" w:sz="4" w:space="0" w:color="auto"/>
              <w:left w:val="single" w:sz="4" w:space="0" w:color="auto"/>
              <w:bottom w:val="single" w:sz="4" w:space="0" w:color="auto"/>
              <w:right w:val="single" w:sz="4" w:space="0" w:color="auto"/>
            </w:tcBorders>
            <w:vAlign w:val="center"/>
          </w:tcPr>
          <w:p w14:paraId="4CB780C2">
            <w:pPr>
              <w:wordWrap w:val="0"/>
              <w:jc w:val="center"/>
              <w:rPr>
                <w:sz w:val="24"/>
              </w:rPr>
            </w:pPr>
            <w:r>
              <w:rPr>
                <w:rFonts w:hint="eastAsia"/>
                <w:sz w:val="24"/>
              </w:rPr>
              <w:t>分工</w:t>
            </w:r>
          </w:p>
        </w:tc>
        <w:tc>
          <w:tcPr>
            <w:tcW w:w="1449" w:type="dxa"/>
            <w:tcBorders>
              <w:top w:val="single" w:sz="4" w:space="0" w:color="auto"/>
              <w:left w:val="single" w:sz="4" w:space="0" w:color="auto"/>
              <w:bottom w:val="single" w:sz="4" w:space="0" w:color="auto"/>
              <w:right w:val="single" w:sz="4" w:space="0" w:color="auto"/>
            </w:tcBorders>
            <w:vAlign w:val="center"/>
          </w:tcPr>
          <w:p w14:paraId="36D3820C">
            <w:pPr>
              <w:wordWrap w:val="0"/>
              <w:jc w:val="center"/>
              <w:rPr>
                <w:sz w:val="24"/>
              </w:rPr>
            </w:pPr>
            <w:r>
              <w:rPr>
                <w:rFonts w:hint="eastAsia"/>
                <w:sz w:val="24"/>
              </w:rPr>
              <w:t>在读状态</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14:paraId="49FF59C3">
            <w:pPr>
              <w:wordWrap w:val="0"/>
              <w:jc w:val="center"/>
              <w:rPr>
                <w:rFonts w:ascii="宋体" w:eastAsia="宋体" w:hAnsi="宋体" w:cs="宋体"/>
                <w:sz w:val="24"/>
              </w:rPr>
            </w:pPr>
            <w:r>
              <w:rPr>
                <w:rFonts w:ascii="宋体" w:eastAsia="宋体" w:hAnsi="宋体" w:cs="宋体"/>
                <w:sz w:val="24"/>
              </w:rPr>
              <w:t>1</w:t>
            </w:r>
          </w:p>
        </w:tc>
        <w:tc>
          <w:tcPr>
            <w:tcW w:w="993" w:type="dxa"/>
            <w:tcBorders>
              <w:top w:val="single" w:sz="4" w:space="0" w:color="auto"/>
              <w:left w:val="single" w:sz="4" w:space="0" w:color="auto"/>
              <w:bottom w:val="single" w:sz="4" w:space="0" w:color="auto"/>
              <w:right w:val="single" w:sz="4" w:space="0" w:color="auto"/>
            </w:tcBorders>
            <w:vAlign w:val="center"/>
          </w:tcPr>
          <w:p w14:paraId="64237C0F">
            <w:pPr>
              <w:wordWrap w:val="0"/>
              <w:jc w:val="center"/>
              <w:rPr>
                <w:rFonts w:ascii="宋体" w:eastAsia="宋体" w:hAnsi="宋体" w:cs="宋体"/>
                <w:sz w:val="24"/>
              </w:rPr>
            </w:pPr>
            <w:r>
              <w:rPr>
                <w:rFonts w:ascii="宋体" w:eastAsia="宋体" w:hAnsi="宋体" w:cs="宋体"/>
                <w:sz w:val="24"/>
              </w:rPr>
              <w:t>高菲</w:t>
            </w:r>
          </w:p>
        </w:tc>
        <w:tc>
          <w:tcPr>
            <w:tcW w:w="709" w:type="dxa"/>
            <w:tcBorders>
              <w:top w:val="single" w:sz="4" w:space="0" w:color="auto"/>
              <w:left w:val="single" w:sz="4" w:space="0" w:color="auto"/>
              <w:bottom w:val="single" w:sz="4" w:space="0" w:color="auto"/>
              <w:right w:val="single" w:sz="4" w:space="0" w:color="auto"/>
            </w:tcBorders>
            <w:vAlign w:val="center"/>
          </w:tcPr>
          <w:p w14:paraId="405B2CB5">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14:paraId="04CEECC1">
            <w:pPr>
              <w:wordWrap w:val="0"/>
              <w:jc w:val="center"/>
              <w:rPr>
                <w:rFonts w:ascii="宋体" w:eastAsia="宋体" w:hAnsi="宋体" w:cs="宋体"/>
                <w:sz w:val="24"/>
              </w:rPr>
            </w:pPr>
            <w:r>
              <w:rPr>
                <w:rFonts w:ascii="宋体" w:eastAsia="宋体" w:hAnsi="宋体" w:cs="宋体"/>
                <w:sz w:val="24"/>
              </w:rPr>
              <w:t>34</w:t>
            </w:r>
          </w:p>
        </w:tc>
        <w:tc>
          <w:tcPr>
            <w:tcW w:w="2463" w:type="dxa"/>
            <w:tcBorders>
              <w:top w:val="single" w:sz="4" w:space="0" w:color="auto"/>
              <w:left w:val="single" w:sz="4" w:space="0" w:color="auto"/>
              <w:bottom w:val="single" w:sz="4" w:space="0" w:color="auto"/>
              <w:right w:val="single" w:sz="4" w:space="0" w:color="auto"/>
            </w:tcBorders>
            <w:vAlign w:val="center"/>
          </w:tcPr>
          <w:p w14:paraId="115D6927">
            <w:pPr>
              <w:wordWrap w:val="0"/>
              <w:jc w:val="center"/>
              <w:rPr>
                <w:rFonts w:ascii="宋体" w:eastAsia="宋体" w:hAnsi="宋体" w:cs="宋体"/>
                <w:sz w:val="24"/>
              </w:rPr>
            </w:pPr>
            <w:r>
              <w:rPr>
                <w:rFonts w:ascii="宋体" w:eastAsia="宋体" w:hAnsi="宋体" w:cs="宋体"/>
                <w:sz w:val="24"/>
              </w:rPr>
              <w:t>120105199107194825</w:t>
            </w:r>
          </w:p>
        </w:tc>
        <w:tc>
          <w:tcPr>
            <w:tcW w:w="1156" w:type="dxa"/>
            <w:tcBorders>
              <w:top w:val="single" w:sz="4" w:space="0" w:color="auto"/>
              <w:left w:val="single" w:sz="4" w:space="0" w:color="auto"/>
              <w:bottom w:val="single" w:sz="4" w:space="0" w:color="auto"/>
              <w:right w:val="single" w:sz="4" w:space="0" w:color="auto"/>
            </w:tcBorders>
            <w:vAlign w:val="center"/>
          </w:tcPr>
          <w:p w14:paraId="4797CA1F">
            <w:pPr>
              <w:wordWrap w:val="0"/>
              <w:jc w:val="center"/>
              <w:rPr>
                <w:rFonts w:ascii="宋体" w:eastAsia="宋体" w:hAnsi="宋体" w:cs="宋体"/>
                <w:sz w:val="24"/>
              </w:rPr>
            </w:pPr>
            <w:r>
              <w:rPr>
                <w:rFonts w:ascii="宋体" w:eastAsia="宋体" w:hAnsi="宋体" w:cs="宋体"/>
                <w:sz w:val="24"/>
              </w:rPr>
              <w:t>讲师</w:t>
            </w:r>
          </w:p>
        </w:tc>
        <w:tc>
          <w:tcPr>
            <w:tcW w:w="939" w:type="dxa"/>
            <w:tcBorders>
              <w:top w:val="single" w:sz="4" w:space="0" w:color="auto"/>
              <w:left w:val="single" w:sz="4" w:space="0" w:color="auto"/>
              <w:bottom w:val="single" w:sz="4" w:space="0" w:color="auto"/>
              <w:right w:val="single" w:sz="4" w:space="0" w:color="auto"/>
            </w:tcBorders>
            <w:vAlign w:val="center"/>
          </w:tcPr>
          <w:p w14:paraId="2531CFA5">
            <w:pPr>
              <w:wordWrap w:val="0"/>
              <w:jc w:val="center"/>
              <w:rPr>
                <w:rFonts w:ascii="宋体" w:eastAsia="宋体" w:hAnsi="宋体" w:cs="宋体"/>
                <w:sz w:val="24"/>
              </w:rPr>
            </w:pPr>
            <w:r>
              <w:rPr>
                <w:rFonts w:ascii="宋体" w:eastAsia="宋体" w:hAnsi="宋体" w:cs="宋体"/>
                <w:sz w:val="24"/>
              </w:rPr>
              <w:t>博士</w:t>
            </w:r>
          </w:p>
        </w:tc>
        <w:tc>
          <w:tcPr>
            <w:tcW w:w="2104" w:type="dxa"/>
            <w:tcBorders>
              <w:top w:val="single" w:sz="4" w:space="0" w:color="auto"/>
              <w:left w:val="single" w:sz="4" w:space="0" w:color="auto"/>
              <w:bottom w:val="single" w:sz="4" w:space="0" w:color="auto"/>
              <w:right w:val="single" w:sz="4" w:space="0" w:color="auto"/>
            </w:tcBorders>
            <w:vAlign w:val="center"/>
          </w:tcPr>
          <w:p w14:paraId="02F7B241">
            <w:pPr>
              <w:wordWrap w:val="0"/>
              <w:jc w:val="left"/>
              <w:rPr>
                <w:rFonts w:ascii="宋体" w:eastAsia="宋体" w:hAnsi="宋体" w:cs="宋体"/>
                <w:sz w:val="24"/>
              </w:rPr>
            </w:pPr>
            <w:r>
              <w:rPr>
                <w:rFonts w:ascii="宋体" w:eastAsia="宋体" w:hAnsi="宋体" w:cs="宋体"/>
                <w:sz w:val="24"/>
              </w:rPr>
              <w:t>水污染防治工程</w:t>
            </w:r>
          </w:p>
        </w:tc>
        <w:tc>
          <w:tcPr>
            <w:tcW w:w="2006" w:type="dxa"/>
            <w:tcBorders>
              <w:top w:val="single" w:sz="4" w:space="0" w:color="auto"/>
              <w:left w:val="single" w:sz="4" w:space="0" w:color="auto"/>
              <w:bottom w:val="single" w:sz="4" w:space="0" w:color="auto"/>
              <w:right w:val="single" w:sz="4" w:space="0" w:color="auto"/>
            </w:tcBorders>
            <w:vAlign w:val="center"/>
          </w:tcPr>
          <w:p w14:paraId="737E1BC3">
            <w:pPr>
              <w:tabs>
                <w:tab w:val="left" w:pos="2520"/>
                <w:tab w:val="center" w:pos="4144"/>
              </w:tabs>
              <w:wordWrap w:val="0"/>
              <w:jc w:val="left"/>
              <w:rPr>
                <w:rFonts w:ascii="宋体" w:eastAsia="宋体" w:hAnsi="宋体" w:cs="宋体"/>
                <w:sz w:val="24"/>
              </w:rPr>
            </w:pPr>
            <w:r>
              <w:rPr>
                <w:rFonts w:ascii="宋体" w:eastAsia="宋体" w:hAnsi="宋体" w:cs="宋体"/>
                <w:sz w:val="24"/>
              </w:rPr>
              <w:t>沧州市天津工业大学研究院</w:t>
            </w:r>
          </w:p>
        </w:tc>
        <w:tc>
          <w:tcPr>
            <w:tcW w:w="2977" w:type="dxa"/>
            <w:tcBorders>
              <w:top w:val="single" w:sz="4" w:space="0" w:color="auto"/>
              <w:left w:val="single" w:sz="4" w:space="0" w:color="auto"/>
              <w:bottom w:val="single" w:sz="4" w:space="0" w:color="auto"/>
              <w:right w:val="single" w:sz="4" w:space="0" w:color="auto"/>
            </w:tcBorders>
            <w:vAlign w:val="center"/>
          </w:tcPr>
          <w:p w14:paraId="47FBF1DE">
            <w:pPr>
              <w:wordWrap w:val="0"/>
              <w:jc w:val="left"/>
              <w:rPr>
                <w:rFonts w:ascii="宋体" w:eastAsia="宋体" w:hAnsi="宋体" w:cs="宋体"/>
                <w:sz w:val="24"/>
              </w:rPr>
            </w:pPr>
            <w:r>
              <w:rPr>
                <w:rFonts w:ascii="宋体" w:eastAsia="宋体" w:hAnsi="宋体" w:cs="宋体"/>
                <w:sz w:val="24"/>
              </w:rPr>
              <w:t>负责整个项目的设计、组织和实施，并对项目进行总体把控</w:t>
            </w:r>
          </w:p>
        </w:tc>
        <w:tc>
          <w:tcPr>
            <w:tcW w:w="1449" w:type="dxa"/>
            <w:tcBorders>
              <w:top w:val="single" w:sz="4" w:space="0" w:color="auto"/>
              <w:left w:val="single" w:sz="4" w:space="0" w:color="auto"/>
              <w:bottom w:val="single" w:sz="4" w:space="0" w:color="auto"/>
              <w:right w:val="single" w:sz="4" w:space="0" w:color="auto"/>
            </w:tcBorders>
            <w:vAlign w:val="center"/>
          </w:tcPr>
          <w:p w14:paraId="277A9CF4">
            <w:pPr>
              <w:wordWrap w:val="0"/>
              <w:jc w:val="center"/>
              <w:rPr>
                <w:rFonts w:ascii="宋体" w:eastAsia="宋体" w:hAnsi="宋体" w:cs="宋体"/>
                <w:sz w:val="24"/>
              </w:rPr>
            </w:pPr>
            <w:r>
              <w:rPr>
                <w:rFonts w:ascii="宋体" w:eastAsia="宋体" w:hAnsi="宋体" w:cs="宋体"/>
                <w:sz w:val="24"/>
              </w:rPr>
              <w:t>非在读</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李玟丽</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24</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370826200103134624</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无职称</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学士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水污染防治工程</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沧州市天津工业大学研究院</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负责电催化膜过滤系统的运行</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硕士研究生</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刘润欣</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24</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130729200107301046</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无职称</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学士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水污染防治工程</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沧州市天津工业大学研究院</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负责电催化膜的制备</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硕士研究生</w:t>
            </w:r>
          </w:p>
        </w:tc>
      </w:tr>
    </w:tbl>
    <w:p w14:paraId="37A73C3B">
      <w:pPr>
        <w:wordWrap w:val="0"/>
        <w:rPr>
          <w:sz w:val="21"/>
        </w:rPr>
      </w:pPr>
      <w:r>
        <w:rPr>
          <w:rFonts w:hint="eastAsia"/>
          <w:sz w:val="24"/>
        </w:rPr>
        <w:t>注：证件号码一般填写身份证号码，无身份证人员填写时要注明证件名称。</w:t>
      </w:r>
    </w:p>
    <w:tbl>
      <w:tblPr>
        <w:tblStyle w:val="TableNormal"/>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77"/>
        <w:gridCol w:w="1587"/>
        <w:gridCol w:w="1587"/>
        <w:gridCol w:w="1587"/>
        <w:gridCol w:w="1587"/>
        <w:gridCol w:w="1587"/>
        <w:gridCol w:w="1587"/>
        <w:gridCol w:w="1587"/>
        <w:gridCol w:w="1587"/>
        <w:gridCol w:w="1587"/>
      </w:tblGrid>
      <w:tr w14:paraId="1813A0F4">
        <w:tblPrEx>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483"/>
          <w:jc w:val="center"/>
        </w:trPr>
        <w:tc>
          <w:tcPr>
            <w:tcW w:w="1877" w:type="dxa"/>
            <w:vAlign w:val="center"/>
          </w:tcPr>
          <w:p w14:paraId="25BE75B5">
            <w:pPr>
              <w:keepNext/>
              <w:widowControl/>
              <w:wordWrap w:val="0"/>
              <w:spacing w:line="320" w:lineRule="exact"/>
              <w:jc w:val="center"/>
              <w:rPr>
                <w:sz w:val="24"/>
              </w:rPr>
            </w:pPr>
            <w:r>
              <w:rPr>
                <w:rFonts w:hint="eastAsia"/>
                <w:sz w:val="24"/>
              </w:rPr>
              <w:t>总人数</w:t>
            </w:r>
          </w:p>
        </w:tc>
        <w:tc>
          <w:tcPr>
            <w:tcW w:w="1587" w:type="dxa"/>
            <w:vAlign w:val="center"/>
          </w:tcPr>
          <w:p w14:paraId="16B6652B">
            <w:pPr>
              <w:keepNext/>
              <w:widowControl/>
              <w:wordWrap w:val="0"/>
              <w:spacing w:line="320" w:lineRule="exact"/>
              <w:jc w:val="center"/>
              <w:rPr>
                <w:sz w:val="24"/>
              </w:rPr>
            </w:pPr>
            <w:r>
              <w:rPr>
                <w:rFonts w:hint="eastAsia"/>
                <w:sz w:val="24"/>
              </w:rPr>
              <w:t>高级</w:t>
            </w:r>
          </w:p>
        </w:tc>
        <w:tc>
          <w:tcPr>
            <w:tcW w:w="1587" w:type="dxa"/>
            <w:vAlign w:val="center"/>
          </w:tcPr>
          <w:p w14:paraId="6E53CFE0">
            <w:pPr>
              <w:keepNext/>
              <w:widowControl/>
              <w:wordWrap w:val="0"/>
              <w:spacing w:line="320" w:lineRule="exact"/>
              <w:jc w:val="center"/>
              <w:rPr>
                <w:sz w:val="24"/>
              </w:rPr>
            </w:pPr>
            <w:r>
              <w:rPr>
                <w:rFonts w:hint="eastAsia"/>
                <w:sz w:val="24"/>
              </w:rPr>
              <w:t>中级</w:t>
            </w:r>
          </w:p>
        </w:tc>
        <w:tc>
          <w:tcPr>
            <w:tcW w:w="1587" w:type="dxa"/>
            <w:vAlign w:val="center"/>
          </w:tcPr>
          <w:p w14:paraId="205AB97D">
            <w:pPr>
              <w:keepNext/>
              <w:widowControl/>
              <w:wordWrap w:val="0"/>
              <w:spacing w:line="320" w:lineRule="exact"/>
              <w:jc w:val="center"/>
              <w:rPr>
                <w:sz w:val="24"/>
              </w:rPr>
            </w:pPr>
            <w:r>
              <w:rPr>
                <w:rFonts w:hint="eastAsia"/>
                <w:sz w:val="24"/>
              </w:rPr>
              <w:t>初级</w:t>
            </w:r>
          </w:p>
        </w:tc>
        <w:tc>
          <w:tcPr>
            <w:tcW w:w="1587" w:type="dxa"/>
            <w:vAlign w:val="center"/>
          </w:tcPr>
          <w:p w14:paraId="538AC6A7">
            <w:pPr>
              <w:keepNext/>
              <w:widowControl/>
              <w:wordWrap w:val="0"/>
              <w:spacing w:line="320" w:lineRule="exact"/>
              <w:jc w:val="center"/>
              <w:rPr>
                <w:sz w:val="24"/>
              </w:rPr>
            </w:pPr>
            <w:r>
              <w:rPr>
                <w:rFonts w:hint="eastAsia"/>
                <w:sz w:val="24"/>
              </w:rPr>
              <w:t>其它</w:t>
            </w:r>
          </w:p>
        </w:tc>
        <w:tc>
          <w:tcPr>
            <w:tcW w:w="1587" w:type="dxa"/>
            <w:vAlign w:val="center"/>
          </w:tcPr>
          <w:p w14:paraId="0DF3D122">
            <w:pPr>
              <w:keepNext/>
              <w:widowControl/>
              <w:wordWrap w:val="0"/>
              <w:spacing w:line="320" w:lineRule="exact"/>
              <w:jc w:val="center"/>
              <w:rPr>
                <w:sz w:val="24"/>
              </w:rPr>
            </w:pPr>
            <w:r>
              <w:rPr>
                <w:rFonts w:hint="eastAsia"/>
                <w:sz w:val="24"/>
              </w:rPr>
              <w:t>博士后</w:t>
            </w:r>
          </w:p>
        </w:tc>
        <w:tc>
          <w:tcPr>
            <w:tcW w:w="1587" w:type="dxa"/>
            <w:vAlign w:val="center"/>
          </w:tcPr>
          <w:p w14:paraId="5DAABE5F">
            <w:pPr>
              <w:keepNext/>
              <w:widowControl/>
              <w:wordWrap w:val="0"/>
              <w:spacing w:line="320" w:lineRule="exact"/>
              <w:jc w:val="center"/>
              <w:rPr>
                <w:sz w:val="24"/>
              </w:rPr>
            </w:pPr>
            <w:r>
              <w:rPr>
                <w:rFonts w:hint="eastAsia"/>
                <w:sz w:val="24"/>
              </w:rPr>
              <w:t>博士</w:t>
            </w:r>
          </w:p>
        </w:tc>
        <w:tc>
          <w:tcPr>
            <w:tcW w:w="1587" w:type="dxa"/>
            <w:vAlign w:val="center"/>
          </w:tcPr>
          <w:p w14:paraId="7A56251D">
            <w:pPr>
              <w:keepNext/>
              <w:widowControl/>
              <w:wordWrap w:val="0"/>
              <w:spacing w:line="320" w:lineRule="exact"/>
              <w:jc w:val="center"/>
              <w:rPr>
                <w:sz w:val="24"/>
              </w:rPr>
            </w:pPr>
            <w:r>
              <w:rPr>
                <w:rFonts w:hint="eastAsia"/>
                <w:sz w:val="24"/>
              </w:rPr>
              <w:t>博士生</w:t>
            </w:r>
          </w:p>
        </w:tc>
        <w:tc>
          <w:tcPr>
            <w:tcW w:w="1587" w:type="dxa"/>
            <w:vAlign w:val="center"/>
          </w:tcPr>
          <w:p w14:paraId="55DACB3C">
            <w:pPr>
              <w:keepNext/>
              <w:widowControl/>
              <w:wordWrap w:val="0"/>
              <w:spacing w:line="320" w:lineRule="exact"/>
              <w:jc w:val="center"/>
              <w:rPr>
                <w:sz w:val="24"/>
              </w:rPr>
            </w:pPr>
            <w:r>
              <w:rPr>
                <w:rFonts w:hint="eastAsia"/>
                <w:sz w:val="24"/>
              </w:rPr>
              <w:t>硕士</w:t>
            </w:r>
          </w:p>
        </w:tc>
        <w:tc>
          <w:tcPr>
            <w:tcW w:w="1587" w:type="dxa"/>
            <w:vAlign w:val="center"/>
          </w:tcPr>
          <w:p w14:paraId="45B3A6D2">
            <w:pPr>
              <w:keepNext/>
              <w:widowControl/>
              <w:wordWrap w:val="0"/>
              <w:spacing w:line="320" w:lineRule="exact"/>
              <w:jc w:val="center"/>
              <w:rPr>
                <w:sz w:val="24"/>
              </w:rPr>
            </w:pPr>
            <w:r>
              <w:rPr>
                <w:rFonts w:hint="eastAsia"/>
                <w:sz w:val="24"/>
              </w:rPr>
              <w:t>硕士生</w:t>
            </w:r>
          </w:p>
        </w:tc>
      </w:tr>
      <w:tr w14:paraId="0C356D8B">
        <w:tblPrEx>
          <w:tblW w:w="16160" w:type="dxa"/>
          <w:jc w:val="center"/>
          <w:tblCellMar>
            <w:top w:w="0" w:type="dxa"/>
            <w:left w:w="108" w:type="dxa"/>
            <w:bottom w:w="0" w:type="dxa"/>
            <w:right w:w="108" w:type="dxa"/>
          </w:tblCellMar>
        </w:tblPrEx>
        <w:trPr>
          <w:cantSplit/>
          <w:trHeight w:val="477"/>
          <w:jc w:val="center"/>
        </w:trPr>
        <w:tc>
          <w:tcPr>
            <w:tcW w:w="1877" w:type="dxa"/>
            <w:vAlign w:val="center"/>
          </w:tcPr>
          <w:p w14:paraId="4412823D">
            <w:pPr>
              <w:keepNext/>
              <w:widowControl/>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151B3096">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4F239679">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235091B3">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64F24F86">
            <w:pPr>
              <w:keepNext/>
              <w:widowControl/>
              <w:wordWrap w:val="0"/>
              <w:jc w:val="center"/>
              <w:rPr>
                <w:rFonts w:ascii="宋体" w:eastAsia="宋体" w:hAnsi="宋体" w:cs="宋体"/>
                <w:sz w:val="24"/>
              </w:rPr>
            </w:pPr>
            <w:r>
              <w:rPr>
                <w:rFonts w:ascii="宋体" w:eastAsia="宋体" w:hAnsi="宋体" w:cs="宋体"/>
                <w:sz w:val="24"/>
              </w:rPr>
              <w:t>2</w:t>
            </w:r>
          </w:p>
        </w:tc>
        <w:tc>
          <w:tcPr>
            <w:tcW w:w="1587" w:type="dxa"/>
            <w:vAlign w:val="center"/>
          </w:tcPr>
          <w:p w14:paraId="3EE1BD2B">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7522ED44">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57F530F4">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7463E62A">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3781DE2E">
            <w:pPr>
              <w:keepNext/>
              <w:widowControl/>
              <w:wordWrap w:val="0"/>
              <w:jc w:val="center"/>
              <w:rPr>
                <w:rFonts w:ascii="宋体" w:eastAsia="宋体" w:hAnsi="宋体" w:cs="宋体"/>
                <w:sz w:val="24"/>
              </w:rPr>
            </w:pPr>
            <w:r>
              <w:rPr>
                <w:rFonts w:ascii="宋体" w:eastAsia="宋体" w:hAnsi="宋体" w:cs="宋体"/>
                <w:sz w:val="24"/>
              </w:rPr>
              <w:t>2</w:t>
            </w:r>
          </w:p>
        </w:tc>
      </w:tr>
    </w:tbl>
    <w:p w14:paraId="78B8375F">
      <w:pPr>
        <w:wordWrap w:val="0"/>
        <w:rPr>
          <w:sz w:val="10"/>
          <w:szCs w:val="10"/>
        </w:rPr>
        <w:sectPr>
          <w:pgSz w:w="16838" w:h="11906" w:orient="landscape"/>
          <w:pgMar w:top="1418" w:right="1418" w:bottom="1418" w:left="1418" w:header="851" w:footer="851" w:gutter="0"/>
          <w:cols w:num="1" w:space="720"/>
          <w:docGrid w:linePitch="381" w:charSpace="0"/>
        </w:sectPr>
      </w:pPr>
    </w:p>
    <w:p w14:paraId="4E313B76">
      <w:pPr>
        <w:wordWrap w:val="0"/>
        <w:spacing w:line="20" w:lineRule="exact"/>
      </w:pPr>
    </w:p>
    <w:tbl>
      <w:tblPr>
        <w:tblStyle w:val="TableNormal"/>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55"/>
      </w:tblGrid>
      <w:tr w14:paraId="2C7782B3">
        <w:tblPrEx>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032"/>
          <w:jc w:val="center"/>
        </w:trPr>
        <w:tc>
          <w:tcPr>
            <w:tcW w:w="9655" w:type="dxa"/>
          </w:tcPr>
          <w:p w14:paraId="51C2F2C3">
            <w:pPr>
              <w:wordWrap w:val="0"/>
              <w:jc w:val="center"/>
              <w:rPr>
                <w:b/>
              </w:rPr>
            </w:pPr>
            <w:r>
              <w:rPr>
                <w:rFonts w:hint="eastAsia"/>
                <w:b/>
              </w:rPr>
              <w:t>预算填写说明</w:t>
            </w:r>
          </w:p>
          <w:p w14:paraId="414286AF">
            <w:pPr>
              <w:wordWrap w:val="0"/>
              <w:spacing w:line="340" w:lineRule="exact"/>
              <w:ind w:firstLine="420" w:firstLineChars="200"/>
              <w:rPr>
                <w:b/>
                <w:bCs/>
                <w:sz w:val="21"/>
                <w:szCs w:val="21"/>
              </w:rPr>
            </w:pPr>
            <w:r>
              <w:rPr>
                <w:rFonts w:hint="eastAsia"/>
                <w:b/>
                <w:bCs/>
                <w:sz w:val="21"/>
                <w:szCs w:val="21"/>
              </w:rPr>
              <w:t>一、省级财政资金</w:t>
            </w:r>
          </w:p>
          <w:p w14:paraId="3035C649">
            <w:pPr>
              <w:wordWrap w:val="0"/>
              <w:spacing w:line="340" w:lineRule="exact"/>
              <w:ind w:firstLine="420" w:firstLineChars="200"/>
              <w:rPr>
                <w:rFonts w:cs="仿宋_GB2312"/>
                <w:sz w:val="21"/>
                <w:szCs w:val="21"/>
              </w:rPr>
            </w:pPr>
            <w:r>
              <w:rPr>
                <w:rFonts w:cs="仿宋_GB2312" w:hint="eastAsia"/>
                <w:sz w:val="21"/>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1A04A8C7">
            <w:pPr>
              <w:wordWrap w:val="0"/>
              <w:spacing w:line="340" w:lineRule="exact"/>
              <w:ind w:firstLine="420" w:firstLineChars="200"/>
              <w:rPr>
                <w:rFonts w:cs="黑体"/>
                <w:sz w:val="21"/>
                <w:szCs w:val="21"/>
              </w:rPr>
            </w:pPr>
            <w:r>
              <w:rPr>
                <w:rFonts w:cs="黑体" w:hint="eastAsia"/>
                <w:sz w:val="21"/>
                <w:szCs w:val="21"/>
              </w:rPr>
              <w:t>（一）直接费用</w:t>
            </w:r>
          </w:p>
          <w:p w14:paraId="3FCB8DFE">
            <w:pPr>
              <w:wordWrap w:val="0"/>
              <w:spacing w:line="340" w:lineRule="exact"/>
              <w:ind w:firstLine="420" w:firstLineChars="200"/>
              <w:rPr>
                <w:rFonts w:cs="仿宋_GB2312"/>
                <w:sz w:val="21"/>
                <w:szCs w:val="21"/>
              </w:rPr>
            </w:pPr>
            <w:r>
              <w:rPr>
                <w:rFonts w:cs="仿宋_GB2312" w:hint="eastAsia"/>
                <w:sz w:val="21"/>
                <w:szCs w:val="21"/>
              </w:rPr>
              <w:t>指在项目实施过程中发生的与之直接相关的费用，具体包括：</w:t>
            </w:r>
          </w:p>
          <w:p w14:paraId="7F132FD9">
            <w:pPr>
              <w:wordWrap w:val="0"/>
              <w:spacing w:line="340" w:lineRule="exact"/>
              <w:ind w:firstLine="420" w:firstLineChars="200"/>
              <w:rPr>
                <w:rFonts w:cs="仿宋_GB2312"/>
                <w:sz w:val="21"/>
                <w:szCs w:val="21"/>
              </w:rPr>
            </w:pPr>
            <w:r>
              <w:rPr>
                <w:rFonts w:cs="仿宋_GB2312" w:hint="eastAsia"/>
                <w:sz w:val="21"/>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1E1F8B39">
            <w:pPr>
              <w:wordWrap w:val="0"/>
              <w:spacing w:line="340" w:lineRule="exact"/>
              <w:ind w:firstLine="420" w:firstLineChars="200"/>
              <w:rPr>
                <w:rFonts w:cs="仿宋_GB2312"/>
                <w:sz w:val="21"/>
                <w:szCs w:val="21"/>
              </w:rPr>
            </w:pPr>
            <w:r>
              <w:rPr>
                <w:rFonts w:cs="仿宋_GB2312" w:hint="eastAsia"/>
                <w:sz w:val="21"/>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3B2CD90F">
            <w:pPr>
              <w:wordWrap w:val="0"/>
              <w:spacing w:line="340" w:lineRule="exact"/>
              <w:ind w:firstLine="420" w:firstLineChars="200"/>
              <w:rPr>
                <w:rFonts w:cs="仿宋_GB2312"/>
                <w:sz w:val="21"/>
                <w:szCs w:val="21"/>
              </w:rPr>
            </w:pPr>
            <w:r>
              <w:rPr>
                <w:rFonts w:cs="仿宋_GB2312" w:hint="eastAsia"/>
                <w:sz w:val="21"/>
                <w:szCs w:val="21"/>
              </w:rPr>
              <w:t>3.劳务费：指在项目实施过程中支付给参与项目研究的研究生、博士后、访问学者以及项目科研辅助人员等的劳务性费用，以及支付给临时聘请的咨询专家的费用等。</w:t>
            </w:r>
          </w:p>
          <w:p w14:paraId="428FD5A3">
            <w:pPr>
              <w:wordWrap w:val="0"/>
              <w:spacing w:line="340" w:lineRule="exact"/>
              <w:ind w:firstLine="420" w:firstLineChars="200"/>
              <w:rPr>
                <w:rFonts w:cs="仿宋_GB2312"/>
                <w:sz w:val="21"/>
                <w:szCs w:val="21"/>
              </w:rPr>
            </w:pPr>
            <w:r>
              <w:rPr>
                <w:rFonts w:cs="仿宋_GB2312" w:hint="eastAsia"/>
                <w:sz w:val="21"/>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2303A91B">
            <w:pPr>
              <w:wordWrap w:val="0"/>
              <w:spacing w:line="340" w:lineRule="exact"/>
              <w:ind w:firstLine="420" w:firstLineChars="200"/>
              <w:rPr>
                <w:rFonts w:cs="仿宋_GB2312"/>
                <w:sz w:val="21"/>
                <w:szCs w:val="21"/>
              </w:rPr>
            </w:pPr>
            <w:r>
              <w:rPr>
                <w:rFonts w:cs="仿宋_GB2312" w:hint="eastAsia"/>
                <w:sz w:val="21"/>
                <w:szCs w:val="21"/>
              </w:rPr>
              <w:t>专家咨询费不得支付给参与项目及其项目管理相关的工作人员。专家咨询费标准参照《中央财政科研项目专家咨询费管理办法》（财科教〔2017〕128号）规定，由项目申报单位结合实际自行确定。</w:t>
            </w:r>
          </w:p>
          <w:p w14:paraId="5E7B30F2">
            <w:pPr>
              <w:wordWrap w:val="0"/>
              <w:spacing w:line="340" w:lineRule="exact"/>
              <w:ind w:firstLine="420" w:firstLineChars="200"/>
              <w:rPr>
                <w:rFonts w:cs="黑体"/>
                <w:sz w:val="21"/>
                <w:szCs w:val="21"/>
              </w:rPr>
            </w:pPr>
            <w:r>
              <w:rPr>
                <w:rFonts w:cs="黑体" w:hint="eastAsia"/>
                <w:sz w:val="21"/>
                <w:szCs w:val="21"/>
              </w:rPr>
              <w:t>（二）间接费用</w:t>
            </w:r>
          </w:p>
          <w:p w14:paraId="3711A056">
            <w:pPr>
              <w:wordWrap w:val="0"/>
              <w:autoSpaceDE w:val="0"/>
              <w:autoSpaceDN w:val="0"/>
              <w:spacing w:line="340" w:lineRule="exact"/>
              <w:ind w:firstLine="403" w:firstLineChars="192"/>
              <w:rPr>
                <w:sz w:val="21"/>
                <w:szCs w:val="21"/>
              </w:rPr>
            </w:pPr>
            <w:r>
              <w:rPr>
                <w:rFonts w:hint="eastAsia"/>
                <w:sz w:val="21"/>
                <w:szCs w:val="21"/>
              </w:rPr>
              <w:t>指项目申报单位和项目合作单位在组织实施项目过程中发生的无法在直接费用中列支的相关费用。主要包括：项目申报单位为项目研究提供的房屋占用，日常水、电、气、暖消耗，有关管理费用的补助支出，以及激励科研人员的绩效支出等。</w:t>
            </w:r>
          </w:p>
          <w:p w14:paraId="3A40D6B7">
            <w:pPr>
              <w:wordWrap w:val="0"/>
              <w:autoSpaceDE w:val="0"/>
              <w:autoSpaceDN w:val="0"/>
              <w:spacing w:line="340" w:lineRule="exact"/>
              <w:ind w:firstLine="403" w:firstLineChars="192"/>
              <w:rPr>
                <w:sz w:val="21"/>
                <w:szCs w:val="21"/>
              </w:rPr>
            </w:pPr>
            <w:r>
              <w:rPr>
                <w:rFonts w:hint="eastAsia"/>
                <w:sz w:val="21"/>
                <w:szCs w:val="21"/>
              </w:rPr>
              <w:t>间接费用实行总额控制，项目申报单位申请的间接费用总额按照不超过直接费用扣除设备购置费的一定比例核定，其中：100万元以下的部分为30%，100万元至300万元的部分为25%；300万元以上的部分为20%；数学等纯理论基础研究项目间接费用比例可提高到不超过60%。</w:t>
            </w:r>
          </w:p>
          <w:p w14:paraId="6479EB4B">
            <w:pPr>
              <w:wordWrap w:val="0"/>
              <w:autoSpaceDE w:val="0"/>
              <w:autoSpaceDN w:val="0"/>
              <w:spacing w:line="340" w:lineRule="exact"/>
              <w:ind w:firstLine="403" w:firstLineChars="192"/>
              <w:rPr>
                <w:sz w:val="21"/>
                <w:szCs w:val="21"/>
              </w:rPr>
            </w:pPr>
            <w:r>
              <w:rPr>
                <w:rFonts w:hint="eastAsia"/>
                <w:sz w:val="21"/>
                <w:szCs w:val="21"/>
              </w:rPr>
              <w:t>间接费用由项目承担单位统筹安排使用，可全部用于绩效支出，并向创新绩效突出的团队、个人和青年人才倾斜。</w:t>
            </w:r>
          </w:p>
          <w:p w14:paraId="34447AA8">
            <w:pPr>
              <w:wordWrap w:val="0"/>
              <w:autoSpaceDE w:val="0"/>
              <w:autoSpaceDN w:val="0"/>
              <w:spacing w:line="340" w:lineRule="exact"/>
              <w:ind w:firstLine="403" w:firstLineChars="192"/>
              <w:rPr>
                <w:sz w:val="21"/>
                <w:szCs w:val="21"/>
              </w:rPr>
            </w:pPr>
            <w:r>
              <w:rPr>
                <w:rFonts w:hint="eastAsia"/>
                <w:b/>
                <w:bCs/>
                <w:sz w:val="21"/>
                <w:szCs w:val="21"/>
              </w:rPr>
              <w:t>二、自筹资金与配套资金</w:t>
            </w:r>
          </w:p>
          <w:p w14:paraId="35F8FFBB">
            <w:pPr>
              <w:wordWrap w:val="0"/>
              <w:autoSpaceDE w:val="0"/>
              <w:autoSpaceDN w:val="0"/>
              <w:spacing w:line="340" w:lineRule="exact"/>
              <w:ind w:firstLine="403" w:firstLineChars="192"/>
            </w:pPr>
            <w:r>
              <w:rPr>
                <w:rFonts w:hint="eastAsia"/>
                <w:sz w:val="21"/>
                <w:szCs w:val="21"/>
              </w:rPr>
              <w:t>对自筹资金与配套资金主要用途、支出预算做简要说明。</w:t>
            </w:r>
          </w:p>
        </w:tc>
      </w:tr>
    </w:tbl>
    <w:p w14:paraId="7FDDD7BA">
      <w:pPr>
        <w:widowControl/>
        <w:wordWrap w:val="0"/>
        <w:jc w:val="left"/>
        <w:rPr>
          <w:sz w:val="10"/>
          <w:szCs w:val="10"/>
        </w:rPr>
      </w:pPr>
      <w:r>
        <w:rPr>
          <w:sz w:val="10"/>
          <w:szCs w:val="10"/>
        </w:rPr>
        <w:br w:type="page"/>
      </w:r>
    </w:p>
    <w:p w14:paraId="7CA9FE71">
      <w:pPr>
        <w:wordWrap w:val="0"/>
        <w:jc w:val="center"/>
        <w:rPr>
          <w:b/>
          <w:szCs w:val="36"/>
        </w:rPr>
      </w:pPr>
      <w:r>
        <w:rPr>
          <w:rFonts w:hint="eastAsia"/>
          <w:b/>
          <w:szCs w:val="36"/>
        </w:rPr>
        <w:t>项目预算表</w:t>
      </w:r>
    </w:p>
    <w:p w14:paraId="20932944">
      <w:pPr>
        <w:wordWrap w:val="0"/>
        <w:spacing w:line="360" w:lineRule="auto"/>
        <w:ind w:right="567"/>
        <w:outlineLvl w:val="0"/>
        <w:rPr>
          <w:sz w:val="24"/>
        </w:rPr>
      </w:pPr>
      <w:r>
        <w:rPr>
          <w:rFonts w:hint="eastAsia"/>
        </w:rPr>
        <w:t xml:space="preserve">                                             </w:t>
      </w:r>
      <w:r>
        <w:rPr>
          <w:rFonts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722"/>
        <w:gridCol w:w="3852"/>
        <w:gridCol w:w="3890"/>
      </w:tblGrid>
      <w:tr w14:paraId="3255A4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1722" w:type="dxa"/>
            <w:vAlign w:val="center"/>
          </w:tcPr>
          <w:p w14:paraId="48A2E50D">
            <w:pPr>
              <w:wordWrap w:val="0"/>
              <w:jc w:val="center"/>
              <w:outlineLvl w:val="0"/>
              <w:rPr>
                <w:b/>
                <w:sz w:val="24"/>
              </w:rPr>
            </w:pPr>
            <w:r>
              <w:rPr>
                <w:rFonts w:hint="eastAsia"/>
                <w:b/>
                <w:sz w:val="24"/>
              </w:rPr>
              <w:t>序号</w:t>
            </w:r>
          </w:p>
        </w:tc>
        <w:tc>
          <w:tcPr>
            <w:tcW w:w="3852" w:type="dxa"/>
            <w:vAlign w:val="center"/>
          </w:tcPr>
          <w:p w14:paraId="2C3A0B46">
            <w:pPr>
              <w:wordWrap w:val="0"/>
              <w:jc w:val="center"/>
              <w:outlineLvl w:val="0"/>
              <w:rPr>
                <w:b/>
                <w:sz w:val="24"/>
              </w:rPr>
            </w:pPr>
            <w:r>
              <w:rPr>
                <w:rFonts w:hint="eastAsia"/>
                <w:b/>
                <w:sz w:val="24"/>
              </w:rPr>
              <w:t>预算科目名称</w:t>
            </w:r>
          </w:p>
        </w:tc>
        <w:tc>
          <w:tcPr>
            <w:tcW w:w="3890" w:type="dxa"/>
            <w:vAlign w:val="center"/>
          </w:tcPr>
          <w:p w14:paraId="49CF5751">
            <w:pPr>
              <w:wordWrap w:val="0"/>
              <w:jc w:val="center"/>
              <w:outlineLvl w:val="0"/>
              <w:rPr>
                <w:b/>
                <w:sz w:val="24"/>
              </w:rPr>
            </w:pPr>
            <w:r>
              <w:rPr>
                <w:rFonts w:hint="eastAsia"/>
                <w:b/>
                <w:sz w:val="24"/>
              </w:rPr>
              <w:t>金额</w:t>
            </w:r>
          </w:p>
        </w:tc>
      </w:tr>
      <w:tr w14:paraId="13272794">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AA50486">
            <w:pPr>
              <w:wordWrap w:val="0"/>
              <w:jc w:val="center"/>
              <w:outlineLvl w:val="0"/>
              <w:rPr>
                <w:sz w:val="24"/>
              </w:rPr>
            </w:pPr>
            <w:r>
              <w:rPr>
                <w:rFonts w:hint="eastAsia"/>
                <w:sz w:val="24"/>
              </w:rPr>
              <w:t>1</w:t>
            </w:r>
          </w:p>
        </w:tc>
        <w:tc>
          <w:tcPr>
            <w:tcW w:w="3852" w:type="dxa"/>
            <w:vAlign w:val="center"/>
          </w:tcPr>
          <w:p w14:paraId="47AB35C9">
            <w:pPr>
              <w:wordWrap w:val="0"/>
              <w:outlineLvl w:val="0"/>
              <w:rPr>
                <w:sz w:val="24"/>
              </w:rPr>
            </w:pPr>
            <w:r>
              <w:rPr>
                <w:rFonts w:hint="eastAsia"/>
                <w:b/>
                <w:bCs/>
                <w:sz w:val="24"/>
              </w:rPr>
              <w:t>一、省级财政资金</w:t>
            </w:r>
          </w:p>
        </w:tc>
        <w:tc>
          <w:tcPr>
            <w:tcW w:w="3890" w:type="dxa"/>
            <w:vAlign w:val="center"/>
          </w:tcPr>
          <w:p w14:paraId="0E3B4733">
            <w:pPr>
              <w:wordWrap w:val="0"/>
              <w:jc w:val="center"/>
              <w:outlineLvl w:val="0"/>
              <w:rPr>
                <w:rFonts w:ascii="宋体" w:eastAsia="宋体" w:hAnsi="宋体" w:cs="宋体"/>
                <w:sz w:val="24"/>
              </w:rPr>
            </w:pPr>
            <w:r>
              <w:rPr>
                <w:rFonts w:ascii="宋体" w:eastAsia="宋体" w:hAnsi="宋体" w:cs="宋体"/>
                <w:sz w:val="24"/>
              </w:rPr>
              <w:t>6.00</w:t>
            </w:r>
          </w:p>
        </w:tc>
      </w:tr>
      <w:tr w14:paraId="0F509B07">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60260725">
            <w:pPr>
              <w:wordWrap w:val="0"/>
              <w:jc w:val="center"/>
              <w:outlineLvl w:val="0"/>
              <w:rPr>
                <w:sz w:val="24"/>
              </w:rPr>
            </w:pPr>
            <w:r>
              <w:rPr>
                <w:rFonts w:hint="eastAsia"/>
                <w:sz w:val="24"/>
              </w:rPr>
              <w:t>2</w:t>
            </w:r>
          </w:p>
        </w:tc>
        <w:tc>
          <w:tcPr>
            <w:tcW w:w="3852" w:type="dxa"/>
            <w:vAlign w:val="center"/>
          </w:tcPr>
          <w:p w14:paraId="2DED00FE">
            <w:pPr>
              <w:wordWrap w:val="0"/>
              <w:outlineLvl w:val="0"/>
              <w:rPr>
                <w:sz w:val="24"/>
              </w:rPr>
            </w:pPr>
            <w:r>
              <w:rPr>
                <w:rFonts w:hint="eastAsia"/>
                <w:sz w:val="24"/>
              </w:rPr>
              <w:t>（一）直接费用</w:t>
            </w:r>
          </w:p>
        </w:tc>
        <w:tc>
          <w:tcPr>
            <w:tcW w:w="3890" w:type="dxa"/>
            <w:vAlign w:val="center"/>
          </w:tcPr>
          <w:p w14:paraId="784BCEFC">
            <w:pPr>
              <w:wordWrap w:val="0"/>
              <w:jc w:val="center"/>
              <w:outlineLvl w:val="0"/>
              <w:rPr>
                <w:rFonts w:ascii="宋体" w:eastAsia="宋体" w:hAnsi="宋体" w:cs="宋体"/>
                <w:sz w:val="24"/>
              </w:rPr>
            </w:pPr>
            <w:r>
              <w:rPr>
                <w:rFonts w:ascii="宋体" w:eastAsia="宋体" w:hAnsi="宋体" w:cs="宋体"/>
                <w:sz w:val="24"/>
              </w:rPr>
              <w:t>5.70</w:t>
            </w:r>
          </w:p>
        </w:tc>
      </w:tr>
      <w:tr w14:paraId="17AC61B9">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2580A3A">
            <w:pPr>
              <w:wordWrap w:val="0"/>
              <w:jc w:val="center"/>
              <w:outlineLvl w:val="0"/>
              <w:rPr>
                <w:sz w:val="24"/>
              </w:rPr>
            </w:pPr>
            <w:r>
              <w:rPr>
                <w:rFonts w:hint="eastAsia"/>
                <w:sz w:val="24"/>
              </w:rPr>
              <w:t>3</w:t>
            </w:r>
          </w:p>
        </w:tc>
        <w:tc>
          <w:tcPr>
            <w:tcW w:w="3852" w:type="dxa"/>
            <w:vAlign w:val="center"/>
          </w:tcPr>
          <w:p w14:paraId="268D0CC4">
            <w:pPr>
              <w:wordWrap w:val="0"/>
              <w:outlineLvl w:val="0"/>
              <w:rPr>
                <w:sz w:val="24"/>
              </w:rPr>
            </w:pPr>
            <w:r>
              <w:rPr>
                <w:rFonts w:hint="eastAsia"/>
                <w:sz w:val="24"/>
              </w:rPr>
              <w:t>1.设备费</w:t>
            </w:r>
          </w:p>
        </w:tc>
        <w:tc>
          <w:tcPr>
            <w:tcW w:w="3890" w:type="dxa"/>
            <w:vAlign w:val="center"/>
          </w:tcPr>
          <w:p w14:paraId="0C2F8FCD">
            <w:pPr>
              <w:wordWrap w:val="0"/>
              <w:jc w:val="center"/>
              <w:outlineLvl w:val="0"/>
              <w:rPr>
                <w:rFonts w:ascii="宋体" w:eastAsia="宋体" w:hAnsi="宋体" w:cs="宋体"/>
                <w:sz w:val="24"/>
              </w:rPr>
            </w:pPr>
            <w:r>
              <w:rPr>
                <w:rFonts w:ascii="宋体" w:eastAsia="宋体" w:hAnsi="宋体" w:cs="宋体"/>
                <w:sz w:val="24"/>
              </w:rPr>
              <w:t>0.70</w:t>
            </w:r>
          </w:p>
        </w:tc>
      </w:tr>
      <w:tr w14:paraId="6360B8BC">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4B2DBD2A">
            <w:pPr>
              <w:wordWrap w:val="0"/>
              <w:jc w:val="center"/>
              <w:outlineLvl w:val="0"/>
              <w:rPr>
                <w:sz w:val="24"/>
              </w:rPr>
            </w:pPr>
            <w:r>
              <w:rPr>
                <w:rFonts w:hint="eastAsia"/>
                <w:sz w:val="24"/>
              </w:rPr>
              <w:t>4</w:t>
            </w:r>
          </w:p>
        </w:tc>
        <w:tc>
          <w:tcPr>
            <w:tcW w:w="3852" w:type="dxa"/>
            <w:vAlign w:val="center"/>
          </w:tcPr>
          <w:p w14:paraId="34BECE9F">
            <w:pPr>
              <w:wordWrap w:val="0"/>
              <w:outlineLvl w:val="0"/>
              <w:rPr>
                <w:sz w:val="24"/>
              </w:rPr>
            </w:pPr>
            <w:r>
              <w:rPr>
                <w:rFonts w:hint="eastAsia"/>
                <w:sz w:val="24"/>
              </w:rPr>
              <w:t>其中：购置设备费</w:t>
            </w:r>
          </w:p>
        </w:tc>
        <w:tc>
          <w:tcPr>
            <w:tcW w:w="3890" w:type="dxa"/>
            <w:vAlign w:val="center"/>
          </w:tcPr>
          <w:p w14:paraId="170985DA">
            <w:pPr>
              <w:wordWrap w:val="0"/>
              <w:jc w:val="center"/>
              <w:outlineLvl w:val="0"/>
              <w:rPr>
                <w:rFonts w:ascii="宋体" w:eastAsia="宋体" w:hAnsi="宋体" w:cs="宋体"/>
                <w:sz w:val="24"/>
              </w:rPr>
            </w:pPr>
            <w:r>
              <w:rPr>
                <w:rFonts w:ascii="宋体" w:eastAsia="宋体" w:hAnsi="宋体" w:cs="宋体"/>
                <w:sz w:val="24"/>
              </w:rPr>
              <w:t>0.00</w:t>
            </w:r>
          </w:p>
        </w:tc>
      </w:tr>
      <w:tr w14:paraId="3677B9C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09BFB83">
            <w:pPr>
              <w:wordWrap w:val="0"/>
              <w:jc w:val="center"/>
              <w:outlineLvl w:val="0"/>
              <w:rPr>
                <w:sz w:val="24"/>
              </w:rPr>
            </w:pPr>
            <w:r>
              <w:rPr>
                <w:rFonts w:hint="eastAsia"/>
                <w:sz w:val="24"/>
              </w:rPr>
              <w:t>5</w:t>
            </w:r>
          </w:p>
        </w:tc>
        <w:tc>
          <w:tcPr>
            <w:tcW w:w="3852" w:type="dxa"/>
            <w:vAlign w:val="center"/>
          </w:tcPr>
          <w:p w14:paraId="4B0C83B1">
            <w:pPr>
              <w:wordWrap w:val="0"/>
              <w:outlineLvl w:val="0"/>
              <w:rPr>
                <w:sz w:val="24"/>
              </w:rPr>
            </w:pPr>
            <w:r>
              <w:rPr>
                <w:rFonts w:hint="eastAsia"/>
                <w:sz w:val="24"/>
              </w:rPr>
              <w:t>2.业务费</w:t>
            </w:r>
          </w:p>
        </w:tc>
        <w:tc>
          <w:tcPr>
            <w:tcW w:w="3890" w:type="dxa"/>
            <w:vAlign w:val="center"/>
          </w:tcPr>
          <w:p w14:paraId="3A24F27F">
            <w:pPr>
              <w:wordWrap w:val="0"/>
              <w:jc w:val="center"/>
              <w:outlineLvl w:val="0"/>
              <w:rPr>
                <w:rFonts w:ascii="宋体" w:eastAsia="宋体" w:hAnsi="宋体" w:cs="宋体"/>
                <w:sz w:val="24"/>
              </w:rPr>
            </w:pPr>
            <w:r>
              <w:rPr>
                <w:rFonts w:ascii="宋体" w:eastAsia="宋体" w:hAnsi="宋体" w:cs="宋体"/>
                <w:sz w:val="24"/>
              </w:rPr>
              <w:t>5.00</w:t>
            </w:r>
          </w:p>
        </w:tc>
      </w:tr>
      <w:tr w14:paraId="6CC6FD3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A1E86EC">
            <w:pPr>
              <w:wordWrap w:val="0"/>
              <w:jc w:val="center"/>
              <w:outlineLvl w:val="0"/>
              <w:rPr>
                <w:sz w:val="24"/>
              </w:rPr>
            </w:pPr>
            <w:r>
              <w:rPr>
                <w:rFonts w:hint="eastAsia"/>
                <w:sz w:val="24"/>
              </w:rPr>
              <w:t>6</w:t>
            </w:r>
          </w:p>
        </w:tc>
        <w:tc>
          <w:tcPr>
            <w:tcW w:w="3852" w:type="dxa"/>
            <w:vAlign w:val="center"/>
          </w:tcPr>
          <w:p w14:paraId="702AC2BB">
            <w:pPr>
              <w:wordWrap w:val="0"/>
              <w:outlineLvl w:val="0"/>
              <w:rPr>
                <w:sz w:val="24"/>
              </w:rPr>
            </w:pPr>
            <w:r>
              <w:rPr>
                <w:rFonts w:hint="eastAsia"/>
                <w:sz w:val="24"/>
              </w:rPr>
              <w:t>3.劳务费</w:t>
            </w:r>
          </w:p>
        </w:tc>
        <w:tc>
          <w:tcPr>
            <w:tcW w:w="3890" w:type="dxa"/>
            <w:vAlign w:val="center"/>
          </w:tcPr>
          <w:p w14:paraId="337D6636">
            <w:pPr>
              <w:wordWrap w:val="0"/>
              <w:jc w:val="center"/>
              <w:outlineLvl w:val="0"/>
              <w:rPr>
                <w:rFonts w:ascii="宋体" w:eastAsia="宋体" w:hAnsi="宋体" w:cs="宋体"/>
                <w:sz w:val="24"/>
              </w:rPr>
            </w:pPr>
            <w:r>
              <w:rPr>
                <w:rFonts w:ascii="宋体" w:eastAsia="宋体" w:hAnsi="宋体" w:cs="宋体"/>
                <w:sz w:val="24"/>
              </w:rPr>
              <w:t>0.00</w:t>
            </w:r>
          </w:p>
        </w:tc>
      </w:tr>
      <w:tr w14:paraId="59D9B32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8ECC10F">
            <w:pPr>
              <w:wordWrap w:val="0"/>
              <w:jc w:val="center"/>
              <w:outlineLvl w:val="0"/>
              <w:rPr>
                <w:sz w:val="24"/>
              </w:rPr>
            </w:pPr>
            <w:r>
              <w:rPr>
                <w:rFonts w:hint="eastAsia"/>
                <w:sz w:val="24"/>
              </w:rPr>
              <w:t>7</w:t>
            </w:r>
          </w:p>
        </w:tc>
        <w:tc>
          <w:tcPr>
            <w:tcW w:w="3852" w:type="dxa"/>
            <w:vAlign w:val="center"/>
          </w:tcPr>
          <w:p w14:paraId="1DB71805">
            <w:pPr>
              <w:wordWrap w:val="0"/>
              <w:outlineLvl w:val="0"/>
              <w:rPr>
                <w:sz w:val="24"/>
              </w:rPr>
            </w:pPr>
            <w:r>
              <w:rPr>
                <w:rFonts w:hint="eastAsia"/>
                <w:sz w:val="24"/>
              </w:rPr>
              <w:t>（二）间接费用</w:t>
            </w:r>
          </w:p>
        </w:tc>
        <w:tc>
          <w:tcPr>
            <w:tcW w:w="3890" w:type="dxa"/>
            <w:vAlign w:val="center"/>
          </w:tcPr>
          <w:p w14:paraId="14213ACE">
            <w:pPr>
              <w:wordWrap w:val="0"/>
              <w:jc w:val="center"/>
              <w:outlineLvl w:val="0"/>
              <w:rPr>
                <w:rFonts w:ascii="宋体" w:eastAsia="宋体" w:hAnsi="宋体" w:cs="宋体"/>
                <w:sz w:val="24"/>
              </w:rPr>
            </w:pPr>
            <w:r>
              <w:rPr>
                <w:rFonts w:ascii="宋体" w:eastAsia="宋体" w:hAnsi="宋体" w:cs="宋体"/>
                <w:sz w:val="24"/>
              </w:rPr>
              <w:t>0.30</w:t>
            </w:r>
          </w:p>
        </w:tc>
      </w:tr>
      <w:tr w14:paraId="5E863712">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0FBA8922">
            <w:pPr>
              <w:wordWrap w:val="0"/>
              <w:jc w:val="center"/>
              <w:outlineLvl w:val="0"/>
              <w:rPr>
                <w:sz w:val="24"/>
              </w:rPr>
            </w:pPr>
            <w:r>
              <w:rPr>
                <w:rFonts w:hint="eastAsia"/>
                <w:sz w:val="24"/>
              </w:rPr>
              <w:t>8</w:t>
            </w:r>
          </w:p>
        </w:tc>
        <w:tc>
          <w:tcPr>
            <w:tcW w:w="3852" w:type="dxa"/>
            <w:vAlign w:val="center"/>
          </w:tcPr>
          <w:p w14:paraId="022B860B">
            <w:pPr>
              <w:wordWrap w:val="0"/>
              <w:outlineLvl w:val="0"/>
              <w:rPr>
                <w:sz w:val="24"/>
              </w:rPr>
            </w:pPr>
            <w:r>
              <w:rPr>
                <w:rFonts w:hint="eastAsia"/>
                <w:color w:val="000000"/>
                <w:sz w:val="24"/>
              </w:rPr>
              <w:t>其中：绩效支出</w:t>
            </w:r>
          </w:p>
        </w:tc>
        <w:tc>
          <w:tcPr>
            <w:tcW w:w="3890" w:type="dxa"/>
            <w:vAlign w:val="center"/>
          </w:tcPr>
          <w:p w14:paraId="5AC1F94F">
            <w:pPr>
              <w:wordWrap w:val="0"/>
              <w:jc w:val="center"/>
              <w:outlineLvl w:val="0"/>
              <w:rPr>
                <w:rFonts w:ascii="宋体" w:eastAsia="宋体" w:hAnsi="宋体" w:cs="宋体"/>
                <w:sz w:val="24"/>
              </w:rPr>
            </w:pPr>
            <w:r>
              <w:rPr>
                <w:rFonts w:ascii="宋体" w:eastAsia="宋体" w:hAnsi="宋体" w:cs="宋体"/>
                <w:sz w:val="24"/>
              </w:rPr>
              <w:t>0.00</w:t>
            </w:r>
          </w:p>
        </w:tc>
      </w:tr>
      <w:tr w14:paraId="2EBC84F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5DFBA98B">
            <w:pPr>
              <w:wordWrap w:val="0"/>
              <w:jc w:val="center"/>
              <w:outlineLvl w:val="0"/>
              <w:rPr>
                <w:sz w:val="24"/>
              </w:rPr>
            </w:pPr>
            <w:r>
              <w:rPr>
                <w:rFonts w:hint="eastAsia"/>
                <w:sz w:val="24"/>
              </w:rPr>
              <w:t>9</w:t>
            </w:r>
          </w:p>
        </w:tc>
        <w:tc>
          <w:tcPr>
            <w:tcW w:w="3852" w:type="dxa"/>
            <w:vAlign w:val="center"/>
          </w:tcPr>
          <w:p w14:paraId="1AA42AF1">
            <w:pPr>
              <w:wordWrap w:val="0"/>
              <w:outlineLvl w:val="0"/>
              <w:rPr>
                <w:color w:val="000000"/>
                <w:sz w:val="24"/>
              </w:rPr>
            </w:pPr>
            <w:r>
              <w:rPr>
                <w:rFonts w:hint="eastAsia"/>
                <w:b/>
                <w:bCs/>
                <w:sz w:val="24"/>
              </w:rPr>
              <w:t>二、自筹资金</w:t>
            </w:r>
          </w:p>
        </w:tc>
        <w:tc>
          <w:tcPr>
            <w:tcW w:w="3890" w:type="dxa"/>
            <w:vAlign w:val="center"/>
          </w:tcPr>
          <w:p w14:paraId="2710132E">
            <w:pPr>
              <w:wordWrap w:val="0"/>
              <w:jc w:val="center"/>
              <w:outlineLvl w:val="0"/>
              <w:rPr>
                <w:rFonts w:ascii="宋体" w:eastAsia="宋体" w:hAnsi="宋体" w:cs="宋体"/>
                <w:sz w:val="24"/>
              </w:rPr>
            </w:pPr>
            <w:r>
              <w:rPr>
                <w:rFonts w:ascii="宋体" w:eastAsia="宋体" w:hAnsi="宋体" w:cs="宋体"/>
                <w:sz w:val="24"/>
              </w:rPr>
              <w:t>0.00</w:t>
            </w:r>
          </w:p>
        </w:tc>
      </w:tr>
      <w:tr w14:paraId="1BC53C4D">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1457C28">
            <w:pPr>
              <w:wordWrap w:val="0"/>
              <w:jc w:val="center"/>
              <w:outlineLvl w:val="0"/>
              <w:rPr>
                <w:sz w:val="24"/>
              </w:rPr>
            </w:pPr>
            <w:r>
              <w:rPr>
                <w:rFonts w:hint="eastAsia"/>
                <w:sz w:val="24"/>
              </w:rPr>
              <w:t>1</w:t>
            </w:r>
            <w:r>
              <w:rPr>
                <w:sz w:val="24"/>
              </w:rPr>
              <w:t>0</w:t>
            </w:r>
          </w:p>
        </w:tc>
        <w:tc>
          <w:tcPr>
            <w:tcW w:w="3852" w:type="dxa"/>
            <w:vAlign w:val="center"/>
          </w:tcPr>
          <w:p w14:paraId="31B8B325">
            <w:pPr>
              <w:wordWrap w:val="0"/>
              <w:outlineLvl w:val="0"/>
              <w:rPr>
                <w:b/>
                <w:bCs/>
                <w:sz w:val="24"/>
              </w:rPr>
            </w:pPr>
            <w:r>
              <w:rPr>
                <w:rFonts w:hint="eastAsia"/>
                <w:b/>
                <w:bCs/>
                <w:sz w:val="24"/>
              </w:rPr>
              <w:t>三、配套资金</w:t>
            </w:r>
          </w:p>
        </w:tc>
        <w:tc>
          <w:tcPr>
            <w:tcW w:w="3890" w:type="dxa"/>
            <w:vAlign w:val="center"/>
          </w:tcPr>
          <w:p w14:paraId="15BD5727">
            <w:pPr>
              <w:wordWrap w:val="0"/>
              <w:jc w:val="center"/>
              <w:outlineLvl w:val="0"/>
              <w:rPr>
                <w:rFonts w:ascii="宋体" w:eastAsia="宋体" w:hAnsi="宋体" w:cs="宋体"/>
                <w:sz w:val="24"/>
              </w:rPr>
            </w:pPr>
            <w:r>
              <w:rPr>
                <w:rFonts w:ascii="宋体" w:eastAsia="宋体" w:hAnsi="宋体" w:cs="宋体"/>
                <w:sz w:val="24"/>
              </w:rPr>
              <w:t>0.00</w:t>
            </w:r>
          </w:p>
        </w:tc>
      </w:tr>
      <w:tr w14:paraId="398E1FC9">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78A7143C">
            <w:pPr>
              <w:wordWrap w:val="0"/>
              <w:jc w:val="center"/>
              <w:outlineLvl w:val="0"/>
              <w:rPr>
                <w:sz w:val="24"/>
              </w:rPr>
            </w:pPr>
            <w:r>
              <w:rPr>
                <w:rFonts w:hint="eastAsia"/>
                <w:sz w:val="24"/>
              </w:rPr>
              <w:t>1</w:t>
            </w:r>
            <w:r>
              <w:rPr>
                <w:sz w:val="24"/>
              </w:rPr>
              <w:t>1</w:t>
            </w:r>
          </w:p>
        </w:tc>
        <w:tc>
          <w:tcPr>
            <w:tcW w:w="3852" w:type="dxa"/>
            <w:vAlign w:val="center"/>
          </w:tcPr>
          <w:p w14:paraId="3CC03FD4">
            <w:pPr>
              <w:wordWrap w:val="0"/>
              <w:jc w:val="center"/>
              <w:outlineLvl w:val="0"/>
              <w:rPr>
                <w:b/>
                <w:bCs/>
                <w:sz w:val="24"/>
              </w:rPr>
            </w:pPr>
            <w:r>
              <w:rPr>
                <w:rFonts w:hint="eastAsia"/>
                <w:b/>
                <w:bCs/>
                <w:sz w:val="24"/>
              </w:rPr>
              <w:t>合 计</w:t>
            </w:r>
          </w:p>
        </w:tc>
        <w:tc>
          <w:tcPr>
            <w:tcW w:w="3890" w:type="dxa"/>
            <w:vAlign w:val="center"/>
          </w:tcPr>
          <w:p w14:paraId="365D6F93">
            <w:pPr>
              <w:wordWrap w:val="0"/>
              <w:jc w:val="center"/>
              <w:outlineLvl w:val="0"/>
              <w:rPr>
                <w:rFonts w:ascii="宋体" w:eastAsia="宋体" w:hAnsi="宋体" w:cs="宋体"/>
                <w:sz w:val="24"/>
              </w:rPr>
            </w:pPr>
            <w:r>
              <w:rPr>
                <w:rFonts w:ascii="宋体" w:eastAsia="宋体" w:hAnsi="宋体" w:cs="宋体"/>
                <w:sz w:val="24"/>
              </w:rPr>
              <w:t>6.00</w:t>
            </w:r>
          </w:p>
        </w:tc>
      </w:tr>
    </w:tbl>
    <w:p w14:paraId="1C664381">
      <w:pPr>
        <w:wordWrap w:val="0"/>
        <w:spacing w:line="360" w:lineRule="auto"/>
        <w:ind w:right="567"/>
        <w:outlineLvl w:val="0"/>
        <w:rPr>
          <w:sz w:val="24"/>
        </w:rPr>
      </w:pPr>
    </w:p>
    <w:p w14:paraId="1A386B68">
      <w:pPr>
        <w:wordWrap w:val="0"/>
        <w:rPr>
          <w:sz w:val="21"/>
        </w:rPr>
      </w:pPr>
      <w:r>
        <w:rPr>
          <w:rFonts w:hint="eastAsia"/>
          <w:sz w:val="21"/>
        </w:rPr>
        <w:t>注：1.间接费用无需编制预算说明；2.绩效支出在间接费用中无比例限制。</w:t>
      </w:r>
    </w:p>
    <w:p w14:paraId="017D2976">
      <w:pPr>
        <w:tabs>
          <w:tab w:val="left" w:pos="1665"/>
        </w:tabs>
        <w:wordWrap w:val="0"/>
        <w:jc w:val="center"/>
        <w:rPr>
          <w:rFonts w:cs="Tahoma"/>
          <w:sz w:val="21"/>
          <w:szCs w:val="21"/>
        </w:rPr>
      </w:pPr>
      <w:r>
        <w:rPr>
          <w:sz w:val="10"/>
          <w:szCs w:val="10"/>
        </w:rPr>
        <w:br w:type="page"/>
      </w:r>
    </w:p>
    <w:tbl>
      <w:tblPr>
        <w:tblStyle w:val="TableNormal"/>
        <w:tblW w:w="10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468"/>
      </w:tblGrid>
      <w:tr w14:paraId="1F7680F3">
        <w:tblPrEx>
          <w:tblW w:w="10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10468" w:type="dxa"/>
            <w:tcBorders>
              <w:top w:val="single" w:sz="4" w:space="0" w:color="auto"/>
              <w:left w:val="single" w:sz="4" w:space="0" w:color="auto"/>
              <w:bottom w:val="single" w:sz="4" w:space="0" w:color="auto"/>
              <w:right w:val="single" w:sz="4" w:space="0" w:color="auto"/>
            </w:tcBorders>
          </w:tcPr>
          <w:p w14:paraId="39AC3B94">
            <w:pPr>
              <w:wordWrap w:val="0"/>
              <w:spacing w:line="440" w:lineRule="exact"/>
              <w:rPr>
                <w:b/>
                <w:szCs w:val="28"/>
              </w:rPr>
            </w:pPr>
            <w:r>
              <w:rPr>
                <w:rFonts w:hint="eastAsia"/>
                <w:b/>
                <w:szCs w:val="28"/>
              </w:rPr>
              <w:t>项目预算基本测算说明（不包含单价</w:t>
            </w:r>
            <w:r>
              <w:rPr>
                <w:b/>
                <w:szCs w:val="28"/>
              </w:rPr>
              <w:t>50</w:t>
            </w:r>
            <w:r>
              <w:rPr>
                <w:rFonts w:hint="eastAsia"/>
                <w:b/>
                <w:szCs w:val="28"/>
              </w:rPr>
              <w:t>万以上的设备详细说明）</w:t>
            </w:r>
          </w:p>
        </w:tc>
      </w:tr>
      <w:tr w14:paraId="77B9FCB2">
        <w:tblPrEx>
          <w:tblW w:w="10468" w:type="dxa"/>
          <w:jc w:val="center"/>
          <w:tblLayout w:type="fixed"/>
          <w:tblCellMar>
            <w:top w:w="0" w:type="dxa"/>
            <w:left w:w="108" w:type="dxa"/>
            <w:bottom w:w="0" w:type="dxa"/>
            <w:right w:w="108" w:type="dxa"/>
          </w:tblCellMar>
        </w:tblPrEx>
        <w:trPr>
          <w:jc w:val="center"/>
        </w:trPr>
        <w:tc>
          <w:tcPr>
            <w:tcW w:w="10468" w:type="dxa"/>
            <w:tcBorders>
              <w:top w:val="single" w:sz="4" w:space="0" w:color="auto"/>
              <w:left w:val="single" w:sz="4" w:space="0" w:color="auto"/>
              <w:bottom w:val="single" w:sz="4" w:space="0" w:color="auto"/>
              <w:right w:val="single" w:sz="4" w:space="0" w:color="auto"/>
            </w:tcBorders>
          </w:tcPr>
          <w:p w14:paraId="203DA39A">
            <w:pPr>
              <w:widowControl/>
              <w:spacing w:before="0" w:after="0"/>
              <w:jc w:val="left"/>
              <w:rPr>
                <w:rFonts w:ascii="宋体" w:hAnsi="宋体" w:cs="宋体"/>
                <w:kern w:val="0"/>
                <w:sz w:val="24"/>
              </w:rPr>
            </w:pPr>
            <w:bookmarkStart w:id="176" w:name="qtzc"/>
            <w:r>
              <w:rPr>
                <w:rFonts w:ascii="宋体" w:hAnsi="宋体" w:cs="宋体"/>
                <w:b/>
                <w:bCs/>
                <w:color w:val="000000"/>
                <w:kern w:val="0"/>
                <w:sz w:val="20"/>
                <w:szCs w:val="20"/>
              </w:rPr>
              <w:t>项目拟申请直接研究经费总计5.70</w:t>
            </w:r>
            <w:r>
              <w:rPr>
                <w:rFonts w:ascii="宋体" w:hAnsi="宋体" w:cs="宋体"/>
                <w:b/>
                <w:bCs/>
                <w:kern w:val="0"/>
                <w:sz w:val="20"/>
                <w:szCs w:val="20"/>
              </w:rPr>
              <w:t>万元。</w:t>
            </w:r>
            <w:r>
              <w:rPr>
                <w:rFonts w:ascii="宋体" w:hAnsi="宋体" w:cs="宋体"/>
                <w:b/>
                <w:bCs/>
                <w:kern w:val="0"/>
                <w:sz w:val="20"/>
                <w:szCs w:val="20"/>
              </w:rPr>
              <w:t>主要用途如下： </w:t>
            </w:r>
          </w:p>
          <w:p>
            <w:pPr>
              <w:widowControl/>
              <w:spacing w:before="0" w:after="0"/>
              <w:jc w:val="left"/>
              <w:rPr>
                <w:rFonts w:ascii="宋体" w:hAnsi="宋体" w:cs="宋体"/>
                <w:kern w:val="0"/>
                <w:sz w:val="24"/>
              </w:rPr>
            </w:pPr>
            <w:r>
              <w:rPr>
                <w:rFonts w:ascii="宋体" w:hAnsi="宋体" w:cs="宋体"/>
                <w:b/>
                <w:bCs/>
                <w:kern w:val="0"/>
                <w:sz w:val="20"/>
                <w:szCs w:val="20"/>
              </w:rPr>
              <w:t>一、设备费0.70万元</w:t>
            </w:r>
            <w:r>
              <w:rPr>
                <w:rFonts w:ascii="宋体" w:hAnsi="宋体" w:cs="宋体"/>
                <w:kern w:val="0"/>
                <w:sz w:val="20"/>
                <w:szCs w:val="20"/>
              </w:rPr>
              <w:t>。 </w:t>
            </w:r>
          </w:p>
          <w:p>
            <w:pPr>
              <w:widowControl/>
              <w:spacing w:before="0" w:after="0"/>
              <w:jc w:val="left"/>
              <w:rPr>
                <w:rFonts w:ascii="宋体" w:hAnsi="宋体" w:cs="宋体"/>
                <w:kern w:val="0"/>
                <w:sz w:val="24"/>
              </w:rPr>
            </w:pPr>
            <w:r>
              <w:rPr>
                <w:rFonts w:ascii="宋体" w:hAnsi="宋体" w:cs="宋体"/>
                <w:kern w:val="0"/>
                <w:sz w:val="20"/>
                <w:szCs w:val="20"/>
              </w:rPr>
              <w:t>主要用于本项目研究所需要的小型装置设备，包括： </w:t>
            </w:r>
          </w:p>
          <w:p>
            <w:pPr>
              <w:widowControl/>
              <w:spacing w:before="0" w:after="0"/>
              <w:jc w:val="left"/>
              <w:rPr>
                <w:rFonts w:ascii="宋体" w:hAnsi="宋体" w:cs="宋体"/>
                <w:kern w:val="0"/>
                <w:sz w:val="24"/>
              </w:rPr>
            </w:pPr>
            <w:r>
              <w:rPr>
                <w:rFonts w:ascii="宋体" w:hAnsi="宋体" w:cs="宋体"/>
                <w:kern w:val="0"/>
                <w:sz w:val="20"/>
                <w:szCs w:val="20"/>
              </w:rPr>
              <w:t>（1）设备购置费（0.00万元） </w:t>
            </w:r>
          </w:p>
          <w:p>
            <w:pPr>
              <w:widowControl/>
              <w:spacing w:before="0" w:after="0"/>
              <w:jc w:val="left"/>
              <w:rPr>
                <w:rFonts w:ascii="宋体" w:hAnsi="宋体" w:cs="宋体"/>
                <w:kern w:val="0"/>
                <w:sz w:val="24"/>
              </w:rPr>
            </w:pPr>
            <w:r>
              <w:rPr>
                <w:rFonts w:ascii="宋体" w:hAnsi="宋体" w:cs="宋体"/>
                <w:kern w:val="0"/>
                <w:sz w:val="20"/>
                <w:szCs w:val="20"/>
              </w:rPr>
              <w:t>（2）设备试制费（0.70万元）用于</w:t>
            </w:r>
            <w:r>
              <w:rPr>
                <w:rFonts w:ascii="宋体" w:hAnsi="宋体" w:cs="宋体"/>
                <w:kern w:val="0"/>
                <w:sz w:val="20"/>
                <w:szCs w:val="20"/>
              </w:rPr>
              <w:t>试制电催化膜反应装置（3500元/套×2套，0.70万元）</w:t>
            </w:r>
          </w:p>
          <w:p>
            <w:pPr>
              <w:widowControl/>
              <w:spacing w:before="0" w:after="0"/>
              <w:jc w:val="left"/>
              <w:rPr>
                <w:rFonts w:ascii="宋体" w:hAnsi="宋体" w:cs="宋体"/>
                <w:kern w:val="0"/>
                <w:sz w:val="24"/>
              </w:rPr>
            </w:pPr>
            <w:r>
              <w:rPr>
                <w:rFonts w:ascii="宋体" w:hAnsi="宋体" w:cs="宋体"/>
                <w:b/>
                <w:bCs/>
                <w:kern w:val="0"/>
                <w:sz w:val="20"/>
                <w:szCs w:val="20"/>
              </w:rPr>
              <w:t>二、业务费5.00万元 </w:t>
            </w:r>
          </w:p>
          <w:p>
            <w:pPr>
              <w:widowControl/>
              <w:spacing w:before="0" w:after="0"/>
              <w:jc w:val="left"/>
              <w:rPr>
                <w:rFonts w:ascii="宋体" w:hAnsi="宋体" w:cs="宋体"/>
                <w:kern w:val="0"/>
                <w:sz w:val="24"/>
              </w:rPr>
            </w:pPr>
            <w:r>
              <w:rPr>
                <w:rFonts w:ascii="宋体" w:hAnsi="宋体" w:cs="宋体"/>
                <w:kern w:val="0"/>
                <w:sz w:val="20"/>
                <w:szCs w:val="20"/>
              </w:rPr>
              <w:t>主要包括材料费、测试化验加工费、差旅会议费及出版/信息传播/知识产权等费用。 </w:t>
            </w:r>
          </w:p>
          <w:p>
            <w:pPr>
              <w:widowControl/>
              <w:spacing w:before="0" w:after="0"/>
              <w:jc w:val="left"/>
              <w:rPr>
                <w:rFonts w:ascii="宋体" w:hAnsi="宋体" w:cs="宋体"/>
                <w:kern w:val="0"/>
                <w:sz w:val="24"/>
              </w:rPr>
            </w:pPr>
            <w:r>
              <w:rPr>
                <w:rFonts w:ascii="宋体" w:hAnsi="宋体" w:cs="宋体"/>
                <w:kern w:val="0"/>
                <w:sz w:val="20"/>
                <w:szCs w:val="20"/>
              </w:rPr>
              <w:t>（1）材料费（2.00万元） 用于</w:t>
            </w:r>
            <w:r>
              <w:rPr>
                <w:rFonts w:ascii="宋体" w:hAnsi="宋体" w:cs="宋体"/>
                <w:kern w:val="0"/>
                <w:sz w:val="20"/>
                <w:szCs w:val="20"/>
              </w:rPr>
              <w:t xml:space="preserve">购买所需常规药品、化学试剂或标样（1.80万元），及玻璃器皿、移液枪头、色谱瓶、离心管、电化学 </w:t>
            </w:r>
            <w:r>
              <w:rPr>
                <w:rFonts w:ascii="宋体" w:hAnsi="宋体" w:cs="宋体"/>
                <w:kern w:val="0"/>
                <w:sz w:val="20"/>
                <w:szCs w:val="20"/>
              </w:rPr>
              <w:t>电极、电解池、色谱柱、电镜用铜网、口罩、手套、防护服等实验易耗品和防护用品（0.20万元）。</w:t>
            </w:r>
            <w:r>
              <w:rPr>
                <w:rFonts w:ascii="宋体" w:hAnsi="宋体" w:cs="宋体"/>
                <w:kern w:val="0"/>
                <w:sz w:val="20"/>
                <w:szCs w:val="20"/>
              </w:rPr>
              <w:t> </w:t>
            </w:r>
          </w:p>
          <w:p>
            <w:pPr>
              <w:widowControl/>
              <w:spacing w:before="0" w:after="0"/>
              <w:jc w:val="left"/>
              <w:rPr>
                <w:rFonts w:ascii="宋体" w:hAnsi="宋体" w:cs="宋体"/>
                <w:kern w:val="0"/>
                <w:sz w:val="24"/>
              </w:rPr>
            </w:pPr>
            <w:r>
              <w:rPr>
                <w:rFonts w:ascii="宋体" w:hAnsi="宋体" w:cs="宋体"/>
                <w:kern w:val="0"/>
                <w:sz w:val="20"/>
                <w:szCs w:val="20"/>
              </w:rPr>
              <w:t>（2）测试化验加工费（1.50万元）</w:t>
            </w:r>
            <w:r>
              <w:rPr>
                <w:rFonts w:ascii="宋体" w:hAnsi="宋体" w:cs="宋体"/>
                <w:kern w:val="0"/>
                <w:sz w:val="20"/>
                <w:szCs w:val="20"/>
              </w:rPr>
              <w:t xml:space="preserve">用于电催化膜材料表征测试，包括扫描电子显微镜、透射电子显微镜、X 射线光电子能谱分析、X 射线衍射、 </w:t>
            </w:r>
            <w:r>
              <w:rPr>
                <w:rFonts w:ascii="宋体" w:hAnsi="宋体" w:cs="宋体"/>
                <w:kern w:val="0"/>
                <w:sz w:val="20"/>
                <w:szCs w:val="20"/>
              </w:rPr>
              <w:t xml:space="preserve">氮气吸附等；用于水中重金属和有机组分测试分析，包括气相色谱-质谱联用联用分析、液相色谱、电感耦 </w:t>
            </w:r>
            <w:r>
              <w:rPr>
                <w:rFonts w:ascii="宋体" w:hAnsi="宋体" w:cs="宋体"/>
                <w:kern w:val="0"/>
                <w:sz w:val="20"/>
                <w:szCs w:val="20"/>
              </w:rPr>
              <w:t>合等离子体发射光谱仪、离子色谱等。</w:t>
            </w:r>
          </w:p>
          <w:p>
            <w:pPr>
              <w:widowControl/>
              <w:spacing w:before="0" w:after="0"/>
              <w:jc w:val="left"/>
              <w:rPr>
                <w:rFonts w:ascii="宋体" w:hAnsi="宋体" w:cs="宋体"/>
                <w:kern w:val="0"/>
                <w:sz w:val="24"/>
              </w:rPr>
            </w:pPr>
            <w:r>
              <w:rPr>
                <w:rFonts w:ascii="宋体" w:hAnsi="宋体" w:cs="宋体"/>
                <w:kern w:val="0"/>
                <w:sz w:val="20"/>
                <w:szCs w:val="20"/>
              </w:rPr>
              <w:t>（3）差旅/会议/国际合作与交流费</w:t>
            </w:r>
            <w:r>
              <w:rPr>
                <w:rFonts w:ascii="宋体" w:hAnsi="宋体" w:cs="宋体"/>
                <w:kern w:val="0"/>
                <w:sz w:val="20"/>
                <w:szCs w:val="20"/>
              </w:rPr>
              <w:t>（0.50万元）</w:t>
            </w:r>
            <w:r>
              <w:rPr>
                <w:rFonts w:ascii="宋体" w:hAnsi="宋体" w:cs="宋体"/>
                <w:kern w:val="0"/>
                <w:sz w:val="20"/>
                <w:szCs w:val="20"/>
              </w:rPr>
              <w:t>用于参加国内学术会议所需差旅费、注册费及住宿费。</w:t>
            </w:r>
          </w:p>
          <w:p>
            <w:pPr>
              <w:widowControl/>
              <w:spacing w:before="0" w:after="0"/>
              <w:jc w:val="left"/>
              <w:rPr>
                <w:rFonts w:ascii="宋体" w:hAnsi="宋体" w:cs="宋体"/>
                <w:kern w:val="0"/>
                <w:sz w:val="24"/>
              </w:rPr>
            </w:pPr>
            <w:r>
              <w:rPr>
                <w:rFonts w:ascii="宋体" w:hAnsi="宋体" w:cs="宋体"/>
                <w:kern w:val="0"/>
                <w:sz w:val="20"/>
                <w:szCs w:val="20"/>
              </w:rPr>
              <w:t>（4）</w:t>
            </w:r>
            <w:r>
              <w:rPr>
                <w:rFonts w:ascii="宋体" w:hAnsi="宋体" w:cs="宋体"/>
                <w:kern w:val="0"/>
                <w:sz w:val="20"/>
                <w:szCs w:val="20"/>
              </w:rPr>
              <w:t>出版/文献/信息传播/知识产权事务费 （1.00万元）</w:t>
            </w:r>
            <w:r>
              <w:rPr>
                <w:rFonts w:ascii="宋体" w:hAnsi="宋体" w:cs="宋体"/>
                <w:kern w:val="0"/>
                <w:sz w:val="20"/>
                <w:szCs w:val="20"/>
              </w:rPr>
              <w:t>用于文章版面费、专利申请费。</w:t>
            </w:r>
          </w:p>
          <w:p>
            <w:pPr>
              <w:widowControl/>
              <w:spacing w:before="0" w:after="0"/>
              <w:jc w:val="left"/>
              <w:rPr>
                <w:rFonts w:ascii="宋体" w:hAnsi="宋体" w:cs="宋体"/>
                <w:kern w:val="0"/>
                <w:sz w:val="24"/>
              </w:rPr>
            </w:pPr>
            <w:r>
              <w:rPr>
                <w:rFonts w:ascii="宋体" w:hAnsi="宋体" w:cs="宋体"/>
                <w:b/>
                <w:bCs/>
                <w:kern w:val="0"/>
                <w:sz w:val="20"/>
                <w:szCs w:val="20"/>
              </w:rPr>
              <w:t>三、劳务费0.00万元 </w:t>
            </w:r>
          </w:p>
          <w:p>
            <w:pPr>
              <w:widowControl/>
              <w:spacing w:before="0" w:after="0"/>
              <w:jc w:val="left"/>
              <w:rPr>
                <w:rFonts w:ascii="宋体" w:hAnsi="宋体" w:cs="宋体"/>
                <w:kern w:val="0"/>
                <w:sz w:val="24"/>
              </w:rPr>
            </w:pPr>
            <w:r>
              <w:rPr>
                <w:rFonts w:ascii="宋体" w:hAnsi="宋体" w:cs="宋体"/>
                <w:b/>
                <w:bCs/>
                <w:kern w:val="0"/>
                <w:sz w:val="20"/>
                <w:szCs w:val="20"/>
              </w:rPr>
              <w:t>项目拟申请间接经费总计0.30万元。 </w:t>
            </w:r>
          </w:p>
          <w:p>
            <w:pPr>
              <w:widowControl/>
              <w:spacing w:before="0" w:after="0"/>
              <w:jc w:val="left"/>
              <w:rPr>
                <w:rFonts w:ascii="宋体" w:hAnsi="宋体" w:cs="宋体"/>
                <w:kern w:val="0"/>
                <w:sz w:val="24"/>
              </w:rPr>
            </w:pPr>
            <w:r>
              <w:rPr>
                <w:rFonts w:ascii="宋体" w:hAnsi="宋体" w:cs="宋体"/>
                <w:kern w:val="0"/>
                <w:sz w:val="20"/>
                <w:szCs w:val="20"/>
              </w:rPr>
              <w:t>主要用于项目管理费。</w:t>
            </w:r>
          </w:p>
          <w:p>
            <w:pPr>
              <w:wordWrap w:val="0"/>
              <w:spacing w:line="440" w:lineRule="exact"/>
              <w:ind w:firstLine="480" w:firstLineChars="200"/>
              <w:rPr>
                <w:sz w:val="24"/>
                <w:highlight w:val="yellow"/>
              </w:rPr>
            </w:pPr>
            <w:bookmarkEnd w:id="176"/>
          </w:p>
        </w:tc>
      </w:tr>
      <w:tr w14:paraId="2DF38843">
        <w:tblPrEx>
          <w:tblW w:w="10468" w:type="dxa"/>
          <w:jc w:val="center"/>
          <w:tblLayout w:type="fixed"/>
          <w:tblCellMar>
            <w:top w:w="0" w:type="dxa"/>
            <w:left w:w="108" w:type="dxa"/>
            <w:bottom w:w="0" w:type="dxa"/>
            <w:right w:w="108" w:type="dxa"/>
          </w:tblCellMar>
        </w:tblPrEx>
        <w:trPr>
          <w:trHeight w:val="469"/>
          <w:jc w:val="center"/>
        </w:trPr>
        <w:tc>
          <w:tcPr>
            <w:tcW w:w="10468" w:type="dxa"/>
            <w:tcBorders>
              <w:top w:val="single" w:sz="4" w:space="0" w:color="auto"/>
              <w:left w:val="single" w:sz="4" w:space="0" w:color="auto"/>
              <w:bottom w:val="single" w:sz="4" w:space="0" w:color="auto"/>
              <w:right w:val="single" w:sz="4" w:space="0" w:color="auto"/>
            </w:tcBorders>
          </w:tcPr>
          <w:p w14:paraId="352029E2">
            <w:pPr>
              <w:wordWrap w:val="0"/>
              <w:spacing w:line="440" w:lineRule="exact"/>
              <w:rPr>
                <w:b/>
                <w:szCs w:val="28"/>
              </w:rPr>
            </w:pPr>
            <w:r>
              <w:rPr>
                <w:rFonts w:hint="eastAsia"/>
                <w:b/>
                <w:szCs w:val="28"/>
              </w:rPr>
              <w:t>单价</w:t>
            </w:r>
            <w:r>
              <w:rPr>
                <w:b/>
                <w:szCs w:val="28"/>
              </w:rPr>
              <w:t>50</w:t>
            </w:r>
            <w:r>
              <w:rPr>
                <w:rFonts w:hint="eastAsia"/>
                <w:b/>
                <w:szCs w:val="28"/>
              </w:rPr>
              <w:t>万元以上的设备详细说明（无相关情况，本栏填“无”）</w:t>
            </w:r>
          </w:p>
        </w:tc>
      </w:tr>
      <w:tr w14:paraId="2DDD8946">
        <w:tblPrEx>
          <w:tblW w:w="10468" w:type="dxa"/>
          <w:jc w:val="center"/>
          <w:tblLayout w:type="fixed"/>
          <w:tblCellMar>
            <w:top w:w="0" w:type="dxa"/>
            <w:left w:w="108" w:type="dxa"/>
            <w:bottom w:w="0" w:type="dxa"/>
            <w:right w:w="108" w:type="dxa"/>
          </w:tblCellMar>
        </w:tblPrEx>
        <w:trPr>
          <w:jc w:val="center"/>
        </w:trPr>
        <w:tc>
          <w:tcPr>
            <w:tcW w:w="10468" w:type="dxa"/>
            <w:tcBorders>
              <w:top w:val="single" w:sz="4" w:space="0" w:color="auto"/>
              <w:left w:val="single" w:sz="4" w:space="0" w:color="auto"/>
              <w:bottom w:val="single" w:sz="4" w:space="0" w:color="auto"/>
              <w:right w:val="single" w:sz="4" w:space="0" w:color="auto"/>
            </w:tcBorders>
          </w:tcPr>
          <w:p w14:paraId="72BF3EEA">
            <w:pPr>
              <w:widowControl/>
              <w:spacing w:before="0" w:after="0"/>
              <w:jc w:val="left"/>
              <w:rPr>
                <w:rFonts w:ascii="宋体" w:hAnsi="宋体" w:cs="宋体"/>
                <w:kern w:val="0"/>
                <w:sz w:val="24"/>
              </w:rPr>
            </w:pPr>
            <w:bookmarkStart w:id="177" w:name="sbxxsm"/>
            <w:r>
              <w:rPr>
                <w:rFonts w:ascii="宋体" w:hAnsi="宋体" w:cs="宋体"/>
                <w:kern w:val="0"/>
                <w:sz w:val="24"/>
              </w:rPr>
              <w:t>无</w:t>
            </w:r>
          </w:p>
          <w:p>
            <w:pPr>
              <w:wordWrap w:val="0"/>
              <w:spacing w:line="440" w:lineRule="exact"/>
              <w:ind w:firstLine="480" w:firstLineChars="200"/>
              <w:rPr>
                <w:sz w:val="24"/>
              </w:rPr>
            </w:pPr>
            <w:bookmarkEnd w:id="177"/>
          </w:p>
        </w:tc>
      </w:tr>
    </w:tbl>
    <w:p w14:paraId="26E81C6C">
      <w:pPr>
        <w:tabs>
          <w:tab w:val="left" w:pos="1665"/>
        </w:tabs>
        <w:wordWrap w:val="0"/>
        <w:spacing w:line="100" w:lineRule="exact"/>
        <w:jc w:val="center"/>
        <w:rPr>
          <w:rFonts w:cs="Tahoma"/>
          <w:sz w:val="21"/>
          <w:szCs w:val="21"/>
        </w:rPr>
      </w:pPr>
    </w:p>
    <w:p w14:paraId="3197147B">
      <w:pPr>
        <w:wordWrap w:val="0"/>
        <w:spacing w:line="100" w:lineRule="exact"/>
        <w:rPr>
          <w:sz w:val="10"/>
          <w:szCs w:val="10"/>
        </w:rPr>
        <w:sectPr>
          <w:headerReference w:type="even" r:id="rId14"/>
          <w:headerReference w:type="default" r:id="rId15"/>
          <w:footerReference w:type="even" r:id="rId16"/>
          <w:footerReference w:type="default" r:id="rId17"/>
          <w:headerReference w:type="first" r:id="rId18"/>
          <w:footerReference w:type="first" r:id="rId19"/>
          <w:pgSz w:w="11906" w:h="16838"/>
          <w:pgMar w:top="1418" w:right="1418" w:bottom="1418" w:left="1418" w:header="851" w:footer="851" w:gutter="0"/>
          <w:cols w:num="1" w:space="425"/>
          <w:docGrid w:linePitch="381" w:charSpace="0"/>
        </w:sectPr>
      </w:pPr>
    </w:p>
    <w:p w14:paraId="0BF983D6">
      <w:pPr>
        <w:wordWrap w:val="0"/>
        <w:spacing w:line="20" w:lineRule="exact"/>
        <w:jc w:val="center"/>
        <w:rPr>
          <w:b/>
          <w:sz w:val="32"/>
        </w:rPr>
      </w:pPr>
    </w:p>
    <w:tbl>
      <w:tblPr>
        <w:tblStyle w:val="TableNormal"/>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Grid>
        <w:gridCol w:w="744"/>
        <w:gridCol w:w="3174"/>
        <w:gridCol w:w="1368"/>
        <w:gridCol w:w="4326"/>
        <w:gridCol w:w="1275"/>
        <w:gridCol w:w="1016"/>
        <w:gridCol w:w="814"/>
        <w:gridCol w:w="1134"/>
        <w:gridCol w:w="886"/>
        <w:gridCol w:w="957"/>
      </w:tblGrid>
      <w:tr w14:paraId="7794D4C4">
        <w:tblPrEx>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Ex>
        <w:trPr>
          <w:cantSplit/>
          <w:trHeight w:val="598"/>
          <w:jc w:val="center"/>
        </w:trPr>
        <w:tc>
          <w:tcPr>
            <w:tcW w:w="15694" w:type="dxa"/>
            <w:gridSpan w:val="10"/>
            <w:tcBorders>
              <w:top w:val="single" w:sz="4" w:space="0" w:color="auto"/>
              <w:left w:val="single" w:sz="4" w:space="0" w:color="auto"/>
              <w:bottom w:val="single" w:sz="4" w:space="0" w:color="auto"/>
              <w:right w:val="single" w:sz="4" w:space="0" w:color="auto"/>
            </w:tcBorders>
            <w:vAlign w:val="center"/>
          </w:tcPr>
          <w:p w14:paraId="7E43515A">
            <w:pPr>
              <w:tabs>
                <w:tab w:val="left" w:pos="2520"/>
                <w:tab w:val="center" w:pos="4144"/>
              </w:tabs>
              <w:wordWrap w:val="0"/>
              <w:jc w:val="left"/>
              <w:rPr>
                <w:sz w:val="24"/>
              </w:rPr>
            </w:pPr>
            <w:r>
              <w:rPr>
                <w:rFonts w:hint="eastAsia"/>
                <w:b/>
              </w:rPr>
              <w:t>申报单位、合作单位经费预算明细表</w:t>
            </w:r>
            <w:r>
              <w:rPr>
                <w:rFonts w:hint="eastAsia"/>
                <w:sz w:val="24"/>
              </w:rPr>
              <w:t xml:space="preserve">                                                    金额单位：万元</w:t>
            </w:r>
          </w:p>
        </w:tc>
      </w:tr>
      <w:tr w14:paraId="2EB1F843">
        <w:tblPrEx>
          <w:tblW w:w="15694" w:type="dxa"/>
          <w:jc w:val="center"/>
          <w:tblCellMar>
            <w:top w:w="0" w:type="dxa"/>
            <w:left w:w="57" w:type="dxa"/>
            <w:bottom w:w="0" w:type="dxa"/>
            <w:right w:w="57" w:type="dxa"/>
          </w:tblCellMar>
        </w:tblPrEx>
        <w:trPr>
          <w:cantSplit/>
          <w:trHeight w:hRule="exact" w:val="474"/>
          <w:jc w:val="center"/>
        </w:trPr>
        <w:tc>
          <w:tcPr>
            <w:tcW w:w="744" w:type="dxa"/>
            <w:vMerge w:val="restart"/>
            <w:tcBorders>
              <w:top w:val="single" w:sz="4" w:space="0" w:color="auto"/>
              <w:left w:val="single" w:sz="4" w:space="0" w:color="auto"/>
              <w:right w:val="single" w:sz="4" w:space="0" w:color="auto"/>
            </w:tcBorders>
            <w:vAlign w:val="center"/>
          </w:tcPr>
          <w:p w14:paraId="23B352C6">
            <w:pPr>
              <w:wordWrap w:val="0"/>
              <w:jc w:val="center"/>
              <w:rPr>
                <w:sz w:val="24"/>
              </w:rPr>
            </w:pPr>
            <w:r>
              <w:rPr>
                <w:rFonts w:hint="eastAsia"/>
                <w:sz w:val="24"/>
              </w:rPr>
              <w:t>序号</w:t>
            </w:r>
          </w:p>
        </w:tc>
        <w:tc>
          <w:tcPr>
            <w:tcW w:w="3174" w:type="dxa"/>
            <w:vMerge w:val="restart"/>
            <w:tcBorders>
              <w:top w:val="single" w:sz="4" w:space="0" w:color="auto"/>
              <w:left w:val="single" w:sz="4" w:space="0" w:color="auto"/>
              <w:right w:val="single" w:sz="4" w:space="0" w:color="auto"/>
            </w:tcBorders>
            <w:vAlign w:val="center"/>
          </w:tcPr>
          <w:p w14:paraId="317B3B3D">
            <w:pPr>
              <w:wordWrap w:val="0"/>
              <w:jc w:val="center"/>
              <w:rPr>
                <w:sz w:val="24"/>
              </w:rPr>
            </w:pPr>
            <w:r>
              <w:rPr>
                <w:rFonts w:hint="eastAsia"/>
                <w:sz w:val="24"/>
              </w:rPr>
              <w:t>单位名称</w:t>
            </w:r>
          </w:p>
        </w:tc>
        <w:tc>
          <w:tcPr>
            <w:tcW w:w="1368" w:type="dxa"/>
            <w:vMerge w:val="restart"/>
            <w:tcBorders>
              <w:top w:val="single" w:sz="4" w:space="0" w:color="auto"/>
              <w:left w:val="single" w:sz="4" w:space="0" w:color="auto"/>
              <w:right w:val="single" w:sz="4" w:space="0" w:color="auto"/>
            </w:tcBorders>
            <w:vAlign w:val="center"/>
          </w:tcPr>
          <w:p w14:paraId="5F9C6DAC">
            <w:pPr>
              <w:wordWrap w:val="0"/>
              <w:jc w:val="center"/>
              <w:rPr>
                <w:sz w:val="24"/>
              </w:rPr>
            </w:pPr>
            <w:r>
              <w:rPr>
                <w:rFonts w:hint="eastAsia"/>
                <w:sz w:val="24"/>
              </w:rPr>
              <w:t>单位类型</w:t>
            </w:r>
          </w:p>
        </w:tc>
        <w:tc>
          <w:tcPr>
            <w:tcW w:w="4326" w:type="dxa"/>
            <w:vMerge w:val="restart"/>
            <w:tcBorders>
              <w:top w:val="single" w:sz="4" w:space="0" w:color="auto"/>
              <w:left w:val="single" w:sz="4" w:space="0" w:color="auto"/>
              <w:right w:val="single" w:sz="4" w:space="0" w:color="auto"/>
            </w:tcBorders>
            <w:vAlign w:val="center"/>
          </w:tcPr>
          <w:p w14:paraId="0F284983">
            <w:pPr>
              <w:wordWrap w:val="0"/>
              <w:jc w:val="center"/>
              <w:rPr>
                <w:sz w:val="24"/>
              </w:rPr>
            </w:pPr>
            <w:r>
              <w:rPr>
                <w:rFonts w:hint="eastAsia"/>
                <w:sz w:val="24"/>
              </w:rPr>
              <w:t>任务分工</w:t>
            </w:r>
          </w:p>
        </w:tc>
        <w:tc>
          <w:tcPr>
            <w:tcW w:w="1275" w:type="dxa"/>
            <w:vMerge w:val="restart"/>
            <w:tcBorders>
              <w:top w:val="single" w:sz="4" w:space="0" w:color="auto"/>
              <w:left w:val="single" w:sz="4" w:space="0" w:color="auto"/>
              <w:right w:val="single" w:sz="4" w:space="0" w:color="auto"/>
            </w:tcBorders>
            <w:vAlign w:val="center"/>
          </w:tcPr>
          <w:p w14:paraId="1798DAE5">
            <w:pPr>
              <w:wordWrap w:val="0"/>
              <w:jc w:val="center"/>
              <w:rPr>
                <w:sz w:val="24"/>
              </w:rPr>
            </w:pPr>
            <w:r>
              <w:rPr>
                <w:rFonts w:hint="eastAsia"/>
                <w:sz w:val="24"/>
              </w:rPr>
              <w:t>研究任务</w:t>
            </w:r>
          </w:p>
          <w:p w14:paraId="5E122E6C">
            <w:pPr>
              <w:wordWrap w:val="0"/>
              <w:jc w:val="center"/>
              <w:rPr>
                <w:sz w:val="24"/>
              </w:rPr>
            </w:pPr>
            <w:r>
              <w:rPr>
                <w:rFonts w:hint="eastAsia"/>
                <w:sz w:val="24"/>
              </w:rPr>
              <w:t>负责人</w:t>
            </w:r>
          </w:p>
        </w:tc>
        <w:tc>
          <w:tcPr>
            <w:tcW w:w="1016" w:type="dxa"/>
            <w:vMerge w:val="restart"/>
            <w:tcBorders>
              <w:top w:val="single" w:sz="4" w:space="0" w:color="auto"/>
              <w:left w:val="single" w:sz="4" w:space="0" w:color="auto"/>
              <w:right w:val="single" w:sz="4" w:space="0" w:color="auto"/>
            </w:tcBorders>
            <w:vAlign w:val="center"/>
          </w:tcPr>
          <w:p w14:paraId="7A8BDE04">
            <w:pPr>
              <w:wordWrap w:val="0"/>
              <w:jc w:val="center"/>
              <w:rPr>
                <w:sz w:val="24"/>
              </w:rPr>
            </w:pPr>
            <w:r>
              <w:rPr>
                <w:rFonts w:hint="eastAsia"/>
                <w:sz w:val="24"/>
              </w:rPr>
              <w:t>合计</w:t>
            </w:r>
          </w:p>
        </w:tc>
        <w:tc>
          <w:tcPr>
            <w:tcW w:w="1948" w:type="dxa"/>
            <w:gridSpan w:val="2"/>
            <w:tcBorders>
              <w:top w:val="single" w:sz="4" w:space="0" w:color="auto"/>
              <w:left w:val="single" w:sz="4" w:space="0" w:color="auto"/>
              <w:bottom w:val="single" w:sz="4" w:space="0" w:color="auto"/>
              <w:right w:val="single" w:sz="4" w:space="0" w:color="auto"/>
            </w:tcBorders>
            <w:vAlign w:val="center"/>
          </w:tcPr>
          <w:p w14:paraId="62D13829">
            <w:pPr>
              <w:wordWrap w:val="0"/>
              <w:jc w:val="center"/>
              <w:rPr>
                <w:sz w:val="24"/>
              </w:rPr>
            </w:pPr>
            <w:r>
              <w:rPr>
                <w:rFonts w:hint="eastAsia"/>
                <w:sz w:val="24"/>
              </w:rPr>
              <w:t>专项经费</w:t>
            </w:r>
          </w:p>
        </w:tc>
        <w:tc>
          <w:tcPr>
            <w:tcW w:w="886" w:type="dxa"/>
            <w:vMerge w:val="restart"/>
            <w:tcBorders>
              <w:top w:val="single" w:sz="4" w:space="0" w:color="auto"/>
              <w:left w:val="single" w:sz="4" w:space="0" w:color="auto"/>
              <w:right w:val="single" w:sz="4" w:space="0" w:color="auto"/>
            </w:tcBorders>
            <w:vAlign w:val="center"/>
          </w:tcPr>
          <w:p w14:paraId="0F646EB7">
            <w:pPr>
              <w:tabs>
                <w:tab w:val="left" w:pos="2520"/>
                <w:tab w:val="center" w:pos="4144"/>
              </w:tabs>
              <w:wordWrap w:val="0"/>
              <w:jc w:val="center"/>
              <w:rPr>
                <w:sz w:val="24"/>
              </w:rPr>
            </w:pPr>
            <w:r>
              <w:rPr>
                <w:rFonts w:hint="eastAsia"/>
                <w:sz w:val="24"/>
              </w:rPr>
              <w:t>自筹</w:t>
            </w:r>
          </w:p>
          <w:p w14:paraId="1AF81296">
            <w:pPr>
              <w:tabs>
                <w:tab w:val="left" w:pos="2520"/>
                <w:tab w:val="center" w:pos="4144"/>
              </w:tabs>
              <w:wordWrap w:val="0"/>
              <w:jc w:val="center"/>
              <w:rPr>
                <w:sz w:val="24"/>
              </w:rPr>
            </w:pPr>
            <w:r>
              <w:rPr>
                <w:rFonts w:hint="eastAsia"/>
                <w:sz w:val="24"/>
              </w:rPr>
              <w:t>经费</w:t>
            </w:r>
          </w:p>
        </w:tc>
        <w:tc>
          <w:tcPr>
            <w:tcW w:w="957" w:type="dxa"/>
            <w:vMerge w:val="restart"/>
            <w:tcBorders>
              <w:top w:val="single" w:sz="4" w:space="0" w:color="auto"/>
              <w:left w:val="single" w:sz="4" w:space="0" w:color="auto"/>
              <w:right w:val="single" w:sz="4" w:space="0" w:color="auto"/>
            </w:tcBorders>
            <w:vAlign w:val="center"/>
          </w:tcPr>
          <w:p w14:paraId="39EDCF7F">
            <w:pPr>
              <w:tabs>
                <w:tab w:val="left" w:pos="2520"/>
                <w:tab w:val="center" w:pos="4144"/>
              </w:tabs>
              <w:wordWrap w:val="0"/>
              <w:jc w:val="center"/>
              <w:rPr>
                <w:sz w:val="24"/>
              </w:rPr>
            </w:pPr>
            <w:r>
              <w:rPr>
                <w:rFonts w:hint="eastAsia"/>
                <w:sz w:val="24"/>
              </w:rPr>
              <w:t>配套</w:t>
            </w:r>
          </w:p>
          <w:p w14:paraId="733E0E28">
            <w:pPr>
              <w:tabs>
                <w:tab w:val="left" w:pos="2520"/>
                <w:tab w:val="center" w:pos="4144"/>
              </w:tabs>
              <w:wordWrap w:val="0"/>
              <w:jc w:val="center"/>
              <w:rPr>
                <w:sz w:val="24"/>
              </w:rPr>
            </w:pPr>
            <w:r>
              <w:rPr>
                <w:rFonts w:hint="eastAsia"/>
                <w:sz w:val="24"/>
              </w:rPr>
              <w:t>经费</w:t>
            </w:r>
          </w:p>
        </w:tc>
      </w:tr>
      <w:tr w14:paraId="2E2930AD">
        <w:tblPrEx>
          <w:tblW w:w="15694" w:type="dxa"/>
          <w:jc w:val="center"/>
          <w:tblCellMar>
            <w:top w:w="0" w:type="dxa"/>
            <w:left w:w="57" w:type="dxa"/>
            <w:bottom w:w="0" w:type="dxa"/>
            <w:right w:w="57" w:type="dxa"/>
          </w:tblCellMar>
        </w:tblPrEx>
        <w:trPr>
          <w:cantSplit/>
          <w:trHeight w:hRule="exact" w:val="728"/>
          <w:jc w:val="center"/>
        </w:trPr>
        <w:tc>
          <w:tcPr>
            <w:tcW w:w="744" w:type="dxa"/>
            <w:vMerge/>
            <w:tcBorders>
              <w:left w:val="single" w:sz="4" w:space="0" w:color="auto"/>
              <w:bottom w:val="single" w:sz="4" w:space="0" w:color="auto"/>
              <w:right w:val="single" w:sz="4" w:space="0" w:color="auto"/>
            </w:tcBorders>
            <w:vAlign w:val="center"/>
          </w:tcPr>
          <w:p w14:paraId="7C8DF32F">
            <w:pPr>
              <w:wordWrap w:val="0"/>
              <w:jc w:val="center"/>
              <w:rPr>
                <w:sz w:val="24"/>
              </w:rPr>
            </w:pPr>
          </w:p>
        </w:tc>
        <w:tc>
          <w:tcPr>
            <w:tcW w:w="3174" w:type="dxa"/>
            <w:vMerge/>
            <w:tcBorders>
              <w:left w:val="single" w:sz="4" w:space="0" w:color="auto"/>
              <w:bottom w:val="single" w:sz="4" w:space="0" w:color="auto"/>
              <w:right w:val="single" w:sz="4" w:space="0" w:color="auto"/>
            </w:tcBorders>
            <w:vAlign w:val="center"/>
          </w:tcPr>
          <w:p w14:paraId="6CB751E6">
            <w:pPr>
              <w:wordWrap w:val="0"/>
              <w:jc w:val="center"/>
              <w:rPr>
                <w:sz w:val="24"/>
              </w:rPr>
            </w:pPr>
          </w:p>
        </w:tc>
        <w:tc>
          <w:tcPr>
            <w:tcW w:w="1368" w:type="dxa"/>
            <w:vMerge/>
            <w:tcBorders>
              <w:left w:val="single" w:sz="4" w:space="0" w:color="auto"/>
              <w:bottom w:val="single" w:sz="4" w:space="0" w:color="auto"/>
              <w:right w:val="single" w:sz="4" w:space="0" w:color="auto"/>
            </w:tcBorders>
            <w:vAlign w:val="center"/>
          </w:tcPr>
          <w:p w14:paraId="4FCDE043">
            <w:pPr>
              <w:wordWrap w:val="0"/>
              <w:jc w:val="center"/>
              <w:rPr>
                <w:sz w:val="24"/>
              </w:rPr>
            </w:pPr>
          </w:p>
        </w:tc>
        <w:tc>
          <w:tcPr>
            <w:tcW w:w="4326" w:type="dxa"/>
            <w:vMerge/>
            <w:tcBorders>
              <w:left w:val="single" w:sz="4" w:space="0" w:color="auto"/>
              <w:bottom w:val="single" w:sz="4" w:space="0" w:color="auto"/>
              <w:right w:val="single" w:sz="4" w:space="0" w:color="auto"/>
            </w:tcBorders>
            <w:vAlign w:val="center"/>
          </w:tcPr>
          <w:p w14:paraId="28213FFC">
            <w:pPr>
              <w:wordWrap w:val="0"/>
              <w:jc w:val="center"/>
              <w:rPr>
                <w:sz w:val="24"/>
              </w:rPr>
            </w:pPr>
          </w:p>
        </w:tc>
        <w:tc>
          <w:tcPr>
            <w:tcW w:w="1275" w:type="dxa"/>
            <w:vMerge/>
            <w:tcBorders>
              <w:left w:val="single" w:sz="4" w:space="0" w:color="auto"/>
              <w:bottom w:val="single" w:sz="4" w:space="0" w:color="auto"/>
              <w:right w:val="single" w:sz="4" w:space="0" w:color="auto"/>
            </w:tcBorders>
            <w:vAlign w:val="center"/>
          </w:tcPr>
          <w:p w14:paraId="1EA071A1">
            <w:pPr>
              <w:wordWrap w:val="0"/>
              <w:jc w:val="center"/>
              <w:rPr>
                <w:sz w:val="24"/>
              </w:rPr>
            </w:pPr>
          </w:p>
        </w:tc>
        <w:tc>
          <w:tcPr>
            <w:tcW w:w="1016" w:type="dxa"/>
            <w:vMerge/>
            <w:tcBorders>
              <w:left w:val="single" w:sz="4" w:space="0" w:color="auto"/>
              <w:bottom w:val="single" w:sz="4" w:space="0" w:color="auto"/>
              <w:right w:val="single" w:sz="4" w:space="0" w:color="auto"/>
            </w:tcBorders>
            <w:vAlign w:val="center"/>
          </w:tcPr>
          <w:p w14:paraId="0C33E11E">
            <w:pPr>
              <w:wordWrap w:val="0"/>
              <w:jc w:val="center"/>
              <w:rPr>
                <w:sz w:val="24"/>
              </w:rPr>
            </w:pPr>
          </w:p>
        </w:tc>
        <w:tc>
          <w:tcPr>
            <w:tcW w:w="814" w:type="dxa"/>
            <w:tcBorders>
              <w:top w:val="single" w:sz="4" w:space="0" w:color="auto"/>
              <w:left w:val="single" w:sz="4" w:space="0" w:color="auto"/>
              <w:bottom w:val="single" w:sz="4" w:space="0" w:color="auto"/>
              <w:right w:val="single" w:sz="4" w:space="0" w:color="auto"/>
            </w:tcBorders>
            <w:vAlign w:val="center"/>
          </w:tcPr>
          <w:p w14:paraId="3D4FF525">
            <w:pPr>
              <w:wordWrap w:val="0"/>
              <w:jc w:val="center"/>
              <w:rPr>
                <w:sz w:val="24"/>
              </w:rPr>
            </w:pPr>
            <w:r>
              <w:rPr>
                <w:rFonts w:hint="eastAsia"/>
                <w:sz w:val="24"/>
              </w:rPr>
              <w:t>小计</w:t>
            </w:r>
          </w:p>
        </w:tc>
        <w:tc>
          <w:tcPr>
            <w:tcW w:w="1134" w:type="dxa"/>
            <w:tcBorders>
              <w:top w:val="single" w:sz="4" w:space="0" w:color="auto"/>
              <w:left w:val="single" w:sz="4" w:space="0" w:color="auto"/>
              <w:bottom w:val="single" w:sz="4" w:space="0" w:color="auto"/>
              <w:right w:val="single" w:sz="4" w:space="0" w:color="auto"/>
            </w:tcBorders>
            <w:vAlign w:val="center"/>
          </w:tcPr>
          <w:p w14:paraId="770037D2">
            <w:pPr>
              <w:wordWrap w:val="0"/>
              <w:jc w:val="center"/>
              <w:rPr>
                <w:sz w:val="24"/>
              </w:rPr>
            </w:pPr>
            <w:r>
              <w:rPr>
                <w:rFonts w:hint="eastAsia"/>
                <w:sz w:val="24"/>
              </w:rPr>
              <w:t>其中：</w:t>
            </w:r>
          </w:p>
          <w:p w14:paraId="211F38D5">
            <w:pPr>
              <w:wordWrap w:val="0"/>
              <w:jc w:val="center"/>
              <w:rPr>
                <w:sz w:val="24"/>
              </w:rPr>
            </w:pPr>
            <w:r>
              <w:rPr>
                <w:rFonts w:hint="eastAsia"/>
                <w:sz w:val="24"/>
              </w:rPr>
              <w:t>间接费用</w:t>
            </w:r>
          </w:p>
        </w:tc>
        <w:tc>
          <w:tcPr>
            <w:tcW w:w="886" w:type="dxa"/>
            <w:vMerge/>
            <w:tcBorders>
              <w:left w:val="single" w:sz="4" w:space="0" w:color="auto"/>
              <w:bottom w:val="single" w:sz="4" w:space="0" w:color="auto"/>
              <w:right w:val="single" w:sz="4" w:space="0" w:color="auto"/>
            </w:tcBorders>
            <w:vAlign w:val="center"/>
          </w:tcPr>
          <w:p w14:paraId="45D40817">
            <w:pPr>
              <w:tabs>
                <w:tab w:val="left" w:pos="2520"/>
                <w:tab w:val="center" w:pos="4144"/>
              </w:tabs>
              <w:wordWrap w:val="0"/>
              <w:jc w:val="center"/>
              <w:rPr>
                <w:sz w:val="24"/>
              </w:rPr>
            </w:pPr>
          </w:p>
        </w:tc>
        <w:tc>
          <w:tcPr>
            <w:tcW w:w="957" w:type="dxa"/>
            <w:vMerge/>
            <w:tcBorders>
              <w:left w:val="single" w:sz="4" w:space="0" w:color="auto"/>
              <w:bottom w:val="single" w:sz="4" w:space="0" w:color="auto"/>
              <w:right w:val="single" w:sz="4" w:space="0" w:color="auto"/>
            </w:tcBorders>
            <w:vAlign w:val="center"/>
          </w:tcPr>
          <w:p w14:paraId="7247237C">
            <w:pPr>
              <w:tabs>
                <w:tab w:val="left" w:pos="2520"/>
                <w:tab w:val="center" w:pos="4144"/>
              </w:tabs>
              <w:wordWrap w:val="0"/>
              <w:jc w:val="center"/>
              <w:rPr>
                <w:sz w:val="24"/>
              </w:rPr>
            </w:pPr>
          </w:p>
        </w:tc>
      </w:tr>
      <w:tr w14:paraId="0543D874">
        <w:tblPrEx>
          <w:tblW w:w="15694" w:type="dxa"/>
          <w:jc w:val="center"/>
          <w:tblCellMar>
            <w:top w:w="0" w:type="dxa"/>
            <w:left w:w="57" w:type="dxa"/>
            <w:bottom w:w="0" w:type="dxa"/>
            <w:right w:w="57" w:type="dxa"/>
          </w:tblCellMar>
        </w:tblPrEx>
        <w:trPr>
          <w:cantSplit/>
          <w:trHeight w:val="598"/>
          <w:jc w:val="center"/>
        </w:trPr>
        <w:tc>
          <w:tcPr>
            <w:tcW w:w="744" w:type="dxa"/>
            <w:tcBorders>
              <w:top w:val="single" w:sz="4" w:space="0" w:color="auto"/>
              <w:left w:val="single" w:sz="4" w:space="0" w:color="auto"/>
              <w:bottom w:val="single" w:sz="4" w:space="0" w:color="auto"/>
              <w:right w:val="single" w:sz="4" w:space="0" w:color="auto"/>
            </w:tcBorders>
            <w:vAlign w:val="center"/>
          </w:tcPr>
          <w:p w14:paraId="7D3D3496">
            <w:pPr>
              <w:wordWrap w:val="0"/>
              <w:jc w:val="center"/>
              <w:rPr>
                <w:rFonts w:ascii="宋体" w:eastAsia="宋体" w:hAnsi="宋体" w:cs="宋体"/>
                <w:sz w:val="24"/>
              </w:rPr>
            </w:pPr>
            <w:r>
              <w:rPr>
                <w:rFonts w:ascii="宋体" w:eastAsia="宋体" w:hAnsi="宋体" w:cs="宋体"/>
                <w:sz w:val="24"/>
              </w:rPr>
              <w:t>1</w:t>
            </w:r>
          </w:p>
        </w:tc>
        <w:tc>
          <w:tcPr>
            <w:tcW w:w="3174" w:type="dxa"/>
            <w:tcBorders>
              <w:top w:val="single" w:sz="4" w:space="0" w:color="auto"/>
              <w:left w:val="single" w:sz="4" w:space="0" w:color="auto"/>
              <w:bottom w:val="single" w:sz="4" w:space="0" w:color="auto"/>
              <w:right w:val="single" w:sz="4" w:space="0" w:color="auto"/>
            </w:tcBorders>
            <w:vAlign w:val="center"/>
          </w:tcPr>
          <w:p w14:paraId="3017533B">
            <w:pPr>
              <w:wordWrap w:val="0"/>
              <w:jc w:val="left"/>
              <w:rPr>
                <w:rFonts w:ascii="宋体" w:eastAsia="宋体" w:hAnsi="宋体" w:cs="宋体"/>
                <w:sz w:val="24"/>
              </w:rPr>
            </w:pPr>
            <w:r>
              <w:rPr>
                <w:rFonts w:ascii="宋体" w:eastAsia="宋体" w:hAnsi="宋体" w:cs="宋体"/>
                <w:sz w:val="24"/>
              </w:rPr>
              <w:t>沧州市天津工业大学研究院</w:t>
            </w:r>
          </w:p>
        </w:tc>
        <w:tc>
          <w:tcPr>
            <w:tcW w:w="1368" w:type="dxa"/>
            <w:tcBorders>
              <w:top w:val="single" w:sz="4" w:space="0" w:color="auto"/>
              <w:left w:val="single" w:sz="4" w:space="0" w:color="auto"/>
              <w:bottom w:val="single" w:sz="4" w:space="0" w:color="auto"/>
              <w:right w:val="single" w:sz="4" w:space="0" w:color="auto"/>
            </w:tcBorders>
            <w:vAlign w:val="center"/>
          </w:tcPr>
          <w:p w14:paraId="09E0D847">
            <w:pPr>
              <w:wordWrap w:val="0"/>
              <w:jc w:val="center"/>
              <w:rPr>
                <w:rFonts w:ascii="宋体" w:eastAsia="宋体" w:hAnsi="宋体" w:cs="宋体"/>
                <w:sz w:val="24"/>
              </w:rPr>
            </w:pPr>
            <w:r>
              <w:rPr>
                <w:rFonts w:ascii="宋体" w:eastAsia="宋体" w:hAnsi="宋体" w:cs="宋体"/>
                <w:sz w:val="24"/>
              </w:rPr>
              <w:t>申报单位</w:t>
            </w:r>
          </w:p>
        </w:tc>
        <w:tc>
          <w:tcPr>
            <w:tcW w:w="4326" w:type="dxa"/>
            <w:tcBorders>
              <w:top w:val="single" w:sz="4" w:space="0" w:color="auto"/>
              <w:left w:val="single" w:sz="4" w:space="0" w:color="auto"/>
              <w:bottom w:val="single" w:sz="4" w:space="0" w:color="auto"/>
              <w:right w:val="single" w:sz="4" w:space="0" w:color="auto"/>
            </w:tcBorders>
            <w:vAlign w:val="center"/>
          </w:tcPr>
          <w:p w14:paraId="11D5C71B">
            <w:pPr>
              <w:wordWrap w:val="0"/>
              <w:jc w:val="left"/>
              <w:rPr>
                <w:rFonts w:ascii="宋体" w:eastAsia="宋体" w:hAnsi="宋体" w:cs="宋体"/>
                <w:sz w:val="24"/>
              </w:rPr>
            </w:pPr>
            <w:r>
              <w:rPr>
                <w:rFonts w:ascii="宋体" w:eastAsia="宋体" w:hAnsi="宋体" w:cs="宋体"/>
                <w:sz w:val="24"/>
              </w:rPr>
              <w:t>承担整个项目的设计和实施完成</w:t>
            </w:r>
          </w:p>
        </w:tc>
        <w:tc>
          <w:tcPr>
            <w:tcW w:w="1275" w:type="dxa"/>
            <w:tcBorders>
              <w:top w:val="single" w:sz="4" w:space="0" w:color="auto"/>
              <w:left w:val="single" w:sz="4" w:space="0" w:color="auto"/>
              <w:bottom w:val="single" w:sz="4" w:space="0" w:color="auto"/>
              <w:right w:val="single" w:sz="4" w:space="0" w:color="auto"/>
            </w:tcBorders>
            <w:vAlign w:val="center"/>
          </w:tcPr>
          <w:p w14:paraId="514409D6">
            <w:pPr>
              <w:wordWrap w:val="0"/>
              <w:jc w:val="center"/>
              <w:rPr>
                <w:rFonts w:ascii="宋体" w:eastAsia="宋体" w:hAnsi="宋体" w:cs="宋体"/>
                <w:sz w:val="24"/>
              </w:rPr>
            </w:pPr>
            <w:r>
              <w:rPr>
                <w:rFonts w:ascii="宋体" w:eastAsia="宋体" w:hAnsi="宋体" w:cs="宋体"/>
                <w:sz w:val="24"/>
              </w:rPr>
              <w:t>高菲</w:t>
            </w:r>
          </w:p>
        </w:tc>
        <w:tc>
          <w:tcPr>
            <w:tcW w:w="1016" w:type="dxa"/>
            <w:tcBorders>
              <w:top w:val="single" w:sz="4" w:space="0" w:color="auto"/>
              <w:left w:val="single" w:sz="4" w:space="0" w:color="auto"/>
              <w:bottom w:val="single" w:sz="4" w:space="0" w:color="auto"/>
              <w:right w:val="single" w:sz="4" w:space="0" w:color="auto"/>
            </w:tcBorders>
            <w:vAlign w:val="center"/>
          </w:tcPr>
          <w:p w14:paraId="3A3A24F8">
            <w:pPr>
              <w:wordWrap w:val="0"/>
              <w:jc w:val="center"/>
              <w:rPr>
                <w:rFonts w:ascii="宋体" w:eastAsia="宋体" w:hAnsi="宋体" w:cs="宋体"/>
                <w:sz w:val="24"/>
              </w:rPr>
            </w:pPr>
            <w:r>
              <w:rPr>
                <w:rFonts w:ascii="宋体" w:eastAsia="宋体" w:hAnsi="宋体" w:cs="宋体"/>
                <w:sz w:val="24"/>
              </w:rPr>
              <w:t>6.00</w:t>
            </w:r>
          </w:p>
        </w:tc>
        <w:tc>
          <w:tcPr>
            <w:tcW w:w="814" w:type="dxa"/>
            <w:tcBorders>
              <w:top w:val="single" w:sz="4" w:space="0" w:color="auto"/>
              <w:left w:val="single" w:sz="4" w:space="0" w:color="auto"/>
              <w:bottom w:val="single" w:sz="4" w:space="0" w:color="auto"/>
              <w:right w:val="single" w:sz="4" w:space="0" w:color="auto"/>
            </w:tcBorders>
            <w:vAlign w:val="center"/>
          </w:tcPr>
          <w:p w14:paraId="63A909D8">
            <w:pPr>
              <w:wordWrap w:val="0"/>
              <w:jc w:val="center"/>
              <w:rPr>
                <w:rFonts w:ascii="宋体" w:eastAsia="宋体" w:hAnsi="宋体" w:cs="宋体"/>
                <w:sz w:val="24"/>
              </w:rPr>
            </w:pPr>
            <w:r>
              <w:rPr>
                <w:rFonts w:ascii="宋体" w:eastAsia="宋体" w:hAnsi="宋体" w:cs="宋体"/>
                <w:sz w:val="24"/>
              </w:rPr>
              <w:t>6.00</w:t>
            </w:r>
          </w:p>
        </w:tc>
        <w:tc>
          <w:tcPr>
            <w:tcW w:w="1134" w:type="dxa"/>
            <w:tcBorders>
              <w:top w:val="single" w:sz="4" w:space="0" w:color="auto"/>
              <w:left w:val="single" w:sz="4" w:space="0" w:color="auto"/>
              <w:bottom w:val="single" w:sz="4" w:space="0" w:color="auto"/>
              <w:right w:val="single" w:sz="4" w:space="0" w:color="auto"/>
            </w:tcBorders>
            <w:vAlign w:val="center"/>
          </w:tcPr>
          <w:p w14:paraId="66EB95CF">
            <w:pPr>
              <w:wordWrap w:val="0"/>
              <w:jc w:val="center"/>
              <w:rPr>
                <w:rFonts w:ascii="宋体" w:eastAsia="宋体" w:hAnsi="宋体" w:cs="宋体"/>
                <w:sz w:val="24"/>
              </w:rPr>
            </w:pPr>
            <w:r>
              <w:rPr>
                <w:rFonts w:ascii="宋体" w:eastAsia="宋体" w:hAnsi="宋体" w:cs="宋体"/>
                <w:sz w:val="24"/>
              </w:rPr>
              <w:t>0.30</w:t>
            </w:r>
          </w:p>
        </w:tc>
        <w:tc>
          <w:tcPr>
            <w:tcW w:w="886" w:type="dxa"/>
            <w:tcBorders>
              <w:top w:val="single" w:sz="4" w:space="0" w:color="auto"/>
              <w:left w:val="single" w:sz="4" w:space="0" w:color="auto"/>
              <w:bottom w:val="single" w:sz="4" w:space="0" w:color="auto"/>
              <w:right w:val="single" w:sz="4" w:space="0" w:color="auto"/>
            </w:tcBorders>
            <w:vAlign w:val="center"/>
          </w:tcPr>
          <w:p w14:paraId="76DF0714">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957" w:type="dxa"/>
            <w:tcBorders>
              <w:top w:val="single" w:sz="4" w:space="0" w:color="auto"/>
              <w:left w:val="single" w:sz="4" w:space="0" w:color="auto"/>
              <w:bottom w:val="single" w:sz="4" w:space="0" w:color="auto"/>
              <w:right w:val="single" w:sz="4" w:space="0" w:color="auto"/>
            </w:tcBorders>
            <w:vAlign w:val="center"/>
          </w:tcPr>
          <w:p w14:paraId="651F8525">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14:paraId="16D37EDC">
      <w:pPr>
        <w:wordWrap w:val="0"/>
        <w:rPr>
          <w:sz w:val="10"/>
          <w:szCs w:val="10"/>
        </w:rPr>
        <w:sectPr>
          <w:pgSz w:w="16838" w:h="11906" w:orient="landscape"/>
          <w:pgMar w:top="1418" w:right="1418" w:bottom="1418" w:left="1418" w:header="851" w:footer="851" w:gutter="0"/>
          <w:cols w:num="1" w:space="425"/>
          <w:docGrid w:linePitch="381" w:charSpace="0"/>
        </w:sectPr>
      </w:pPr>
    </w:p>
    <w:p w14:paraId="4AB6718C">
      <w:pPr>
        <w:wordWrap w:val="0"/>
        <w:spacing w:line="360" w:lineRule="auto"/>
        <w:ind w:firstLine="560" w:firstLineChars="200"/>
        <w:jc w:val="center"/>
        <w:rPr>
          <w:b/>
          <w:szCs w:val="28"/>
          <w:highlight w:val="yellow"/>
        </w:rPr>
      </w:pPr>
      <w:r>
        <w:rPr>
          <w:rFonts w:hint="eastAsia"/>
          <w:b/>
          <w:szCs w:val="28"/>
        </w:rPr>
        <w:t>项目绩效评价考核目标及指标</w:t>
      </w:r>
    </w:p>
    <w:tbl>
      <w:tblPr>
        <w:tblStyle w:val="TableNormal"/>
        <w:tblW w:w="15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34"/>
        <w:gridCol w:w="5647"/>
        <w:gridCol w:w="2463"/>
        <w:gridCol w:w="2410"/>
        <w:gridCol w:w="2126"/>
        <w:gridCol w:w="2182"/>
      </w:tblGrid>
      <w:tr w14:paraId="3C1251AF">
        <w:tblPrEx>
          <w:tblW w:w="15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1023"/>
          <w:jc w:val="center"/>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542EE778">
            <w:pPr>
              <w:wordWrap w:val="0"/>
              <w:spacing w:line="320" w:lineRule="exact"/>
              <w:jc w:val="center"/>
              <w:rPr>
                <w:bCs/>
                <w:sz w:val="24"/>
              </w:rPr>
            </w:pPr>
            <w:r>
              <w:rPr>
                <w:rFonts w:hint="eastAsia"/>
                <w:bCs/>
                <w:sz w:val="24"/>
              </w:rPr>
              <w:t>总体</w:t>
            </w:r>
          </w:p>
          <w:p w14:paraId="2672B7BE">
            <w:pPr>
              <w:wordWrap w:val="0"/>
              <w:spacing w:line="320" w:lineRule="exact"/>
              <w:jc w:val="center"/>
              <w:rPr>
                <w:bCs/>
                <w:sz w:val="24"/>
              </w:rPr>
            </w:pPr>
            <w:r>
              <w:rPr>
                <w:rFonts w:hint="eastAsia"/>
                <w:bCs/>
                <w:sz w:val="24"/>
              </w:rPr>
              <w:t>目标</w:t>
            </w:r>
          </w:p>
        </w:tc>
        <w:tc>
          <w:tcPr>
            <w:tcW w:w="8110" w:type="dxa"/>
            <w:gridSpan w:val="2"/>
            <w:tcBorders>
              <w:top w:val="single" w:sz="4" w:space="0" w:color="auto"/>
              <w:left w:val="single" w:sz="4" w:space="0" w:color="auto"/>
              <w:bottom w:val="single" w:sz="4" w:space="0" w:color="auto"/>
              <w:right w:val="single" w:sz="4" w:space="0" w:color="auto"/>
            </w:tcBorders>
            <w:vAlign w:val="center"/>
          </w:tcPr>
          <w:p w14:paraId="19FFC300">
            <w:pPr>
              <w:wordWrap w:val="0"/>
              <w:spacing w:line="240" w:lineRule="exact"/>
              <w:jc w:val="center"/>
              <w:rPr>
                <w:bCs/>
                <w:sz w:val="24"/>
              </w:rPr>
            </w:pPr>
            <w:r>
              <w:rPr>
                <w:rFonts w:hint="eastAsia"/>
                <w:bCs/>
                <w:sz w:val="24"/>
              </w:rPr>
              <w:t>实施期目标</w:t>
            </w:r>
          </w:p>
        </w:tc>
        <w:tc>
          <w:tcPr>
            <w:tcW w:w="2410" w:type="dxa"/>
            <w:tcBorders>
              <w:top w:val="single" w:sz="4" w:space="0" w:color="auto"/>
              <w:left w:val="single" w:sz="4" w:space="0" w:color="auto"/>
              <w:bottom w:val="single" w:sz="4" w:space="0" w:color="auto"/>
              <w:right w:val="single" w:sz="4" w:space="0" w:color="auto"/>
            </w:tcBorders>
            <w:vAlign w:val="center"/>
          </w:tcPr>
          <w:p w14:paraId="03E89BB7">
            <w:pPr>
              <w:wordWrap w:val="0"/>
              <w:spacing w:line="360" w:lineRule="exact"/>
              <w:jc w:val="center"/>
              <w:rPr>
                <w:bCs/>
                <w:sz w:val="24"/>
              </w:rPr>
            </w:pPr>
            <w:r>
              <w:rPr>
                <w:rFonts w:hint="eastAsia"/>
                <w:bCs/>
                <w:sz w:val="24"/>
              </w:rPr>
              <w:t>第一年度目标</w:t>
            </w:r>
          </w:p>
          <w:p w14:paraId="0DAA5E40">
            <w:pPr>
              <w:wordWrap w:val="0"/>
              <w:spacing w:line="360" w:lineRule="exact"/>
              <w:jc w:val="center"/>
              <w:rPr>
                <w:bCs/>
                <w:sz w:val="24"/>
              </w:rPr>
            </w:pPr>
            <w:r>
              <w:rPr>
                <w:rFonts w:hint="eastAsia"/>
                <w:bCs/>
                <w:sz w:val="24"/>
              </w:rPr>
              <w:t>（当前年度</w:t>
            </w:r>
            <w:r>
              <w:rPr>
                <w:bCs/>
                <w:sz w:val="24"/>
              </w:rPr>
              <w:t>）</w:t>
            </w:r>
          </w:p>
        </w:tc>
        <w:tc>
          <w:tcPr>
            <w:tcW w:w="2126" w:type="dxa"/>
            <w:tcBorders>
              <w:top w:val="single" w:sz="4" w:space="0" w:color="auto"/>
              <w:left w:val="single" w:sz="4" w:space="0" w:color="auto"/>
              <w:bottom w:val="single" w:sz="4" w:space="0" w:color="auto"/>
              <w:right w:val="single" w:sz="4" w:space="0" w:color="auto"/>
            </w:tcBorders>
            <w:vAlign w:val="center"/>
          </w:tcPr>
          <w:p w14:paraId="5BEE7B84">
            <w:pPr>
              <w:wordWrap w:val="0"/>
              <w:spacing w:line="360" w:lineRule="exact"/>
              <w:jc w:val="center"/>
              <w:rPr>
                <w:bCs/>
                <w:sz w:val="24"/>
              </w:rPr>
            </w:pPr>
            <w:r>
              <w:rPr>
                <w:rFonts w:hint="eastAsia"/>
                <w:bCs/>
                <w:sz w:val="24"/>
              </w:rPr>
              <w:t>第二年度目标</w:t>
            </w:r>
          </w:p>
          <w:p w14:paraId="67054E9E">
            <w:pPr>
              <w:wordWrap w:val="0"/>
              <w:spacing w:line="360" w:lineRule="exact"/>
              <w:jc w:val="center"/>
              <w:rPr>
                <w:bCs/>
                <w:sz w:val="24"/>
              </w:rPr>
            </w:pPr>
            <w:r>
              <w:rPr>
                <w:rFonts w:hint="eastAsia"/>
                <w:bCs/>
                <w:sz w:val="24"/>
              </w:rPr>
              <w:t>（当前年度</w:t>
            </w:r>
            <w:r>
              <w:rPr>
                <w:bCs/>
                <w:sz w:val="24"/>
              </w:rPr>
              <w:t>）</w:t>
            </w:r>
          </w:p>
        </w:tc>
        <w:tc>
          <w:tcPr>
            <w:tcW w:w="2182" w:type="dxa"/>
            <w:tcBorders>
              <w:top w:val="single" w:sz="4" w:space="0" w:color="auto"/>
              <w:left w:val="single" w:sz="4" w:space="0" w:color="auto"/>
              <w:bottom w:val="single" w:sz="4" w:space="0" w:color="auto"/>
              <w:right w:val="single" w:sz="4" w:space="0" w:color="auto"/>
            </w:tcBorders>
            <w:vAlign w:val="center"/>
          </w:tcPr>
          <w:p w14:paraId="51A5F12B">
            <w:pPr>
              <w:wordWrap w:val="0"/>
              <w:spacing w:line="360" w:lineRule="exact"/>
              <w:jc w:val="center"/>
              <w:rPr>
                <w:bCs/>
                <w:sz w:val="24"/>
              </w:rPr>
            </w:pPr>
            <w:r>
              <w:rPr>
                <w:rFonts w:hint="eastAsia"/>
                <w:bCs/>
                <w:sz w:val="24"/>
              </w:rPr>
              <w:t>第三年度目标</w:t>
            </w:r>
          </w:p>
          <w:p w14:paraId="6621DC6E">
            <w:pPr>
              <w:wordWrap w:val="0"/>
              <w:spacing w:line="360" w:lineRule="exact"/>
              <w:jc w:val="center"/>
              <w:rPr>
                <w:bCs/>
                <w:sz w:val="24"/>
              </w:rPr>
            </w:pPr>
            <w:r>
              <w:rPr>
                <w:rFonts w:hint="eastAsia"/>
                <w:bCs/>
                <w:sz w:val="24"/>
              </w:rPr>
              <w:t>（当前年度</w:t>
            </w:r>
            <w:r>
              <w:rPr>
                <w:bCs/>
                <w:sz w:val="24"/>
              </w:rPr>
              <w:t>）</w:t>
            </w:r>
          </w:p>
        </w:tc>
      </w:tr>
      <w:tr w14:paraId="57C22602">
        <w:tblPrEx>
          <w:tblW w:w="15762" w:type="dxa"/>
          <w:jc w:val="center"/>
          <w:tblLayout w:type="fixed"/>
          <w:tblCellMar>
            <w:top w:w="0" w:type="dxa"/>
            <w:left w:w="108" w:type="dxa"/>
            <w:bottom w:w="0" w:type="dxa"/>
            <w:right w:w="108" w:type="dxa"/>
          </w:tblCellMar>
        </w:tblPrEx>
        <w:trPr>
          <w:trHeight w:val="769"/>
          <w:jc w:val="center"/>
        </w:trPr>
        <w:tc>
          <w:tcPr>
            <w:tcW w:w="934" w:type="dxa"/>
            <w:vMerge/>
            <w:tcBorders>
              <w:top w:val="single" w:sz="4" w:space="0" w:color="auto"/>
              <w:left w:val="single" w:sz="4" w:space="0" w:color="auto"/>
              <w:bottom w:val="single" w:sz="4" w:space="0" w:color="auto"/>
              <w:right w:val="single" w:sz="4" w:space="0" w:color="auto"/>
            </w:tcBorders>
            <w:vAlign w:val="center"/>
          </w:tcPr>
          <w:p w14:paraId="25D48BBB">
            <w:pPr>
              <w:wordWrap w:val="0"/>
              <w:rPr>
                <w:bCs/>
                <w:sz w:val="24"/>
              </w:rPr>
            </w:pPr>
          </w:p>
        </w:tc>
        <w:tc>
          <w:tcPr>
            <w:tcW w:w="8110" w:type="dxa"/>
            <w:gridSpan w:val="2"/>
            <w:tcBorders>
              <w:top w:val="single" w:sz="4" w:space="0" w:color="auto"/>
              <w:left w:val="single" w:sz="4" w:space="0" w:color="auto"/>
              <w:bottom w:val="single" w:sz="4" w:space="0" w:color="auto"/>
              <w:right w:val="single" w:sz="4" w:space="0" w:color="auto"/>
            </w:tcBorders>
            <w:vAlign w:val="center"/>
          </w:tcPr>
          <w:p w14:paraId="660140A6">
            <w:pPr>
              <w:wordWrap w:val="0"/>
              <w:spacing w:line="240" w:lineRule="exact"/>
              <w:rPr>
                <w:rFonts w:ascii="宋体" w:eastAsia="宋体" w:hAnsi="宋体" w:cs="宋体"/>
                <w:bCs/>
                <w:sz w:val="24"/>
              </w:rPr>
            </w:pPr>
            <w:r>
              <w:rPr>
                <w:rFonts w:ascii="宋体" w:eastAsia="宋体" w:hAnsi="宋体" w:cs="宋体"/>
                <w:bCs/>
                <w:sz w:val="24"/>
              </w:rPr>
              <w:t>（1）提出可高选择性吸附、快速电催化还原重金属的电催化膜的制备方法，明确电催化膜微观结构与吸附-催化性能间的构效关系、选择性吸附机理和电催化原理。</w:t>
            </w:r>
          </w:p>
          <w:p>
            <w:pPr>
              <w:wordWrap w:val="0"/>
              <w:spacing w:line="240" w:lineRule="exact"/>
              <w:rPr>
                <w:rFonts w:ascii="宋体" w:eastAsia="宋体" w:hAnsi="宋体" w:cs="宋体"/>
                <w:bCs/>
                <w:sz w:val="24"/>
              </w:rPr>
            </w:pPr>
            <w:r>
              <w:rPr>
                <w:rFonts w:ascii="宋体" w:eastAsia="宋体" w:hAnsi="宋体" w:cs="宋体"/>
                <w:bCs/>
                <w:sz w:val="24"/>
              </w:rPr>
              <w:t>（2）构建可持续高效去除复杂环境中重金属离子和重金属有机络合物的电催化膜过滤系统，提供重要参数和运行指导。</w:t>
            </w:r>
          </w:p>
          <w:p>
            <w:pPr>
              <w:wordWrap w:val="0"/>
              <w:spacing w:line="240" w:lineRule="exact"/>
              <w:rPr>
                <w:rFonts w:ascii="宋体" w:eastAsia="宋体" w:hAnsi="宋体" w:cs="宋体"/>
                <w:bCs/>
                <w:sz w:val="24"/>
              </w:rPr>
            </w:pPr>
            <w:r>
              <w:rPr>
                <w:rFonts w:ascii="宋体" w:eastAsia="宋体" w:hAnsi="宋体" w:cs="宋体"/>
                <w:bCs/>
                <w:sz w:val="24"/>
              </w:rPr>
              <w:t>（3）发表3篇高水平研究性论文，申请2项发明专利；</w:t>
            </w:r>
          </w:p>
          <w:p>
            <w:pPr>
              <w:wordWrap w:val="0"/>
              <w:spacing w:line="240" w:lineRule="exact"/>
              <w:rPr>
                <w:rFonts w:ascii="宋体" w:eastAsia="宋体" w:hAnsi="宋体" w:cs="宋体"/>
                <w:bCs/>
                <w:sz w:val="24"/>
              </w:rPr>
            </w:pPr>
            <w:r>
              <w:rPr>
                <w:rFonts w:ascii="宋体" w:eastAsia="宋体" w:hAnsi="宋体" w:cs="宋体"/>
                <w:bCs/>
                <w:sz w:val="24"/>
              </w:rPr>
              <w:t>（4）培养研究生3名。</w:t>
            </w:r>
          </w:p>
        </w:tc>
        <w:tc>
          <w:tcPr>
            <w:tcW w:w="2410" w:type="dxa"/>
            <w:tcBorders>
              <w:top w:val="single" w:sz="4" w:space="0" w:color="auto"/>
              <w:left w:val="single" w:sz="4" w:space="0" w:color="auto"/>
              <w:bottom w:val="single" w:sz="4" w:space="0" w:color="auto"/>
              <w:right w:val="single" w:sz="4" w:space="0" w:color="auto"/>
            </w:tcBorders>
            <w:vAlign w:val="center"/>
          </w:tcPr>
          <w:p w14:paraId="591A1797">
            <w:pPr>
              <w:wordWrap w:val="0"/>
              <w:spacing w:line="240" w:lineRule="exact"/>
              <w:rPr>
                <w:rFonts w:ascii="宋体" w:eastAsia="宋体" w:hAnsi="宋体" w:cs="宋体"/>
                <w:bCs/>
                <w:sz w:val="24"/>
              </w:rPr>
            </w:pPr>
            <w:r>
              <w:rPr>
                <w:rFonts w:ascii="宋体" w:eastAsia="宋体" w:hAnsi="宋体" w:cs="宋体"/>
                <w:bCs/>
                <w:sz w:val="24"/>
              </w:rPr>
              <w:t>（1）完成具有二维纳米流体通道MXene/M-Zr-MOF电催化膜构筑及表征，优化制备条件；</w:t>
            </w:r>
          </w:p>
          <w:p>
            <w:pPr>
              <w:wordWrap w:val="0"/>
              <w:spacing w:line="240" w:lineRule="exact"/>
              <w:rPr>
                <w:rFonts w:ascii="宋体" w:eastAsia="宋体" w:hAnsi="宋体" w:cs="宋体"/>
                <w:bCs/>
                <w:sz w:val="24"/>
              </w:rPr>
            </w:pPr>
            <w:r>
              <w:rPr>
                <w:rFonts w:ascii="宋体" w:eastAsia="宋体" w:hAnsi="宋体" w:cs="宋体"/>
                <w:bCs/>
                <w:sz w:val="24"/>
              </w:rPr>
              <w:t>（2）预计申请1项MXene/M-Zr-MOF电催化膜构筑及选择性去除重金属相关的发明专利。</w:t>
            </w:r>
          </w:p>
        </w:tc>
        <w:tc>
          <w:tcPr>
            <w:tcW w:w="2126" w:type="dxa"/>
            <w:tcBorders>
              <w:top w:val="single" w:sz="4" w:space="0" w:color="auto"/>
              <w:left w:val="single" w:sz="4" w:space="0" w:color="auto"/>
              <w:bottom w:val="single" w:sz="4" w:space="0" w:color="auto"/>
              <w:right w:val="single" w:sz="4" w:space="0" w:color="auto"/>
            </w:tcBorders>
            <w:vAlign w:val="center"/>
          </w:tcPr>
          <w:p w14:paraId="5907DC49">
            <w:pPr>
              <w:wordWrap w:val="0"/>
              <w:spacing w:line="240" w:lineRule="exact"/>
              <w:rPr>
                <w:rFonts w:ascii="宋体" w:eastAsia="宋体" w:hAnsi="宋体" w:cs="宋体"/>
                <w:bCs/>
                <w:sz w:val="24"/>
              </w:rPr>
            </w:pPr>
            <w:r>
              <w:rPr>
                <w:rFonts w:ascii="宋体" w:eastAsia="宋体" w:hAnsi="宋体" w:cs="宋体"/>
                <w:bCs/>
                <w:sz w:val="24"/>
              </w:rPr>
              <w:t>（1）完成MXene/M-Zr-MOF电催化膜微观结构调控策略解析；</w:t>
            </w:r>
          </w:p>
          <w:p>
            <w:pPr>
              <w:wordWrap w:val="0"/>
              <w:spacing w:line="240" w:lineRule="exact"/>
              <w:rPr>
                <w:rFonts w:ascii="宋体" w:eastAsia="宋体" w:hAnsi="宋体" w:cs="宋体"/>
                <w:bCs/>
                <w:sz w:val="24"/>
              </w:rPr>
            </w:pPr>
            <w:r>
              <w:rPr>
                <w:rFonts w:ascii="宋体" w:eastAsia="宋体" w:hAnsi="宋体" w:cs="宋体"/>
                <w:bCs/>
                <w:sz w:val="24"/>
              </w:rPr>
              <w:t>（2）完成MXene/M-Zr-MOF电催化膜过滤装置搭建与工艺优化；</w:t>
            </w:r>
          </w:p>
          <w:p>
            <w:pPr>
              <w:wordWrap w:val="0"/>
              <w:spacing w:line="240" w:lineRule="exact"/>
              <w:rPr>
                <w:rFonts w:ascii="宋体" w:eastAsia="宋体" w:hAnsi="宋体" w:cs="宋体"/>
                <w:bCs/>
                <w:sz w:val="24"/>
              </w:rPr>
            </w:pPr>
            <w:r>
              <w:rPr>
                <w:rFonts w:ascii="宋体" w:eastAsia="宋体" w:hAnsi="宋体" w:cs="宋体"/>
                <w:bCs/>
                <w:sz w:val="24"/>
              </w:rPr>
              <w:t>（3）完成电催化膜系统去除和回收重金属效能以及MXene/M-Zr-MOF电催化膜微观结构与吸附-催化性能间的构效关系解析；</w:t>
            </w:r>
          </w:p>
          <w:p>
            <w:pPr>
              <w:wordWrap w:val="0"/>
              <w:spacing w:line="240" w:lineRule="exact"/>
              <w:rPr>
                <w:rFonts w:ascii="宋体" w:eastAsia="宋体" w:hAnsi="宋体" w:cs="宋体"/>
                <w:bCs/>
                <w:sz w:val="24"/>
              </w:rPr>
            </w:pPr>
            <w:r>
              <w:rPr>
                <w:rFonts w:ascii="宋体" w:eastAsia="宋体" w:hAnsi="宋体" w:cs="宋体"/>
                <w:bCs/>
                <w:sz w:val="24"/>
              </w:rPr>
              <w:t>（4）预计申请1项电催化膜系统高效电催化还原重金属离子和重金属有机络合物，回收重金属单质相关的发明专利；发表2篇关于MXene/M-Zr-MOF选择性吸附-电催化去除和回收复杂废水环境中重金属的研究性论文。</w:t>
            </w:r>
          </w:p>
        </w:tc>
        <w:tc>
          <w:tcPr>
            <w:tcW w:w="2182" w:type="dxa"/>
            <w:tcBorders>
              <w:top w:val="single" w:sz="4" w:space="0" w:color="auto"/>
              <w:left w:val="single" w:sz="4" w:space="0" w:color="auto"/>
              <w:bottom w:val="single" w:sz="4" w:space="0" w:color="auto"/>
              <w:right w:val="single" w:sz="4" w:space="0" w:color="auto"/>
            </w:tcBorders>
            <w:vAlign w:val="center"/>
          </w:tcPr>
          <w:p w14:paraId="1D9AD3F5">
            <w:pPr>
              <w:wordWrap w:val="0"/>
              <w:spacing w:line="240" w:lineRule="exact"/>
              <w:rPr>
                <w:rFonts w:ascii="宋体" w:eastAsia="宋体" w:hAnsi="宋体" w:cs="宋体"/>
                <w:bCs/>
                <w:sz w:val="24"/>
              </w:rPr>
            </w:pPr>
            <w:r>
              <w:rPr>
                <w:rFonts w:ascii="宋体" w:eastAsia="宋体" w:hAnsi="宋体" w:cs="宋体"/>
                <w:bCs/>
                <w:sz w:val="24"/>
              </w:rPr>
              <w:t>（1）完成电催化膜微界面电子转移机理以及金属和MXene间的相互作用机制解析；</w:t>
            </w:r>
          </w:p>
          <w:p>
            <w:pPr>
              <w:wordWrap w:val="0"/>
              <w:spacing w:line="240" w:lineRule="exact"/>
              <w:rPr>
                <w:rFonts w:ascii="宋体" w:eastAsia="宋体" w:hAnsi="宋体" w:cs="宋体"/>
                <w:bCs/>
                <w:sz w:val="24"/>
              </w:rPr>
            </w:pPr>
            <w:r>
              <w:rPr>
                <w:rFonts w:ascii="宋体" w:eastAsia="宋体" w:hAnsi="宋体" w:cs="宋体"/>
                <w:bCs/>
                <w:sz w:val="24"/>
              </w:rPr>
              <w:t>（2）分析复杂环境体系及不同膜工艺操作条件下催化膜通量的变化规律，解析其抗污染特性与再生策略；</w:t>
            </w:r>
          </w:p>
          <w:p>
            <w:pPr>
              <w:wordWrap w:val="0"/>
              <w:spacing w:line="240" w:lineRule="exact"/>
              <w:rPr>
                <w:rFonts w:ascii="宋体" w:eastAsia="宋体" w:hAnsi="宋体" w:cs="宋体"/>
                <w:bCs/>
                <w:sz w:val="24"/>
              </w:rPr>
            </w:pPr>
            <w:r>
              <w:rPr>
                <w:rFonts w:ascii="宋体" w:eastAsia="宋体" w:hAnsi="宋体" w:cs="宋体"/>
                <w:bCs/>
                <w:sz w:val="24"/>
              </w:rPr>
              <w:t>（3）完成长周期运行过程中重金属的回收效能及电催化膜的结构特征变化分析；</w:t>
            </w:r>
          </w:p>
          <w:p>
            <w:pPr>
              <w:wordWrap w:val="0"/>
              <w:spacing w:line="240" w:lineRule="exact"/>
              <w:rPr>
                <w:rFonts w:ascii="宋体" w:eastAsia="宋体" w:hAnsi="宋体" w:cs="宋体"/>
                <w:bCs/>
                <w:sz w:val="24"/>
              </w:rPr>
            </w:pPr>
            <w:r>
              <w:rPr>
                <w:rFonts w:ascii="宋体" w:eastAsia="宋体" w:hAnsi="宋体" w:cs="宋体"/>
                <w:bCs/>
                <w:sz w:val="24"/>
              </w:rPr>
              <w:t>（4）预计发表1篇关于电催化膜过滤系统吸附-电催化协同强化复杂环境中污染物去除和资源化回收的研究论文，撰写结题报告，完成项目验收。</w:t>
            </w:r>
          </w:p>
        </w:tc>
      </w:tr>
      <w:tr w14:paraId="774A2E1F">
        <w:tblPrEx>
          <w:tblW w:w="15762" w:type="dxa"/>
          <w:jc w:val="center"/>
          <w:tblLayout w:type="fixed"/>
          <w:tblCellMar>
            <w:top w:w="0" w:type="dxa"/>
            <w:left w:w="108" w:type="dxa"/>
            <w:bottom w:w="0" w:type="dxa"/>
            <w:right w:w="108" w:type="dxa"/>
          </w:tblCellMar>
        </w:tblPrEx>
        <w:trPr>
          <w:trHeight w:hRule="exact" w:val="874"/>
          <w:jc w:val="center"/>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4E3909EB">
            <w:pPr>
              <w:wordWrap w:val="0"/>
              <w:spacing w:line="320" w:lineRule="exact"/>
              <w:jc w:val="center"/>
              <w:rPr>
                <w:bCs/>
                <w:sz w:val="24"/>
              </w:rPr>
            </w:pPr>
            <w:r>
              <w:rPr>
                <w:rFonts w:hint="eastAsia"/>
                <w:bCs/>
                <w:sz w:val="24"/>
              </w:rPr>
              <w:t>绩效</w:t>
            </w:r>
          </w:p>
          <w:p w14:paraId="7D3E6B7D">
            <w:pPr>
              <w:wordWrap w:val="0"/>
              <w:spacing w:line="320" w:lineRule="exact"/>
              <w:jc w:val="center"/>
              <w:rPr>
                <w:bCs/>
                <w:sz w:val="24"/>
              </w:rPr>
            </w:pPr>
            <w:r>
              <w:rPr>
                <w:rFonts w:hint="eastAsia"/>
                <w:bCs/>
                <w:sz w:val="24"/>
              </w:rPr>
              <w:t>指标</w:t>
            </w:r>
          </w:p>
        </w:tc>
        <w:tc>
          <w:tcPr>
            <w:tcW w:w="5647" w:type="dxa"/>
            <w:tcBorders>
              <w:top w:val="single" w:sz="4" w:space="0" w:color="auto"/>
              <w:left w:val="single" w:sz="4" w:space="0" w:color="auto"/>
              <w:bottom w:val="single" w:sz="4" w:space="0" w:color="auto"/>
              <w:right w:val="single" w:sz="4" w:space="0" w:color="auto"/>
            </w:tcBorders>
            <w:vAlign w:val="center"/>
          </w:tcPr>
          <w:p w14:paraId="5EAE828F">
            <w:pPr>
              <w:wordWrap w:val="0"/>
              <w:spacing w:line="320" w:lineRule="exact"/>
              <w:jc w:val="center"/>
              <w:rPr>
                <w:bCs/>
                <w:sz w:val="24"/>
              </w:rPr>
            </w:pPr>
            <w:r>
              <w:rPr>
                <w:rFonts w:hint="eastAsia"/>
                <w:bCs/>
                <w:sz w:val="24"/>
              </w:rPr>
              <w:t>指标名称</w:t>
            </w:r>
          </w:p>
        </w:tc>
        <w:tc>
          <w:tcPr>
            <w:tcW w:w="2463" w:type="dxa"/>
            <w:tcBorders>
              <w:top w:val="single" w:sz="4" w:space="0" w:color="auto"/>
              <w:left w:val="single" w:sz="4" w:space="0" w:color="auto"/>
              <w:bottom w:val="single" w:sz="4" w:space="0" w:color="auto"/>
              <w:right w:val="single" w:sz="4" w:space="0" w:color="auto"/>
            </w:tcBorders>
            <w:vAlign w:val="center"/>
          </w:tcPr>
          <w:p w14:paraId="67D3945E">
            <w:pPr>
              <w:wordWrap w:val="0"/>
              <w:spacing w:line="320" w:lineRule="exact"/>
              <w:jc w:val="center"/>
              <w:rPr>
                <w:bCs/>
                <w:sz w:val="24"/>
              </w:rPr>
            </w:pPr>
            <w:r>
              <w:rPr>
                <w:rFonts w:hint="eastAsia"/>
                <w:bCs/>
                <w:sz w:val="24"/>
              </w:rPr>
              <w:t>指标值</w:t>
            </w:r>
          </w:p>
        </w:tc>
        <w:tc>
          <w:tcPr>
            <w:tcW w:w="2410" w:type="dxa"/>
            <w:tcBorders>
              <w:top w:val="single" w:sz="4" w:space="0" w:color="auto"/>
              <w:left w:val="single" w:sz="4" w:space="0" w:color="auto"/>
              <w:bottom w:val="single" w:sz="4" w:space="0" w:color="auto"/>
              <w:right w:val="single" w:sz="4" w:space="0" w:color="auto"/>
            </w:tcBorders>
            <w:vAlign w:val="center"/>
          </w:tcPr>
          <w:p w14:paraId="3AEFD3FC">
            <w:pPr>
              <w:wordWrap w:val="0"/>
              <w:spacing w:line="240" w:lineRule="exact"/>
              <w:jc w:val="center"/>
              <w:rPr>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DA42B5D">
            <w:pPr>
              <w:wordWrap w:val="0"/>
              <w:spacing w:line="240" w:lineRule="exact"/>
              <w:jc w:val="center"/>
              <w:rPr>
                <w:bCs/>
                <w:sz w:val="24"/>
              </w:rPr>
            </w:pPr>
          </w:p>
        </w:tc>
        <w:tc>
          <w:tcPr>
            <w:tcW w:w="2182" w:type="dxa"/>
            <w:tcBorders>
              <w:top w:val="single" w:sz="4" w:space="0" w:color="auto"/>
              <w:left w:val="single" w:sz="4" w:space="0" w:color="auto"/>
              <w:bottom w:val="single" w:sz="4" w:space="0" w:color="auto"/>
              <w:right w:val="single" w:sz="4" w:space="0" w:color="auto"/>
            </w:tcBorders>
            <w:vAlign w:val="center"/>
          </w:tcPr>
          <w:p w14:paraId="3E2046D5">
            <w:pPr>
              <w:wordWrap w:val="0"/>
              <w:spacing w:line="240" w:lineRule="exact"/>
              <w:jc w:val="center"/>
              <w:rPr>
                <w:bCs/>
                <w:sz w:val="24"/>
              </w:rPr>
            </w:pP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14:paraId="73D845CF">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14:paraId="4AFAFB6D">
            <w:pPr>
              <w:wordWrap w:val="0"/>
              <w:spacing w:line="240" w:lineRule="exact"/>
              <w:rPr>
                <w:rFonts w:ascii="宋体" w:eastAsia="宋体" w:hAnsi="宋体" w:cs="宋体"/>
                <w:bCs/>
                <w:sz w:val="24"/>
              </w:rPr>
            </w:pPr>
            <w:r>
              <w:rPr>
                <w:rFonts w:ascii="宋体" w:eastAsia="宋体" w:hAnsi="宋体" w:cs="宋体"/>
                <w:bCs/>
                <w:sz w:val="24"/>
              </w:rPr>
              <w:t>申请发明专利（件）</w:t>
            </w:r>
          </w:p>
        </w:tc>
        <w:tc>
          <w:tcPr>
            <w:tcW w:w="2463" w:type="dxa"/>
            <w:tcBorders>
              <w:top w:val="single" w:sz="4" w:space="0" w:color="auto"/>
              <w:left w:val="single" w:sz="4" w:space="0" w:color="auto"/>
              <w:bottom w:val="single" w:sz="4" w:space="0" w:color="auto"/>
              <w:right w:val="single" w:sz="4" w:space="0" w:color="auto"/>
            </w:tcBorders>
            <w:vAlign w:val="center"/>
          </w:tcPr>
          <w:p w14:paraId="198C6DBA">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410" w:type="dxa"/>
            <w:tcBorders>
              <w:top w:val="single" w:sz="4" w:space="0" w:color="auto"/>
              <w:left w:val="single" w:sz="4" w:space="0" w:color="auto"/>
              <w:bottom w:val="single" w:sz="4" w:space="0" w:color="auto"/>
              <w:right w:val="single" w:sz="4" w:space="0" w:color="auto"/>
            </w:tcBorders>
            <w:vAlign w:val="center"/>
          </w:tcPr>
          <w:p w14:paraId="3B5A25FA">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14:paraId="0C6FC483">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14:paraId="36D27D27">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发表科技论文（篇）</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培养研究生（人）</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r>
    </w:tbl>
    <w:p w14:paraId="6B46F39B">
      <w:pPr>
        <w:wordWrap w:val="0"/>
        <w:spacing w:line="100" w:lineRule="exact"/>
        <w:jc w:val="center"/>
        <w:rPr>
          <w:sz w:val="32"/>
          <w:szCs w:val="32"/>
        </w:rPr>
      </w:pPr>
      <w:r>
        <w:rPr>
          <w:rFonts w:hint="eastAsia"/>
          <w:sz w:val="32"/>
          <w:szCs w:val="32"/>
        </w:rPr>
        <w:t xml:space="preserve"> </w:t>
      </w:r>
      <w:r>
        <w:rPr>
          <w:sz w:val="32"/>
          <w:szCs w:val="32"/>
        </w:rPr>
        <w:t xml:space="preserve">  </w:t>
      </w:r>
      <w:bookmarkStart w:id="178" w:name="rlyczy"/>
      <w:bookmarkEnd w:id="178"/>
      <w:r>
        <w:rPr>
          <w:sz w:val="32"/>
          <w:szCs w:val="32"/>
        </w:rPr>
        <w:t xml:space="preserve">  </w:t>
      </w:r>
      <w:bookmarkStart w:id="179" w:name="rlyczyfyf"/>
      <w:r>
        <w:rPr>
          <w:sz w:val="32"/>
          <w:szCs w:val="32"/>
        </w:rPr>
        <w:br w:type="page"/>
      </w:r>
      <w:bookmarkEnd w:id="179"/>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180" w:name="yes"/>
      <w:r w:rsidRPr="00A37D73">
        <w:rPr>
          <w:rFonts w:ascii="Wingdings 2" w:hAnsi="Wingdings 2" w:eastAsiaTheme="minorEastAsia" w:cs="宋体"/>
          <w:b/>
          <w:color w:val="000000"/>
          <w:sz w:val="24"/>
          <w:szCs w:val="24"/>
        </w:rPr>
        <w:sym w:font="Wingdings 2" w:char="F0A3"/>
      </w:r>
      <w:bookmarkEnd w:id="180"/>
      <w:r w:rsidRPr="00A37D73">
        <w:rPr>
          <w:rFonts w:asciiTheme="minorEastAsia" w:eastAsiaTheme="minorEastAsia" w:hAnsiTheme="minorEastAsia" w:cs="宋体" w:hint="eastAsia"/>
          <w:b/>
          <w:kern w:val="2"/>
          <w:sz w:val="24"/>
          <w:szCs w:val="24"/>
        </w:rPr>
        <w:t xml:space="preserve">是   </w:t>
      </w:r>
      <w:bookmarkStart w:id="181" w:name="no"/>
      <w:r w:rsidRPr="00A37D73">
        <w:rPr>
          <w:rFonts w:ascii="Wingdings 2" w:eastAsia="Wingdings 2" w:hAnsi="Wingdings 2" w:cs="Wingdings 2" w:hint="eastAsia"/>
          <w:b/>
          <w:kern w:val="2"/>
          <w:sz w:val="24"/>
          <w:szCs w:val="24"/>
        </w:rPr>
        <w:t>R</w:t>
      </w:r>
      <w:bookmarkEnd w:id="181"/>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182" w:name="title_0"/>
      <w:bookmarkEnd w:id="182"/>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83" w:name="ycjx"/>
            <w:r w:rsidRPr="001716E5">
              <w:rPr>
                <w:rFonts w:ascii="Wingdings 2" w:hAnsi="Wingdings 2" w:eastAsiaTheme="minorEastAsia" w:cs="宋体"/>
                <w:color w:val="000000"/>
                <w:sz w:val="21"/>
                <w:szCs w:val="21"/>
              </w:rPr>
              <w:sym w:font="Wingdings 2" w:char="F0A3"/>
            </w:r>
            <w:bookmarkEnd w:id="183"/>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84" w:name="tqryzy"/>
            <w:r w:rsidRPr="001716E5">
              <w:rPr>
                <w:rFonts w:ascii="Wingdings 2" w:hAnsi="Wingdings 2" w:eastAsiaTheme="minorEastAsia" w:cs="宋体"/>
                <w:color w:val="000000"/>
                <w:sz w:val="21"/>
                <w:szCs w:val="21"/>
              </w:rPr>
              <w:sym w:font="Wingdings 2" w:char="F0A3"/>
            </w:r>
            <w:bookmarkEnd w:id="184"/>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85" w:name="gdrs"/>
            <w:r w:rsidRPr="001716E5">
              <w:rPr>
                <w:rFonts w:ascii="Wingdings 2" w:hAnsi="Wingdings 2" w:eastAsiaTheme="minorEastAsia" w:cs="宋体"/>
                <w:color w:val="000000"/>
                <w:sz w:val="21"/>
                <w:szCs w:val="21"/>
              </w:rPr>
              <w:sym w:font="Wingdings 2" w:char="F0A3"/>
            </w:r>
            <w:bookmarkEnd w:id="185"/>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86" w:name="hjb"/>
            <w:r w:rsidRPr="001716E5">
              <w:rPr>
                <w:rFonts w:ascii="Wingdings 2" w:hAnsi="Wingdings 2" w:eastAsiaTheme="minorEastAsia" w:cs="宋体"/>
                <w:color w:val="000000"/>
                <w:sz w:val="21"/>
                <w:szCs w:val="21"/>
              </w:rPr>
              <w:sym w:font="Wingdings 2" w:char="F0A3"/>
            </w:r>
            <w:bookmarkEnd w:id="186"/>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87" w:name="tsqt"/>
            <w:r w:rsidRPr="001716E5">
              <w:rPr>
                <w:rFonts w:ascii="Wingdings 2" w:hAnsi="Wingdings 2" w:eastAsiaTheme="minorEastAsia" w:cs="宋体"/>
                <w:color w:val="000000"/>
                <w:sz w:val="21"/>
                <w:szCs w:val="21"/>
              </w:rPr>
              <w:sym w:font="Wingdings 2" w:char="F0A3"/>
            </w:r>
            <w:bookmarkEnd w:id="187"/>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188" w:name="cjZl"/>
            <w:bookmarkEnd w:id="188"/>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189" w:name="cjSl"/>
            <w:bookmarkEnd w:id="189"/>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190" w:name="cjXmmc"/>
            <w:bookmarkEnd w:id="190"/>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191" w:name="cjdwmc"/>
            <w:bookmarkEnd w:id="191"/>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192" w:name="cjPzbasj"/>
            <w:bookmarkEnd w:id="192"/>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193" w:name="cjYczyjg"/>
            <w:bookmarkEnd w:id="193"/>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194" w:name="cjBz"/>
            <w:bookmarkEnd w:id="194"/>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195" w:name="bcDd"/>
            <w:bookmarkEnd w:id="19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196" w:name="bcSs"/>
            <w:bookmarkEnd w:id="19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197" w:name="bcPt"/>
            <w:bookmarkEnd w:id="19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198" w:name="bcZl"/>
            <w:bookmarkEnd w:id="19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199" w:name="bcSl"/>
            <w:bookmarkEnd w:id="19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200" w:name="bcXmmc"/>
            <w:bookmarkEnd w:id="200"/>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201" w:name="bcDwmc"/>
            <w:bookmarkEnd w:id="201"/>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202" w:name="bcPzbasj"/>
            <w:bookmarkEnd w:id="202"/>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203" w:name="bcYczyjg"/>
            <w:bookmarkEnd w:id="203"/>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204" w:name="bcBz"/>
            <w:bookmarkEnd w:id="204"/>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205" w:name="kfhd2"/>
            <w:r w:rsidRPr="001716E5">
              <w:rPr>
                <w:rFonts w:ascii="Wingdings 2" w:hAnsi="Wingdings 2" w:eastAsiaTheme="minorEastAsia" w:cs="宋体"/>
                <w:color w:val="000000"/>
                <w:sz w:val="21"/>
                <w:szCs w:val="21"/>
              </w:rPr>
              <w:sym w:font="Wingdings 2" w:char="F0A3"/>
            </w:r>
            <w:bookmarkEnd w:id="205"/>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206" w:name="lcsy2"/>
            <w:r w:rsidRPr="001716E5">
              <w:rPr>
                <w:rFonts w:ascii="Wingdings 2" w:hAnsi="Wingdings 2" w:eastAsiaTheme="minorEastAsia" w:cs="宋体"/>
                <w:color w:val="000000"/>
                <w:sz w:val="21"/>
                <w:szCs w:val="21"/>
              </w:rPr>
              <w:sym w:font="Wingdings 2" w:char="F0A3"/>
            </w:r>
            <w:bookmarkEnd w:id="206"/>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207" w:name="lyZl"/>
            <w:bookmarkEnd w:id="20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208" w:name="lySl"/>
            <w:bookmarkEnd w:id="20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209" w:name="lyXmmc"/>
            <w:bookmarkEnd w:id="209"/>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210" w:name="lyDwmc"/>
            <w:bookmarkEnd w:id="210"/>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211" w:name="lyPzbasj"/>
            <w:bookmarkEnd w:id="211"/>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212" w:name="lyYczyjg"/>
            <w:bookmarkEnd w:id="212"/>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213" w:name="lyBz"/>
            <w:bookmarkEnd w:id="213"/>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214" w:name="kfhd1"/>
            <w:r w:rsidRPr="001716E5">
              <w:rPr>
                <w:rFonts w:ascii="Wingdings 2" w:hAnsi="Wingdings 2" w:eastAsiaTheme="minorEastAsia" w:cs="宋体"/>
                <w:color w:val="000000"/>
                <w:sz w:val="21"/>
                <w:szCs w:val="21"/>
              </w:rPr>
              <w:sym w:font="Wingdings 2" w:char="F0A3"/>
            </w:r>
            <w:bookmarkEnd w:id="214"/>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215" w:name="lcsy1"/>
            <w:r w:rsidRPr="001716E5">
              <w:rPr>
                <w:rFonts w:ascii="Wingdings 2" w:hAnsi="Wingdings 2" w:eastAsiaTheme="minorEastAsia" w:cs="宋体"/>
                <w:color w:val="000000"/>
                <w:sz w:val="21"/>
                <w:szCs w:val="21"/>
              </w:rPr>
              <w:sym w:font="Wingdings 2" w:char="F0A3"/>
            </w:r>
            <w:bookmarkEnd w:id="215"/>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216" w:name="gjhzxzxkZl"/>
            <w:bookmarkEnd w:id="21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217" w:name="gjhzxzxkSl"/>
            <w:bookmarkEnd w:id="21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218" w:name="gjhzxzxkXmmc"/>
            <w:bookmarkEnd w:id="218"/>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219" w:name="gjhzxzxkDwmc"/>
            <w:bookmarkEnd w:id="219"/>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220" w:name="gjhzxzxkPzbasj"/>
            <w:bookmarkEnd w:id="220"/>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221" w:name="gjhzxzxkYczyjg"/>
            <w:bookmarkEnd w:id="221"/>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222" w:name="gjhzxzxkBz"/>
            <w:bookmarkEnd w:id="222"/>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223" w:name="kfhd"/>
            <w:r w:rsidRPr="001716E5">
              <w:rPr>
                <w:rFonts w:ascii="Wingdings 2" w:hAnsi="Wingdings 2" w:eastAsiaTheme="minorEastAsia" w:cs="宋体"/>
                <w:color w:val="000000"/>
                <w:sz w:val="21"/>
                <w:szCs w:val="21"/>
              </w:rPr>
              <w:sym w:font="Wingdings 2" w:char="F0A3"/>
            </w:r>
            <w:bookmarkEnd w:id="223"/>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224" w:name="lcsy"/>
            <w:r w:rsidRPr="001716E5">
              <w:rPr>
                <w:rFonts w:ascii="Wingdings 2" w:hAnsi="Wingdings 2" w:eastAsiaTheme="minorEastAsia" w:cs="宋体"/>
                <w:color w:val="000000"/>
                <w:sz w:val="21"/>
                <w:szCs w:val="21"/>
              </w:rPr>
              <w:sym w:font="Wingdings 2" w:char="F0A3"/>
            </w:r>
            <w:bookmarkEnd w:id="224"/>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225" w:name="gjhzbaZl"/>
            <w:bookmarkEnd w:id="22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226" w:name="gjhzbaSl"/>
            <w:bookmarkEnd w:id="22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227" w:name="gjhzbaXmmc"/>
            <w:bookmarkEnd w:id="227"/>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228" w:name="gjhzbaDwmc"/>
            <w:bookmarkEnd w:id="228"/>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229" w:name="gjhzbaPzbasj"/>
            <w:bookmarkEnd w:id="229"/>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230" w:name="gjhzbaYczyjg"/>
            <w:bookmarkEnd w:id="230"/>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231" w:name="gjhzbaBz"/>
            <w:bookmarkEnd w:id="231"/>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232" w:name="chujHzf"/>
            <w:bookmarkEnd w:id="23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233" w:name="chujYt"/>
            <w:bookmarkEnd w:id="2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234" w:name="chujZl"/>
            <w:bookmarkEnd w:id="23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235" w:name="chujSl"/>
            <w:bookmarkEnd w:id="23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236" w:name="chujXmmc"/>
            <w:bookmarkEnd w:id="236"/>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237" w:name="chujDwmc"/>
            <w:bookmarkEnd w:id="237"/>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238" w:name="chujPzbasj"/>
            <w:bookmarkEnd w:id="238"/>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239" w:name="chujYczyjg"/>
            <w:bookmarkEnd w:id="239"/>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240" w:name="chujBz"/>
            <w:bookmarkEnd w:id="240"/>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241" w:name="xxsyWfdwmc"/>
            <w:bookmarkEnd w:id="24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242" w:name="xxsyYjmd"/>
            <w:bookmarkEnd w:id="24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243" w:name="xxsyLy"/>
            <w:bookmarkEnd w:id="24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244" w:name="xxsyZl"/>
            <w:bookmarkEnd w:id="24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245" w:name="xxsySl"/>
            <w:bookmarkEnd w:id="24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246" w:name="xxsyXmmc"/>
            <w:bookmarkEnd w:id="246"/>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247" w:name="xxsyDwmc"/>
            <w:bookmarkEnd w:id="247"/>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248" w:name="xxsyPzbasj"/>
            <w:bookmarkEnd w:id="248"/>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249" w:name="xxsyYczyjg"/>
            <w:bookmarkEnd w:id="249"/>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250" w:name="xxsyBz"/>
            <w:bookmarkEnd w:id="250"/>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sectPr>
          <w:headerReference w:type="even" r:id="rId20"/>
          <w:headerReference w:type="default" r:id="rId21"/>
          <w:footerReference w:type="even" r:id="rId22"/>
          <w:footerReference w:type="default" r:id="rId23"/>
          <w:headerReference w:type="first" r:id="rId24"/>
          <w:footerReference w:type="first" r:id="rId25"/>
          <w:pgSz w:w="16838" w:h="11906" w:orient="landscape"/>
          <w:pgMar w:top="1418" w:right="1418" w:bottom="1418" w:left="1418" w:header="851" w:footer="851" w:gutter="0"/>
          <w:cols w:num="1" w:space="425"/>
          <w:docGrid w:linePitch="381" w:charSpace="0"/>
        </w:sect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p w14:paraId="1BFC60B2">
      <w:pPr>
        <w:wordWrap w:val="0"/>
        <w:spacing w:line="360" w:lineRule="auto"/>
        <w:jc w:val="center"/>
        <w:rPr>
          <w:b/>
          <w:szCs w:val="28"/>
        </w:rPr>
      </w:pPr>
      <w:r>
        <w:rPr>
          <w:rFonts w:hint="eastAsia"/>
          <w:b/>
          <w:szCs w:val="28"/>
        </w:rPr>
        <w:t>指南要求符合申报条件的附件信息</w:t>
      </w:r>
    </w:p>
    <w:tbl>
      <w:tblPr>
        <w:tblStyle w:val="TableNormal"/>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64"/>
        <w:gridCol w:w="2835"/>
        <w:gridCol w:w="6998"/>
      </w:tblGrid>
      <w:tr w14:paraId="3DFAA77D">
        <w:tblPrEx>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597" w:type="dxa"/>
            <w:gridSpan w:val="3"/>
            <w:vAlign w:val="center"/>
          </w:tcPr>
          <w:p w14:paraId="3C1648FB">
            <w:pPr>
              <w:wordWrap w:val="0"/>
              <w:jc w:val="left"/>
              <w:rPr>
                <w:sz w:val="24"/>
              </w:rPr>
            </w:pPr>
            <w:r>
              <w:rPr>
                <w:rFonts w:hint="eastAsia"/>
                <w:sz w:val="24"/>
              </w:rPr>
              <w:t>附件目录：</w:t>
            </w:r>
          </w:p>
        </w:tc>
      </w:tr>
      <w:tr w14:paraId="70AA9D5D">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14:paraId="53F84C3D">
            <w:pPr>
              <w:wordWrap w:val="0"/>
              <w:jc w:val="center"/>
              <w:rPr>
                <w:sz w:val="24"/>
              </w:rPr>
            </w:pPr>
            <w:r>
              <w:rPr>
                <w:rFonts w:hint="eastAsia"/>
                <w:sz w:val="24"/>
              </w:rPr>
              <w:t>序号</w:t>
            </w:r>
          </w:p>
        </w:tc>
        <w:tc>
          <w:tcPr>
            <w:tcW w:w="2835" w:type="dxa"/>
            <w:vAlign w:val="center"/>
          </w:tcPr>
          <w:p w14:paraId="7791943A">
            <w:pPr>
              <w:wordWrap w:val="0"/>
              <w:jc w:val="center"/>
              <w:rPr>
                <w:sz w:val="24"/>
              </w:rPr>
            </w:pPr>
            <w:r>
              <w:rPr>
                <w:rFonts w:hint="eastAsia"/>
                <w:sz w:val="24"/>
              </w:rPr>
              <w:t>附件类型</w:t>
            </w:r>
          </w:p>
        </w:tc>
        <w:tc>
          <w:tcPr>
            <w:tcW w:w="6998" w:type="dxa"/>
            <w:vAlign w:val="center"/>
          </w:tcPr>
          <w:p w14:paraId="26F06DA2">
            <w:pPr>
              <w:wordWrap w:val="0"/>
              <w:jc w:val="center"/>
              <w:rPr>
                <w:sz w:val="24"/>
              </w:rPr>
            </w:pPr>
            <w:r>
              <w:rPr>
                <w:rFonts w:hint="eastAsia"/>
                <w:sz w:val="24"/>
              </w:rPr>
              <w:t>附件名称</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14:paraId="5C63FDDB">
            <w:pPr>
              <w:wordWrap w:val="0"/>
              <w:jc w:val="center"/>
              <w:rPr>
                <w:rFonts w:ascii="宋体" w:eastAsia="宋体" w:hAnsi="宋体" w:cs="宋体"/>
                <w:sz w:val="24"/>
              </w:rPr>
            </w:pPr>
            <w:r>
              <w:rPr>
                <w:rFonts w:ascii="宋体" w:eastAsia="宋体" w:hAnsi="宋体" w:cs="宋体"/>
                <w:sz w:val="24"/>
              </w:rPr>
              <w:t>1</w:t>
            </w:r>
          </w:p>
        </w:tc>
        <w:tc>
          <w:tcPr>
            <w:tcW w:w="2835" w:type="dxa"/>
            <w:vAlign w:val="center"/>
          </w:tcPr>
          <w:p w14:paraId="030EAB2E">
            <w:pPr>
              <w:wordWrap w:val="0"/>
              <w:jc w:val="left"/>
              <w:rPr>
                <w:rFonts w:ascii="宋体" w:eastAsia="宋体" w:hAnsi="宋体" w:cs="宋体"/>
                <w:sz w:val="24"/>
              </w:rPr>
            </w:pPr>
            <w:r>
              <w:rPr>
                <w:rFonts w:ascii="宋体" w:eastAsia="宋体" w:hAnsi="宋体" w:cs="宋体"/>
                <w:sz w:val="24"/>
              </w:rPr>
              <w:t>收录检索证明报告</w:t>
            </w:r>
          </w:p>
        </w:tc>
        <w:tc>
          <w:tcPr>
            <w:tcW w:w="6998" w:type="dxa"/>
            <w:vAlign w:val="center"/>
          </w:tcPr>
          <w:p w14:paraId="64C9B769">
            <w:pPr>
              <w:wordWrap w:val="0"/>
              <w:jc w:val="left"/>
              <w:rPr>
                <w:rFonts w:ascii="宋体" w:eastAsia="宋体" w:hAnsi="宋体" w:cs="宋体"/>
                <w:sz w:val="24"/>
              </w:rPr>
            </w:pPr>
            <w:r>
              <w:rPr>
                <w:rFonts w:ascii="宋体" w:eastAsia="宋体" w:hAnsi="宋体" w:cs="宋体"/>
                <w:sz w:val="24"/>
              </w:rPr>
              <w:t>论文收录及引用检索报告</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2</w:t>
            </w:r>
          </w:p>
        </w:tc>
        <w:tc>
          <w:tcPr>
            <w:tcW w:w="2835" w:type="dxa"/>
            <w:vAlign w:val="center"/>
          </w:tcPr>
          <w:p>
            <w:pPr>
              <w:wordWrap w:val="0"/>
              <w:jc w:val="left"/>
              <w:rPr>
                <w:rFonts w:ascii="宋体" w:eastAsia="宋体" w:hAnsi="宋体" w:cs="宋体"/>
                <w:sz w:val="24"/>
              </w:rPr>
            </w:pPr>
            <w:r>
              <w:rPr>
                <w:rFonts w:ascii="宋体" w:eastAsia="宋体" w:hAnsi="宋体" w:cs="宋体"/>
                <w:sz w:val="24"/>
              </w:rPr>
              <w:t>科技奖励证书</w:t>
            </w:r>
          </w:p>
        </w:tc>
        <w:tc>
          <w:tcPr>
            <w:tcW w:w="6998" w:type="dxa"/>
            <w:vAlign w:val="center"/>
          </w:tcPr>
          <w:p>
            <w:pPr>
              <w:wordWrap w:val="0"/>
              <w:jc w:val="left"/>
              <w:rPr>
                <w:rFonts w:ascii="宋体" w:eastAsia="宋体" w:hAnsi="宋体" w:cs="宋体"/>
                <w:sz w:val="24"/>
              </w:rPr>
            </w:pPr>
            <w:r>
              <w:rPr>
                <w:rFonts w:ascii="宋体" w:eastAsia="宋体" w:hAnsi="宋体" w:cs="宋体"/>
                <w:sz w:val="24"/>
              </w:rPr>
              <w:t>科技奖励证书</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3</w:t>
            </w:r>
          </w:p>
        </w:tc>
        <w:tc>
          <w:tcPr>
            <w:tcW w:w="2835" w:type="dxa"/>
            <w:vAlign w:val="center"/>
          </w:tcPr>
          <w:p>
            <w:pPr>
              <w:wordWrap w:val="0"/>
              <w:jc w:val="left"/>
              <w:rPr>
                <w:rFonts w:ascii="宋体" w:eastAsia="宋体" w:hAnsi="宋体" w:cs="宋体"/>
                <w:sz w:val="24"/>
              </w:rPr>
            </w:pPr>
            <w:r>
              <w:rPr>
                <w:rFonts w:ascii="宋体" w:eastAsia="宋体" w:hAnsi="宋体" w:cs="宋体"/>
                <w:sz w:val="24"/>
              </w:rPr>
              <w:t>申请人身份证</w:t>
            </w:r>
          </w:p>
        </w:tc>
        <w:tc>
          <w:tcPr>
            <w:tcW w:w="6998" w:type="dxa"/>
            <w:vAlign w:val="center"/>
          </w:tcPr>
          <w:p>
            <w:pPr>
              <w:wordWrap w:val="0"/>
              <w:jc w:val="left"/>
              <w:rPr>
                <w:rFonts w:ascii="宋体" w:eastAsia="宋体" w:hAnsi="宋体" w:cs="宋体"/>
                <w:sz w:val="24"/>
              </w:rPr>
            </w:pPr>
            <w:r>
              <w:rPr>
                <w:rFonts w:ascii="宋体" w:eastAsia="宋体" w:hAnsi="宋体" w:cs="宋体"/>
                <w:sz w:val="24"/>
              </w:rPr>
              <w:t>身份证</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4</w:t>
            </w:r>
          </w:p>
        </w:tc>
        <w:tc>
          <w:tcPr>
            <w:tcW w:w="2835" w:type="dxa"/>
            <w:vAlign w:val="center"/>
          </w:tcPr>
          <w:p>
            <w:pPr>
              <w:wordWrap w:val="0"/>
              <w:jc w:val="left"/>
              <w:rPr>
                <w:rFonts w:ascii="宋体" w:eastAsia="宋体" w:hAnsi="宋体" w:cs="宋体"/>
                <w:sz w:val="24"/>
              </w:rPr>
            </w:pPr>
            <w:r>
              <w:rPr>
                <w:rFonts w:ascii="宋体" w:eastAsia="宋体" w:hAnsi="宋体" w:cs="宋体"/>
                <w:sz w:val="24"/>
              </w:rPr>
              <w:t>学位证</w:t>
            </w:r>
          </w:p>
        </w:tc>
        <w:tc>
          <w:tcPr>
            <w:tcW w:w="6998" w:type="dxa"/>
            <w:vAlign w:val="center"/>
          </w:tcPr>
          <w:p>
            <w:pPr>
              <w:wordWrap w:val="0"/>
              <w:jc w:val="left"/>
              <w:rPr>
                <w:rFonts w:ascii="宋体" w:eastAsia="宋体" w:hAnsi="宋体" w:cs="宋体"/>
                <w:sz w:val="24"/>
              </w:rPr>
            </w:pPr>
            <w:r>
              <w:rPr>
                <w:rFonts w:ascii="宋体" w:eastAsia="宋体" w:hAnsi="宋体" w:cs="宋体"/>
                <w:sz w:val="24"/>
              </w:rPr>
              <w:t>学位证</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5</w:t>
            </w:r>
          </w:p>
        </w:tc>
        <w:tc>
          <w:tcPr>
            <w:tcW w:w="2835" w:type="dxa"/>
            <w:vAlign w:val="center"/>
          </w:tcPr>
          <w:p>
            <w:pPr>
              <w:wordWrap w:val="0"/>
              <w:jc w:val="left"/>
              <w:rPr>
                <w:rFonts w:ascii="宋体" w:eastAsia="宋体" w:hAnsi="宋体" w:cs="宋体"/>
                <w:sz w:val="24"/>
              </w:rPr>
            </w:pPr>
            <w:r>
              <w:rPr>
                <w:rFonts w:ascii="宋体" w:eastAsia="宋体" w:hAnsi="宋体" w:cs="宋体"/>
                <w:sz w:val="24"/>
              </w:rPr>
              <w:t>国家自然科学基金资助项目批准通知</w:t>
            </w:r>
          </w:p>
        </w:tc>
        <w:tc>
          <w:tcPr>
            <w:tcW w:w="6998" w:type="dxa"/>
            <w:vAlign w:val="center"/>
          </w:tcPr>
          <w:p>
            <w:pPr>
              <w:wordWrap w:val="0"/>
              <w:jc w:val="left"/>
              <w:rPr>
                <w:rFonts w:ascii="宋体" w:eastAsia="宋体" w:hAnsi="宋体" w:cs="宋体"/>
                <w:sz w:val="24"/>
              </w:rPr>
            </w:pPr>
            <w:r>
              <w:rPr>
                <w:rFonts w:ascii="宋体" w:eastAsia="宋体" w:hAnsi="宋体" w:cs="宋体"/>
                <w:sz w:val="24"/>
              </w:rPr>
              <w:t>青基批准通知书</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6</w:t>
            </w:r>
          </w:p>
        </w:tc>
        <w:tc>
          <w:tcPr>
            <w:tcW w:w="2835" w:type="dxa"/>
            <w:vAlign w:val="center"/>
          </w:tcPr>
          <w:p>
            <w:pPr>
              <w:wordWrap w:val="0"/>
              <w:jc w:val="left"/>
              <w:rPr>
                <w:rFonts w:ascii="宋体" w:eastAsia="宋体" w:hAnsi="宋体" w:cs="宋体"/>
                <w:sz w:val="24"/>
              </w:rPr>
            </w:pPr>
            <w:r>
              <w:rPr>
                <w:rFonts w:ascii="宋体" w:eastAsia="宋体" w:hAnsi="宋体" w:cs="宋体"/>
                <w:sz w:val="24"/>
              </w:rPr>
              <w:t>代表性学术论文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代表作1</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7</w:t>
            </w:r>
          </w:p>
        </w:tc>
        <w:tc>
          <w:tcPr>
            <w:tcW w:w="2835" w:type="dxa"/>
            <w:vAlign w:val="center"/>
          </w:tcPr>
          <w:p>
            <w:pPr>
              <w:wordWrap w:val="0"/>
              <w:jc w:val="left"/>
              <w:rPr>
                <w:rFonts w:ascii="宋体" w:eastAsia="宋体" w:hAnsi="宋体" w:cs="宋体"/>
                <w:sz w:val="24"/>
              </w:rPr>
            </w:pPr>
            <w:r>
              <w:rPr>
                <w:rFonts w:ascii="宋体" w:eastAsia="宋体" w:hAnsi="宋体" w:cs="宋体"/>
                <w:sz w:val="24"/>
              </w:rPr>
              <w:t>代表性学术论文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代表作2</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8</w:t>
            </w:r>
          </w:p>
        </w:tc>
        <w:tc>
          <w:tcPr>
            <w:tcW w:w="2835" w:type="dxa"/>
            <w:vAlign w:val="center"/>
          </w:tcPr>
          <w:p>
            <w:pPr>
              <w:wordWrap w:val="0"/>
              <w:jc w:val="left"/>
              <w:rPr>
                <w:rFonts w:ascii="宋体" w:eastAsia="宋体" w:hAnsi="宋体" w:cs="宋体"/>
                <w:sz w:val="24"/>
              </w:rPr>
            </w:pPr>
            <w:r>
              <w:rPr>
                <w:rFonts w:ascii="宋体" w:eastAsia="宋体" w:hAnsi="宋体" w:cs="宋体"/>
                <w:sz w:val="24"/>
              </w:rPr>
              <w:t>代表性学术论文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代表作3</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9</w:t>
            </w:r>
          </w:p>
        </w:tc>
        <w:tc>
          <w:tcPr>
            <w:tcW w:w="2835" w:type="dxa"/>
            <w:vAlign w:val="center"/>
          </w:tcPr>
          <w:p>
            <w:pPr>
              <w:wordWrap w:val="0"/>
              <w:jc w:val="left"/>
              <w:rPr>
                <w:rFonts w:ascii="宋体" w:eastAsia="宋体" w:hAnsi="宋体" w:cs="宋体"/>
                <w:sz w:val="24"/>
              </w:rPr>
            </w:pPr>
            <w:r>
              <w:rPr>
                <w:rFonts w:ascii="宋体" w:eastAsia="宋体" w:hAnsi="宋体" w:cs="宋体"/>
                <w:sz w:val="24"/>
              </w:rPr>
              <w:t>代表性学术论文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代表作4</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10</w:t>
            </w:r>
          </w:p>
        </w:tc>
        <w:tc>
          <w:tcPr>
            <w:tcW w:w="2835" w:type="dxa"/>
            <w:vAlign w:val="center"/>
          </w:tcPr>
          <w:p>
            <w:pPr>
              <w:wordWrap w:val="0"/>
              <w:jc w:val="left"/>
              <w:rPr>
                <w:rFonts w:ascii="宋体" w:eastAsia="宋体" w:hAnsi="宋体" w:cs="宋体"/>
                <w:sz w:val="24"/>
              </w:rPr>
            </w:pPr>
            <w:r>
              <w:rPr>
                <w:rFonts w:ascii="宋体" w:eastAsia="宋体" w:hAnsi="宋体" w:cs="宋体"/>
                <w:sz w:val="24"/>
              </w:rPr>
              <w:t>代表性学术论文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代表作5</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11</w:t>
            </w:r>
          </w:p>
        </w:tc>
        <w:tc>
          <w:tcPr>
            <w:tcW w:w="2835" w:type="dxa"/>
            <w:vAlign w:val="center"/>
          </w:tcPr>
          <w:p>
            <w:pPr>
              <w:wordWrap w:val="0"/>
              <w:jc w:val="left"/>
              <w:rPr>
                <w:rFonts w:ascii="宋体" w:eastAsia="宋体" w:hAnsi="宋体" w:cs="宋体"/>
                <w:sz w:val="24"/>
              </w:rPr>
            </w:pPr>
            <w:r>
              <w:rPr>
                <w:rFonts w:ascii="宋体" w:eastAsia="宋体" w:hAnsi="宋体" w:cs="宋体"/>
                <w:sz w:val="24"/>
              </w:rPr>
              <w:t>代表性学术论文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代表作6</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12</w:t>
            </w:r>
          </w:p>
        </w:tc>
        <w:tc>
          <w:tcPr>
            <w:tcW w:w="2835" w:type="dxa"/>
            <w:vAlign w:val="center"/>
          </w:tcPr>
          <w:p>
            <w:pPr>
              <w:wordWrap w:val="0"/>
              <w:jc w:val="left"/>
              <w:rPr>
                <w:rFonts w:ascii="宋体" w:eastAsia="宋体" w:hAnsi="宋体" w:cs="宋体"/>
                <w:sz w:val="24"/>
              </w:rPr>
            </w:pPr>
            <w:r>
              <w:rPr>
                <w:rFonts w:ascii="宋体" w:eastAsia="宋体" w:hAnsi="宋体" w:cs="宋体"/>
                <w:sz w:val="24"/>
              </w:rPr>
              <w:t>授权发明专利</w:t>
            </w:r>
          </w:p>
        </w:tc>
        <w:tc>
          <w:tcPr>
            <w:tcW w:w="6998" w:type="dxa"/>
            <w:vAlign w:val="center"/>
          </w:tcPr>
          <w:p>
            <w:pPr>
              <w:wordWrap w:val="0"/>
              <w:jc w:val="left"/>
              <w:rPr>
                <w:rFonts w:ascii="宋体" w:eastAsia="宋体" w:hAnsi="宋体" w:cs="宋体"/>
                <w:sz w:val="24"/>
              </w:rPr>
            </w:pPr>
            <w:r>
              <w:rPr>
                <w:rFonts w:ascii="宋体" w:eastAsia="宋体" w:hAnsi="宋体" w:cs="宋体"/>
                <w:sz w:val="24"/>
              </w:rPr>
              <w:t>专利1</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13</w:t>
            </w:r>
          </w:p>
        </w:tc>
        <w:tc>
          <w:tcPr>
            <w:tcW w:w="2835" w:type="dxa"/>
            <w:vAlign w:val="center"/>
          </w:tcPr>
          <w:p>
            <w:pPr>
              <w:wordWrap w:val="0"/>
              <w:jc w:val="left"/>
              <w:rPr>
                <w:rFonts w:ascii="宋体" w:eastAsia="宋体" w:hAnsi="宋体" w:cs="宋体"/>
                <w:sz w:val="24"/>
              </w:rPr>
            </w:pPr>
            <w:r>
              <w:rPr>
                <w:rFonts w:ascii="宋体" w:eastAsia="宋体" w:hAnsi="宋体" w:cs="宋体"/>
                <w:sz w:val="24"/>
              </w:rPr>
              <w:t>授权发明专利</w:t>
            </w:r>
          </w:p>
        </w:tc>
        <w:tc>
          <w:tcPr>
            <w:tcW w:w="6998" w:type="dxa"/>
            <w:vAlign w:val="center"/>
          </w:tcPr>
          <w:p>
            <w:pPr>
              <w:wordWrap w:val="0"/>
              <w:jc w:val="left"/>
              <w:rPr>
                <w:rFonts w:ascii="宋体" w:eastAsia="宋体" w:hAnsi="宋体" w:cs="宋体"/>
                <w:sz w:val="24"/>
              </w:rPr>
            </w:pPr>
            <w:r>
              <w:rPr>
                <w:rFonts w:ascii="宋体" w:eastAsia="宋体" w:hAnsi="宋体" w:cs="宋体"/>
                <w:sz w:val="24"/>
              </w:rPr>
              <w:t>专利2</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14</w:t>
            </w:r>
          </w:p>
        </w:tc>
        <w:tc>
          <w:tcPr>
            <w:tcW w:w="2835" w:type="dxa"/>
            <w:vAlign w:val="center"/>
          </w:tcPr>
          <w:p>
            <w:pPr>
              <w:wordWrap w:val="0"/>
              <w:jc w:val="left"/>
              <w:rPr>
                <w:rFonts w:ascii="宋体" w:eastAsia="宋体" w:hAnsi="宋体" w:cs="宋体"/>
                <w:sz w:val="24"/>
              </w:rPr>
            </w:pPr>
            <w:r>
              <w:rPr>
                <w:rFonts w:ascii="宋体" w:eastAsia="宋体" w:hAnsi="宋体" w:cs="宋体"/>
                <w:sz w:val="24"/>
              </w:rPr>
              <w:t>授权发明专利</w:t>
            </w:r>
          </w:p>
        </w:tc>
        <w:tc>
          <w:tcPr>
            <w:tcW w:w="6998" w:type="dxa"/>
            <w:vAlign w:val="center"/>
          </w:tcPr>
          <w:p>
            <w:pPr>
              <w:wordWrap w:val="0"/>
              <w:jc w:val="left"/>
              <w:rPr>
                <w:rFonts w:ascii="宋体" w:eastAsia="宋体" w:hAnsi="宋体" w:cs="宋体"/>
                <w:sz w:val="24"/>
              </w:rPr>
            </w:pPr>
            <w:r>
              <w:rPr>
                <w:rFonts w:ascii="宋体" w:eastAsia="宋体" w:hAnsi="宋体" w:cs="宋体"/>
                <w:sz w:val="24"/>
              </w:rPr>
              <w:t>专利3</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15</w:t>
            </w:r>
          </w:p>
        </w:tc>
        <w:tc>
          <w:tcPr>
            <w:tcW w:w="2835" w:type="dxa"/>
            <w:vAlign w:val="center"/>
          </w:tcPr>
          <w:p>
            <w:pPr>
              <w:wordWrap w:val="0"/>
              <w:jc w:val="left"/>
              <w:rPr>
                <w:rFonts w:ascii="宋体" w:eastAsia="宋体" w:hAnsi="宋体" w:cs="宋体"/>
                <w:sz w:val="24"/>
              </w:rPr>
            </w:pPr>
            <w:r>
              <w:rPr>
                <w:rFonts w:ascii="宋体" w:eastAsia="宋体" w:hAnsi="宋体" w:cs="宋体"/>
                <w:sz w:val="24"/>
              </w:rPr>
              <w:t>授权发明专利</w:t>
            </w:r>
          </w:p>
        </w:tc>
        <w:tc>
          <w:tcPr>
            <w:tcW w:w="6998" w:type="dxa"/>
            <w:vAlign w:val="center"/>
          </w:tcPr>
          <w:p>
            <w:pPr>
              <w:wordWrap w:val="0"/>
              <w:jc w:val="left"/>
              <w:rPr>
                <w:rFonts w:ascii="宋体" w:eastAsia="宋体" w:hAnsi="宋体" w:cs="宋体"/>
                <w:sz w:val="24"/>
              </w:rPr>
            </w:pPr>
            <w:r>
              <w:rPr>
                <w:rFonts w:ascii="宋体" w:eastAsia="宋体" w:hAnsi="宋体" w:cs="宋体"/>
                <w:sz w:val="24"/>
              </w:rPr>
              <w:t>专利4</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16</w:t>
            </w:r>
          </w:p>
        </w:tc>
        <w:tc>
          <w:tcPr>
            <w:tcW w:w="2835" w:type="dxa"/>
            <w:vAlign w:val="center"/>
          </w:tcPr>
          <w:p>
            <w:pPr>
              <w:wordWrap w:val="0"/>
              <w:jc w:val="left"/>
              <w:rPr>
                <w:rFonts w:ascii="宋体" w:eastAsia="宋体" w:hAnsi="宋体" w:cs="宋体"/>
                <w:sz w:val="24"/>
              </w:rPr>
            </w:pPr>
            <w:r>
              <w:rPr>
                <w:rFonts w:ascii="宋体" w:eastAsia="宋体" w:hAnsi="宋体" w:cs="宋体"/>
                <w:sz w:val="24"/>
              </w:rPr>
              <w:t>授权发明专利</w:t>
            </w:r>
          </w:p>
        </w:tc>
        <w:tc>
          <w:tcPr>
            <w:tcW w:w="6998" w:type="dxa"/>
            <w:vAlign w:val="center"/>
          </w:tcPr>
          <w:p>
            <w:pPr>
              <w:wordWrap w:val="0"/>
              <w:jc w:val="left"/>
              <w:rPr>
                <w:rFonts w:ascii="宋体" w:eastAsia="宋体" w:hAnsi="宋体" w:cs="宋体"/>
                <w:sz w:val="24"/>
              </w:rPr>
            </w:pPr>
            <w:r>
              <w:rPr>
                <w:rFonts w:ascii="宋体" w:eastAsia="宋体" w:hAnsi="宋体" w:cs="宋体"/>
                <w:sz w:val="24"/>
              </w:rPr>
              <w:t>专利5</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17</w:t>
            </w:r>
          </w:p>
        </w:tc>
        <w:tc>
          <w:tcPr>
            <w:tcW w:w="2835" w:type="dxa"/>
            <w:vAlign w:val="center"/>
          </w:tcPr>
          <w:p>
            <w:pPr>
              <w:wordWrap w:val="0"/>
              <w:jc w:val="left"/>
              <w:rPr>
                <w:rFonts w:ascii="宋体" w:eastAsia="宋体" w:hAnsi="宋体" w:cs="宋体"/>
                <w:sz w:val="24"/>
              </w:rPr>
            </w:pPr>
            <w:r>
              <w:rPr>
                <w:rFonts w:ascii="宋体" w:eastAsia="宋体" w:hAnsi="宋体" w:cs="宋体"/>
                <w:sz w:val="24"/>
              </w:rPr>
              <w:t>授权发明专利</w:t>
            </w:r>
          </w:p>
        </w:tc>
        <w:tc>
          <w:tcPr>
            <w:tcW w:w="6998" w:type="dxa"/>
            <w:vAlign w:val="center"/>
          </w:tcPr>
          <w:p>
            <w:pPr>
              <w:wordWrap w:val="0"/>
              <w:jc w:val="left"/>
              <w:rPr>
                <w:rFonts w:ascii="宋体" w:eastAsia="宋体" w:hAnsi="宋体" w:cs="宋体"/>
                <w:sz w:val="24"/>
              </w:rPr>
            </w:pPr>
            <w:r>
              <w:rPr>
                <w:rFonts w:ascii="宋体" w:eastAsia="宋体" w:hAnsi="宋体" w:cs="宋体"/>
                <w:sz w:val="24"/>
              </w:rPr>
              <w:t>专利6</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18</w:t>
            </w:r>
          </w:p>
        </w:tc>
        <w:tc>
          <w:tcPr>
            <w:tcW w:w="2835" w:type="dxa"/>
            <w:vAlign w:val="center"/>
          </w:tcPr>
          <w:p>
            <w:pPr>
              <w:wordWrap w:val="0"/>
              <w:jc w:val="left"/>
              <w:rPr>
                <w:rFonts w:ascii="宋体" w:eastAsia="宋体" w:hAnsi="宋体" w:cs="宋体"/>
                <w:sz w:val="24"/>
              </w:rPr>
            </w:pPr>
            <w:r>
              <w:rPr>
                <w:rFonts w:ascii="宋体" w:eastAsia="宋体" w:hAnsi="宋体" w:cs="宋体"/>
                <w:sz w:val="24"/>
              </w:rPr>
              <w:t>承担横向（内部）项目情况</w:t>
            </w:r>
          </w:p>
        </w:tc>
        <w:tc>
          <w:tcPr>
            <w:tcW w:w="6998" w:type="dxa"/>
            <w:vAlign w:val="center"/>
          </w:tcPr>
          <w:p>
            <w:pPr>
              <w:wordWrap w:val="0"/>
              <w:jc w:val="left"/>
              <w:rPr>
                <w:rFonts w:ascii="宋体" w:eastAsia="宋体" w:hAnsi="宋体" w:cs="宋体"/>
                <w:sz w:val="24"/>
              </w:rPr>
            </w:pPr>
            <w:r>
              <w:rPr>
                <w:rFonts w:ascii="宋体" w:eastAsia="宋体" w:hAnsi="宋体" w:cs="宋体"/>
                <w:sz w:val="24"/>
              </w:rPr>
              <w:t>横向证明</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19</w:t>
            </w:r>
          </w:p>
        </w:tc>
        <w:tc>
          <w:tcPr>
            <w:tcW w:w="2835" w:type="dxa"/>
            <w:vAlign w:val="center"/>
          </w:tcPr>
          <w:p>
            <w:pPr>
              <w:wordWrap w:val="0"/>
              <w:jc w:val="left"/>
              <w:rPr>
                <w:rFonts w:ascii="宋体" w:eastAsia="宋体" w:hAnsi="宋体" w:cs="宋体"/>
                <w:sz w:val="24"/>
              </w:rPr>
            </w:pPr>
            <w:r>
              <w:rPr>
                <w:rFonts w:ascii="宋体" w:eastAsia="宋体" w:hAnsi="宋体" w:cs="宋体"/>
                <w:sz w:val="24"/>
              </w:rPr>
              <w:t>承担横向（内部）项目情况</w:t>
            </w:r>
          </w:p>
        </w:tc>
        <w:tc>
          <w:tcPr>
            <w:tcW w:w="6998" w:type="dxa"/>
            <w:vAlign w:val="center"/>
          </w:tcPr>
          <w:p>
            <w:pPr>
              <w:wordWrap w:val="0"/>
              <w:jc w:val="left"/>
              <w:rPr>
                <w:rFonts w:ascii="宋体" w:eastAsia="宋体" w:hAnsi="宋体" w:cs="宋体"/>
                <w:sz w:val="24"/>
              </w:rPr>
            </w:pPr>
            <w:r>
              <w:rPr>
                <w:rFonts w:ascii="宋体" w:eastAsia="宋体" w:hAnsi="宋体" w:cs="宋体"/>
                <w:sz w:val="24"/>
              </w:rPr>
              <w:t>横向证明</w:t>
            </w:r>
          </w:p>
        </w:tc>
      </w:tr>
    </w:tbl>
    <w:p w14:paraId="2F22B872">
      <w:pPr>
        <w:wordWrap w:val="0"/>
        <w:rPr>
          <w:sz w:val="10"/>
          <w:szCs w:val="10"/>
        </w:rPr>
      </w:pPr>
    </w:p>
    <w:sectPr>
      <w:footerReference w:type="default" r:id="rId26"/>
      <w:pgSz w:w="11906" w:h="16838"/>
      <w:pgMar w:top="1418" w:right="1418" w:bottom="1418" w:left="1418" w:header="851" w:footer="851" w:gutter="0"/>
      <w:cols w:num="1" w:space="425"/>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AGaramond">
    <w:altName w:val="宋体"/>
    <w:panose1 w:val="00000000000000000000"/>
    <w:charset w:val="86"/>
    <w:family w:val="roman"/>
    <w:pitch w:val="default"/>
    <w:sig w:usb0="00000000" w:usb1="00000000" w:usb2="0000001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200101FF" w:csb1="20280000"/>
  </w:font>
  <w:font w:name="SimSun">
    <w:panose1 w:val="02010600030101010101"/>
    <w:charset w:val="86"/>
    <w:family w:val="auto"/>
    <w:pitch w:val="default"/>
    <w:sig w:usb0="00000203" w:usb1="288F0000" w:usb2="00000006" w:usb3="00000000" w:csb0="00040001" w:csb1="00000000"/>
  </w:font>
  <w:font w:name="SimHei">
    <w:panose1 w:val="02010609060101010101"/>
    <w:charset w:val="86"/>
    <w:family w:val="auto"/>
    <w:pitch w:val="default"/>
    <w:sig w:usb0="800002BF" w:usb1="38CF7CFA" w:usb2="00000016" w:usb3="00000000" w:csb0="00040001" w:csb1="00000000"/>
  </w:font>
  <w:font w:name="KaiTi">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E8DFB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67EF8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15E31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55A56C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4CDA1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81259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530D47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BA9BAB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396C09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072A22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A0B3C9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2C2040D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B7352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057F3D5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931F5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1BE00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326F1D0D">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02478B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DC01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395B2D1">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37D591F">
    <w:pPr>
      <w:pStyle w:val="Header"/>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AADE1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5D4E0F">
    <w:pPr>
      <w:pStyle w:val="Header"/>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4506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4FC8D85"/>
    <w:multiLevelType w:val="singleLevel"/>
    <w:tmpl w:val="84FC8D85"/>
    <w:lvl w:ilvl="0">
      <w:start w:val="1"/>
      <w:numFmt w:val="decimal"/>
      <w:suff w:val="nothing"/>
      <w:lvlText w:val="（%1）"/>
      <w:lvlJc w:val="left"/>
    </w:lvl>
  </w:abstractNum>
  <w:abstractNum w:abstractNumId="1">
    <w:nsid w:val="BEA23ADA"/>
    <w:multiLevelType w:val="singleLevel"/>
    <w:tmpl w:val="BEA23ADA"/>
    <w:lvl w:ilvl="0">
      <w:start w:val="1"/>
      <w:numFmt w:val="decimal"/>
      <w:suff w:val="nothing"/>
      <w:lvlText w:val="（%1）"/>
      <w:lvlJc w:val="left"/>
    </w:lvl>
  </w:abstractNum>
  <w:abstractNum w:abstractNumId="2">
    <w:nsid w:val="C4138BE0"/>
    <w:multiLevelType w:val="singleLevel"/>
    <w:tmpl w:val="C4138BE0"/>
    <w:lvl w:ilvl="0">
      <w:start w:val="1"/>
      <w:numFmt w:val="decimal"/>
      <w:suff w:val="nothing"/>
      <w:lvlText w:val="（%1）"/>
      <w:lvlJc w:val="left"/>
      <w:rPr>
        <w:rFonts w:ascii="KaiTi" w:eastAsia="KaiTi" w:hAnsi="KaiTi" w:cs="KaiTi" w:hint="default"/>
        <w:b w:val="0"/>
        <w:bCs w:val="0"/>
      </w:rPr>
    </w:lvl>
  </w:abstractNum>
  <w:abstractNum w:abstractNumId="3">
    <w:nsid w:val="C7AC1709"/>
    <w:multiLevelType w:val="singleLevel"/>
    <w:tmpl w:val="C7AC1709"/>
    <w:lvl w:ilvl="0">
      <w:start w:val="1"/>
      <w:numFmt w:val="decimal"/>
      <w:suff w:val="nothing"/>
      <w:lvlText w:val="%1）"/>
      <w:lvlJc w:val="left"/>
    </w:lvl>
  </w:abstractNum>
  <w:abstractNum w:abstractNumId="4">
    <w:nsid w:val="D45934C7"/>
    <w:multiLevelType w:val="singleLevel"/>
    <w:tmpl w:val="D45934C7"/>
    <w:lvl w:ilvl="0">
      <w:start w:val="1"/>
      <w:numFmt w:val="decimal"/>
      <w:suff w:val="nothing"/>
      <w:lvlText w:val="%1）"/>
      <w:lvlJc w:val="left"/>
    </w:lvl>
  </w:abstractNum>
  <w:abstractNum w:abstractNumId="5">
    <w:nsid w:val="FCD06859"/>
    <w:multiLevelType w:val="singleLevel"/>
    <w:tmpl w:val="FCD06859"/>
    <w:lvl w:ilvl="0">
      <w:start w:val="1"/>
      <w:numFmt w:val="decimal"/>
      <w:suff w:val="space"/>
      <w:lvlText w:val="%1."/>
      <w:lvlJc w:val="left"/>
    </w:lvl>
  </w:abstractNum>
  <w:abstractNum w:abstractNumId="6">
    <w:nsid w:val="FF456887"/>
    <w:multiLevelType w:val="singleLevel"/>
    <w:tmpl w:val="FF456887"/>
    <w:lvl w:ilvl="0">
      <w:start w:val="1"/>
      <w:numFmt w:val="decimal"/>
      <w:suff w:val="nothing"/>
      <w:lvlText w:val="（%1）"/>
      <w:lvlJc w:val="left"/>
    </w:lvl>
  </w:abstractNum>
  <w:abstractNum w:abstractNumId="7">
    <w:nsid w:val="FF558EA6"/>
    <w:multiLevelType w:val="singleLevel"/>
    <w:tmpl w:val="FF558EA6"/>
    <w:lvl w:ilvl="0">
      <w:start w:val="1"/>
      <w:numFmt w:val="decimal"/>
      <w:suff w:val="space"/>
      <w:lvlText w:val="[%1]"/>
      <w:lvlJc w:val="left"/>
    </w:lvl>
  </w:abstractNum>
  <w:abstractNum w:abstractNumId="8">
    <w:nsid w:val="298D87D4"/>
    <w:multiLevelType w:val="singleLevel"/>
    <w:tmpl w:val="298D87D4"/>
    <w:lvl w:ilvl="0">
      <w:start w:val="1"/>
      <w:numFmt w:val="decimal"/>
      <w:suff w:val="nothing"/>
      <w:lvlText w:val="（%1）"/>
      <w:lvlJc w:val="left"/>
    </w:lvl>
  </w:abstractNum>
  <w:abstractNum w:abstractNumId="9">
    <w:nsid w:val="38DFE711"/>
    <w:multiLevelType w:val="singleLevel"/>
    <w:tmpl w:val="38DFE711"/>
    <w:lvl w:ilvl="0">
      <w:start w:val="1"/>
      <w:numFmt w:val="decimal"/>
      <w:suff w:val="nothing"/>
      <w:lvlText w:val="（%1）"/>
      <w:lvlJc w:val="left"/>
      <w:rPr>
        <w:rFonts w:hint="default"/>
        <w:b/>
        <w:bCs/>
      </w:rPr>
    </w:lvl>
  </w:abstractNum>
  <w:abstractNum w:abstractNumId="10">
    <w:nsid w:val="7B73E7F9"/>
    <w:multiLevelType w:val="singleLevel"/>
    <w:tmpl w:val="7B73E7F9"/>
    <w:lvl w:ilvl="0">
      <w:start w:val="1"/>
      <w:numFmt w:val="decimal"/>
      <w:suff w:val="nothing"/>
      <w:lvlText w:val="（%1）"/>
      <w:lvlJc w:val="left"/>
    </w:lvl>
  </w:abstractNum>
  <w:num w:numId="1">
    <w:abstractNumId w:val="7"/>
  </w:num>
  <w:num w:numId="2">
    <w:abstractNumId w:val="9"/>
  </w:num>
  <w:num w:numId="3">
    <w:abstractNumId w:val="2"/>
  </w:num>
  <w:num w:numId="4">
    <w:abstractNumId w:val="0"/>
  </w:num>
  <w:num w:numId="5">
    <w:abstractNumId w:val="6"/>
  </w:num>
  <w:num w:numId="6">
    <w:abstractNumId w:val="10"/>
  </w:num>
  <w:num w:numId="7">
    <w:abstractNumId w:val="3"/>
  </w:num>
  <w:num w:numId="8">
    <w:abstractNumId w:val="4"/>
  </w:num>
  <w:num w:numId="9">
    <w:abstractNumId w:val="8"/>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0ED"/>
    <w:rsid w:val="00000B01"/>
    <w:rsid w:val="000068C9"/>
    <w:rsid w:val="00007412"/>
    <w:rsid w:val="00007CED"/>
    <w:rsid w:val="00043706"/>
    <w:rsid w:val="00043D29"/>
    <w:rsid w:val="00067D2E"/>
    <w:rsid w:val="00067F0B"/>
    <w:rsid w:val="00086EC4"/>
    <w:rsid w:val="000B3E37"/>
    <w:rsid w:val="000B7959"/>
    <w:rsid w:val="000D7110"/>
    <w:rsid w:val="00104961"/>
    <w:rsid w:val="00112FBD"/>
    <w:rsid w:val="00147059"/>
    <w:rsid w:val="001716E5"/>
    <w:rsid w:val="001954A7"/>
    <w:rsid w:val="00197F4B"/>
    <w:rsid w:val="001C0BEF"/>
    <w:rsid w:val="001D461A"/>
    <w:rsid w:val="00210D36"/>
    <w:rsid w:val="00272A6C"/>
    <w:rsid w:val="00280FBB"/>
    <w:rsid w:val="00281E00"/>
    <w:rsid w:val="002904FE"/>
    <w:rsid w:val="002966AF"/>
    <w:rsid w:val="00297380"/>
    <w:rsid w:val="002C2E68"/>
    <w:rsid w:val="00342F3C"/>
    <w:rsid w:val="003515DB"/>
    <w:rsid w:val="003820BD"/>
    <w:rsid w:val="00382757"/>
    <w:rsid w:val="0038349C"/>
    <w:rsid w:val="003A29AB"/>
    <w:rsid w:val="003B20ED"/>
    <w:rsid w:val="003B2D19"/>
    <w:rsid w:val="003D1531"/>
    <w:rsid w:val="003E2C04"/>
    <w:rsid w:val="003F0277"/>
    <w:rsid w:val="0040206C"/>
    <w:rsid w:val="00404983"/>
    <w:rsid w:val="00411E8E"/>
    <w:rsid w:val="00416041"/>
    <w:rsid w:val="004353CC"/>
    <w:rsid w:val="004358AB"/>
    <w:rsid w:val="00454473"/>
    <w:rsid w:val="00456A81"/>
    <w:rsid w:val="00490050"/>
    <w:rsid w:val="00497001"/>
    <w:rsid w:val="004F3019"/>
    <w:rsid w:val="004F70A8"/>
    <w:rsid w:val="004F7560"/>
    <w:rsid w:val="00522B0F"/>
    <w:rsid w:val="00532443"/>
    <w:rsid w:val="00542989"/>
    <w:rsid w:val="0056127C"/>
    <w:rsid w:val="005712FA"/>
    <w:rsid w:val="005817C1"/>
    <w:rsid w:val="00594A6B"/>
    <w:rsid w:val="005E21CD"/>
    <w:rsid w:val="005E493B"/>
    <w:rsid w:val="005E533D"/>
    <w:rsid w:val="005F02F9"/>
    <w:rsid w:val="005F1CEE"/>
    <w:rsid w:val="0061006E"/>
    <w:rsid w:val="00612F97"/>
    <w:rsid w:val="0063152D"/>
    <w:rsid w:val="0065630A"/>
    <w:rsid w:val="00665FE2"/>
    <w:rsid w:val="00690002"/>
    <w:rsid w:val="006A4E79"/>
    <w:rsid w:val="006B0E7D"/>
    <w:rsid w:val="006E4890"/>
    <w:rsid w:val="006F2C7C"/>
    <w:rsid w:val="007052C0"/>
    <w:rsid w:val="0070788B"/>
    <w:rsid w:val="0071198C"/>
    <w:rsid w:val="00713A3E"/>
    <w:rsid w:val="00733827"/>
    <w:rsid w:val="00747D39"/>
    <w:rsid w:val="00752ABD"/>
    <w:rsid w:val="00777AFC"/>
    <w:rsid w:val="0078120B"/>
    <w:rsid w:val="00793889"/>
    <w:rsid w:val="007A42BF"/>
    <w:rsid w:val="007B31BD"/>
    <w:rsid w:val="007C0E47"/>
    <w:rsid w:val="007D2E29"/>
    <w:rsid w:val="007E4259"/>
    <w:rsid w:val="00805A11"/>
    <w:rsid w:val="00813CCF"/>
    <w:rsid w:val="008360E4"/>
    <w:rsid w:val="00846E79"/>
    <w:rsid w:val="00851942"/>
    <w:rsid w:val="008544E1"/>
    <w:rsid w:val="008E1279"/>
    <w:rsid w:val="008E2115"/>
    <w:rsid w:val="00917AFE"/>
    <w:rsid w:val="00920831"/>
    <w:rsid w:val="00946437"/>
    <w:rsid w:val="0094763A"/>
    <w:rsid w:val="0095464A"/>
    <w:rsid w:val="00954738"/>
    <w:rsid w:val="00981489"/>
    <w:rsid w:val="0098322D"/>
    <w:rsid w:val="009A6373"/>
    <w:rsid w:val="00A01EE2"/>
    <w:rsid w:val="00A0773E"/>
    <w:rsid w:val="00A36A51"/>
    <w:rsid w:val="00A37D73"/>
    <w:rsid w:val="00A40289"/>
    <w:rsid w:val="00A5235D"/>
    <w:rsid w:val="00A77B69"/>
    <w:rsid w:val="00AA5B5D"/>
    <w:rsid w:val="00AA5BFC"/>
    <w:rsid w:val="00AD4FC8"/>
    <w:rsid w:val="00AF629B"/>
    <w:rsid w:val="00B06DB0"/>
    <w:rsid w:val="00B16397"/>
    <w:rsid w:val="00B2000D"/>
    <w:rsid w:val="00B248DD"/>
    <w:rsid w:val="00B42B8A"/>
    <w:rsid w:val="00B72ED9"/>
    <w:rsid w:val="00BA1B4F"/>
    <w:rsid w:val="00BC2844"/>
    <w:rsid w:val="00BD159C"/>
    <w:rsid w:val="00BF33AC"/>
    <w:rsid w:val="00BF477D"/>
    <w:rsid w:val="00C158DB"/>
    <w:rsid w:val="00C34BBD"/>
    <w:rsid w:val="00C4359C"/>
    <w:rsid w:val="00C74B64"/>
    <w:rsid w:val="00C93591"/>
    <w:rsid w:val="00C950D4"/>
    <w:rsid w:val="00CA49A8"/>
    <w:rsid w:val="00CA7C1D"/>
    <w:rsid w:val="00CD0D2D"/>
    <w:rsid w:val="00CE1EE6"/>
    <w:rsid w:val="00CE4299"/>
    <w:rsid w:val="00CF6210"/>
    <w:rsid w:val="00CF7E33"/>
    <w:rsid w:val="00D079A0"/>
    <w:rsid w:val="00D23BDB"/>
    <w:rsid w:val="00D8297E"/>
    <w:rsid w:val="00D8534A"/>
    <w:rsid w:val="00D97318"/>
    <w:rsid w:val="00DA7C44"/>
    <w:rsid w:val="00DD5DBB"/>
    <w:rsid w:val="00E0524B"/>
    <w:rsid w:val="00E07015"/>
    <w:rsid w:val="00E116D5"/>
    <w:rsid w:val="00E15418"/>
    <w:rsid w:val="00E31967"/>
    <w:rsid w:val="00E43DFD"/>
    <w:rsid w:val="00E52611"/>
    <w:rsid w:val="00E7326B"/>
    <w:rsid w:val="00EA0BA9"/>
    <w:rsid w:val="00EA2AF3"/>
    <w:rsid w:val="00EB2146"/>
    <w:rsid w:val="00EB60C3"/>
    <w:rsid w:val="00F30DF2"/>
    <w:rsid w:val="00F33DFC"/>
    <w:rsid w:val="00F37F38"/>
    <w:rsid w:val="00F5179E"/>
    <w:rsid w:val="00F65904"/>
    <w:rsid w:val="00F71695"/>
    <w:rsid w:val="00F840F1"/>
    <w:rsid w:val="00F84B43"/>
    <w:rsid w:val="00FA43AA"/>
    <w:rsid w:val="00FB4B9D"/>
    <w:rsid w:val="00FB7A8D"/>
    <w:rsid w:val="00FC0C5B"/>
    <w:rsid w:val="00FC6491"/>
    <w:rsid w:val="68AD602C"/>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uiPriority="0"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uiPriority="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8"/>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a1"/>
    <w:semiHidden/>
    <w:pPr>
      <w:spacing w:after="120"/>
    </w:p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spacing w:before="100" w:beforeAutospacing="1" w:after="100" w:afterAutospacing="1"/>
      <w:jc w:val="left"/>
    </w:pPr>
    <w:rPr>
      <w:kern w:val="0"/>
      <w:sz w:val="24"/>
      <w:szCs w:val="20"/>
    </w:rPr>
  </w:style>
  <w:style w:type="character" w:styleId="PageNumber">
    <w:name w:val="page number"/>
    <w:basedOn w:val="DefaultParagraphFont"/>
    <w:semiHidden/>
    <w:qFormat/>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正文文本 字符"/>
    <w:basedOn w:val="DefaultParagraphFont"/>
    <w:link w:val="BodyText"/>
    <w:semiHidden/>
    <w:qFormat/>
    <w:rPr>
      <w:rFonts w:ascii="Times New Roman" w:eastAsia="宋体" w:hAnsi="Times New Roman" w:cs="Times New Roman"/>
      <w:sz w:val="28"/>
      <w:szCs w:val="24"/>
    </w:rPr>
  </w:style>
  <w:style w:type="character" w:customStyle="1" w:styleId="fontstyle01">
    <w:name w:val="fontstyle01"/>
    <w:qFormat/>
    <w:rPr>
      <w:rFonts w:ascii="宋体" w:eastAsia="宋体" w:hAnsi="宋体" w:hint="eastAsia"/>
      <w:color w:val="000000"/>
      <w:sz w:val="24"/>
      <w:szCs w:val="24"/>
    </w:rPr>
  </w:style>
  <w:style w:type="paragraph" w:customStyle="1" w:styleId="Default">
    <w:name w:val="Default"/>
    <w:unhideWhenUsed/>
    <w:qFormat/>
    <w:pPr>
      <w:widowControl w:val="0"/>
      <w:autoSpaceDE w:val="0"/>
      <w:autoSpaceDN w:val="0"/>
      <w:adjustRightInd w:val="0"/>
    </w:pPr>
    <w:rPr>
      <w:rFonts w:ascii="AGaramond" w:eastAsia="AGaramond" w:hAnsi="AGaramond" w:cs="Times New Roman" w:hint="eastAsia"/>
      <w:color w:val="000000"/>
      <w:kern w:val="0"/>
      <w:sz w:val="24"/>
      <w:szCs w:val="20"/>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header" Target="header2.xml" /><Relationship Id="rId15" Type="http://schemas.openxmlformats.org/officeDocument/2006/relationships/header" Target="header3.xml" /><Relationship Id="rId16" Type="http://schemas.openxmlformats.org/officeDocument/2006/relationships/footer" Target="footer4.xml" /><Relationship Id="rId17" Type="http://schemas.openxmlformats.org/officeDocument/2006/relationships/footer" Target="footer5.xml" /><Relationship Id="rId18" Type="http://schemas.openxmlformats.org/officeDocument/2006/relationships/header" Target="header4.xml" /><Relationship Id="rId19" Type="http://schemas.openxmlformats.org/officeDocument/2006/relationships/footer" Target="footer6.xml" /><Relationship Id="rId2" Type="http://schemas.openxmlformats.org/officeDocument/2006/relationships/webSettings" Target="webSettings.xml" /><Relationship Id="rId20" Type="http://schemas.openxmlformats.org/officeDocument/2006/relationships/header" Target="header5.xml" /><Relationship Id="rId21" Type="http://schemas.openxmlformats.org/officeDocument/2006/relationships/header" Target="header6.xml" /><Relationship Id="rId22" Type="http://schemas.openxmlformats.org/officeDocument/2006/relationships/footer" Target="footer7.xml" /><Relationship Id="rId23" Type="http://schemas.openxmlformats.org/officeDocument/2006/relationships/footer" Target="footer8.xml" /><Relationship Id="rId24" Type="http://schemas.openxmlformats.org/officeDocument/2006/relationships/header" Target="header7.xml" /><Relationship Id="rId25" Type="http://schemas.openxmlformats.org/officeDocument/2006/relationships/footer" Target="footer9.xml" /><Relationship Id="rId26" Type="http://schemas.openxmlformats.org/officeDocument/2006/relationships/footer" Target="footer10.xml" /><Relationship Id="rId27" Type="http://schemas.openxmlformats.org/officeDocument/2006/relationships/theme" Target="theme/theme1.xml" /><Relationship Id="rId28" Type="http://schemas.openxmlformats.org/officeDocument/2006/relationships/numbering" Target="numbering.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jpe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8C9AB-5DCC-47F9-BA63-7261B7DEBFD6}">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12</Pages>
  <Words>2447</Words>
  <Characters>2498</Characters>
  <Application>Microsoft Office Word</Application>
  <DocSecurity>0</DocSecurity>
  <Lines>22</Lines>
  <Paragraphs>6</Paragraphs>
  <ScaleCrop>false</ScaleCrop>
  <Company/>
  <LinksUpToDate>false</LinksUpToDate>
  <CharactersWithSpaces>2605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Administrator</cp:lastModifiedBy>
  <cp:revision>121</cp:revision>
  <dcterms:created xsi:type="dcterms:W3CDTF">2020-02-17T03:25:00Z</dcterms:created>
  <dcterms:modified xsi:type="dcterms:W3CDTF">2025-03-05T09:28:59Z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0085AA1FE0E64D01AD16F80060BFAEF9_12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