
<file path=[Content_Types].xml><?xml version="1.0" encoding="utf-8"?>
<Types xmlns="http://schemas.openxmlformats.org/package/2006/content-types">
  <Default Extension="emf" ContentType="image/x-emf"/>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media/image6.tif" ContentType="image/tif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14:paraId="139A95DE">
      <w:pPr>
        <w:wordWrap w:val="0"/>
        <w:jc w:val="left"/>
        <w:rPr>
          <w:szCs w:val="28"/>
        </w:rPr>
      </w:pPr>
      <w:bookmarkStart w:id="0" w:name="_GoBack"/>
      <w:bookmarkEnd w:id="0"/>
    </w:p>
    <w:p w14:paraId="2C741F92">
      <w:pPr>
        <w:wordWrap w:val="0"/>
        <w:jc w:val="right"/>
        <w:rPr>
          <w:sz w:val="24"/>
        </w:rPr>
      </w:pPr>
    </w:p>
    <w:p w14:paraId="7DEBE72C">
      <w:pPr>
        <w:wordWrap w:val="0"/>
        <w:jc w:val="right"/>
        <w:rPr>
          <w:sz w:val="24"/>
        </w:rPr>
      </w:pPr>
    </w:p>
    <w:p w14:paraId="5E107998">
      <w:pPr>
        <w:wordWrap w:val="0"/>
        <w:jc w:val="right"/>
        <w:rPr>
          <w:sz w:val="24"/>
        </w:rPr>
      </w:pPr>
    </w:p>
    <w:p w14:paraId="3915AABD">
      <w:pPr>
        <w:wordWrap w:val="0"/>
        <w:jc w:val="center"/>
        <w:rPr>
          <w:b/>
          <w:bCs/>
          <w:sz w:val="48"/>
        </w:rPr>
      </w:pPr>
    </w:p>
    <w:p w14:paraId="0F43EB6E">
      <w:pPr>
        <w:wordWrap w:val="0"/>
        <w:jc w:val="center"/>
        <w:rPr>
          <w:rFonts w:ascii="宋体" w:eastAsia="宋体" w:hAnsi="宋体" w:cs="宋体"/>
          <w:b/>
          <w:bCs/>
          <w:sz w:val="48"/>
        </w:rPr>
      </w:pPr>
      <w:bookmarkStart w:id="1" w:name="title"/>
      <w:r>
        <w:rPr>
          <w:rFonts w:ascii="宋体" w:eastAsia="宋体" w:hAnsi="宋体" w:cs="宋体"/>
          <w:b/>
          <w:bCs/>
          <w:sz w:val="48"/>
        </w:rPr>
        <w:t>河北省自然科学基金申报书</w:t>
      </w:r>
      <w:bookmarkEnd w:id="1"/>
    </w:p>
    <w:p w14:paraId="3BAB9B7A">
      <w:pPr>
        <w:wordWrap w:val="0"/>
        <w:jc w:val="center"/>
      </w:pPr>
    </w:p>
    <w:p w14:paraId="417859DB">
      <w:pPr>
        <w:wordWrap w:val="0"/>
        <w:ind w:left="560" w:leftChars="200"/>
      </w:pPr>
    </w:p>
    <w:tbl>
      <w:tblPr>
        <w:tblStyle w:val="TableNormal"/>
        <w:tblW w:w="9072" w:type="dxa"/>
        <w:jc w:val="center"/>
        <w:tblCellMar>
          <w:top w:w="0" w:type="dxa"/>
          <w:left w:w="108" w:type="dxa"/>
          <w:bottom w:w="0" w:type="dxa"/>
          <w:right w:w="108" w:type="dxa"/>
        </w:tblCellMar>
      </w:tblPr>
      <w:tblGrid>
        <w:gridCol w:w="1724"/>
        <w:gridCol w:w="7348"/>
      </w:tblGrid>
      <w:tr w14:paraId="65050A57">
        <w:tblPrEx>
          <w:tblW w:w="9072" w:type="dxa"/>
          <w:jc w:val="center"/>
          <w:tblCellMar>
            <w:top w:w="0" w:type="dxa"/>
            <w:left w:w="108" w:type="dxa"/>
            <w:bottom w:w="0" w:type="dxa"/>
            <w:right w:w="108" w:type="dxa"/>
          </w:tblCellMar>
        </w:tblPrEx>
        <w:trPr>
          <w:trHeight w:val="680"/>
          <w:jc w:val="center"/>
        </w:trPr>
        <w:tc>
          <w:tcPr>
            <w:tcW w:w="1724" w:type="dxa"/>
            <w:vAlign w:val="center"/>
          </w:tcPr>
          <w:p w14:paraId="411C0BC9">
            <w:pPr>
              <w:wordWrap w:val="0"/>
            </w:pPr>
            <w:r>
              <w:rPr>
                <w:rFonts w:hint="eastAsia"/>
              </w:rPr>
              <w:t>专项名称：</w:t>
            </w:r>
          </w:p>
        </w:tc>
        <w:tc>
          <w:tcPr>
            <w:tcW w:w="7348" w:type="dxa"/>
            <w:vAlign w:val="center"/>
          </w:tcPr>
          <w:p w14:paraId="6BFD0711">
            <w:pPr>
              <w:wordWrap w:val="0"/>
              <w:rPr>
                <w:rFonts w:ascii="宋体" w:eastAsia="宋体" w:hAnsi="宋体" w:cs="宋体"/>
              </w:rPr>
            </w:pPr>
            <w:bookmarkStart w:id="2" w:name="zxmc"/>
            <w:r>
              <w:rPr>
                <w:rFonts w:ascii="宋体" w:eastAsia="宋体" w:hAnsi="宋体" w:cs="宋体"/>
              </w:rPr>
              <w:t>基础研究专项（自然科学基金）</w:t>
            </w:r>
            <w:bookmarkEnd w:id="2"/>
          </w:p>
        </w:tc>
      </w:tr>
      <w:tr w14:paraId="4AE55F1B">
        <w:tblPrEx>
          <w:tblW w:w="9072" w:type="dxa"/>
          <w:jc w:val="center"/>
          <w:tblCellMar>
            <w:top w:w="0" w:type="dxa"/>
            <w:left w:w="108" w:type="dxa"/>
            <w:bottom w:w="0" w:type="dxa"/>
            <w:right w:w="108" w:type="dxa"/>
          </w:tblCellMar>
        </w:tblPrEx>
        <w:trPr>
          <w:trHeight w:val="680"/>
          <w:jc w:val="center"/>
        </w:trPr>
        <w:tc>
          <w:tcPr>
            <w:tcW w:w="1724" w:type="dxa"/>
            <w:vAlign w:val="center"/>
          </w:tcPr>
          <w:p w14:paraId="0D6A8C7E">
            <w:pPr>
              <w:wordWrap w:val="0"/>
            </w:pPr>
            <w:r>
              <w:rPr>
                <w:rFonts w:hint="eastAsia"/>
              </w:rPr>
              <w:t>指南代码：</w:t>
            </w:r>
          </w:p>
        </w:tc>
        <w:tc>
          <w:tcPr>
            <w:tcW w:w="7348" w:type="dxa"/>
            <w:vAlign w:val="center"/>
          </w:tcPr>
          <w:p w14:paraId="4B9C6BEE">
            <w:pPr>
              <w:wordWrap w:val="0"/>
              <w:jc w:val="left"/>
              <w:rPr>
                <w:rFonts w:ascii="宋体" w:eastAsia="宋体" w:hAnsi="宋体" w:cs="宋体"/>
              </w:rPr>
            </w:pPr>
            <w:bookmarkStart w:id="3" w:name="zndm"/>
            <w:r>
              <w:rPr>
                <w:rFonts w:ascii="宋体" w:eastAsia="宋体" w:hAnsi="宋体" w:cs="宋体"/>
              </w:rPr>
              <w:t>1010101-面上项目</w:t>
            </w:r>
            <w:bookmarkEnd w:id="3"/>
          </w:p>
        </w:tc>
      </w:tr>
      <w:tr w14:paraId="3E01C8C0">
        <w:tblPrEx>
          <w:tblW w:w="9072" w:type="dxa"/>
          <w:jc w:val="center"/>
          <w:tblCellMar>
            <w:top w:w="0" w:type="dxa"/>
            <w:left w:w="108" w:type="dxa"/>
            <w:bottom w:w="0" w:type="dxa"/>
            <w:right w:w="108" w:type="dxa"/>
          </w:tblCellMar>
        </w:tblPrEx>
        <w:trPr>
          <w:trHeight w:val="680"/>
          <w:jc w:val="center"/>
        </w:trPr>
        <w:tc>
          <w:tcPr>
            <w:tcW w:w="1724" w:type="dxa"/>
            <w:vAlign w:val="center"/>
          </w:tcPr>
          <w:p w14:paraId="5C7E59E3">
            <w:pPr>
              <w:wordWrap w:val="0"/>
            </w:pPr>
            <w:r>
              <w:rPr>
                <w:rFonts w:hint="eastAsia"/>
              </w:rPr>
              <w:t>项目名称：</w:t>
            </w:r>
          </w:p>
        </w:tc>
        <w:tc>
          <w:tcPr>
            <w:tcW w:w="7348" w:type="dxa"/>
            <w:vAlign w:val="center"/>
          </w:tcPr>
          <w:p w14:paraId="764B3373">
            <w:pPr>
              <w:wordWrap w:val="0"/>
              <w:jc w:val="left"/>
              <w:rPr>
                <w:rFonts w:ascii="宋体" w:eastAsia="宋体" w:hAnsi="宋体" w:cs="宋体"/>
              </w:rPr>
            </w:pPr>
            <w:bookmarkStart w:id="4" w:name="xmmc"/>
            <w:r>
              <w:rPr>
                <w:rFonts w:ascii="宋体" w:eastAsia="宋体" w:hAnsi="宋体" w:cs="宋体"/>
              </w:rPr>
              <w:t>碱激发粉煤灰-矿渣材料超级电容器储能机理与性能调控研究</w:t>
            </w:r>
            <w:bookmarkEnd w:id="4"/>
          </w:p>
        </w:tc>
      </w:tr>
      <w:tr w14:paraId="635F421D">
        <w:tblPrEx>
          <w:tblW w:w="9072" w:type="dxa"/>
          <w:jc w:val="center"/>
          <w:tblCellMar>
            <w:top w:w="0" w:type="dxa"/>
            <w:left w:w="108" w:type="dxa"/>
            <w:bottom w:w="0" w:type="dxa"/>
            <w:right w:w="108" w:type="dxa"/>
          </w:tblCellMar>
        </w:tblPrEx>
        <w:trPr>
          <w:trHeight w:val="680"/>
          <w:jc w:val="center"/>
        </w:trPr>
        <w:tc>
          <w:tcPr>
            <w:tcW w:w="1724" w:type="dxa"/>
            <w:vAlign w:val="center"/>
          </w:tcPr>
          <w:p w14:paraId="657F3EE5">
            <w:pPr>
              <w:wordWrap w:val="0"/>
            </w:pPr>
            <w:r>
              <w:rPr>
                <w:rFonts w:hint="eastAsia"/>
              </w:rPr>
              <w:t>项目类别：</w:t>
            </w:r>
          </w:p>
        </w:tc>
        <w:tc>
          <w:tcPr>
            <w:tcW w:w="7348" w:type="dxa"/>
            <w:vAlign w:val="center"/>
          </w:tcPr>
          <w:p w14:paraId="5D9CCC87">
            <w:pPr>
              <w:wordWrap w:val="0"/>
              <w:jc w:val="left"/>
              <w:rPr>
                <w:rFonts w:ascii="宋体" w:eastAsia="宋体" w:hAnsi="宋体" w:cs="宋体"/>
                <w:szCs w:val="28"/>
              </w:rPr>
            </w:pPr>
            <w:bookmarkStart w:id="5" w:name="xmlb"/>
            <w:r>
              <w:rPr>
                <w:rFonts w:ascii="宋体" w:eastAsia="宋体" w:hAnsi="宋体" w:cs="宋体"/>
                <w:szCs w:val="28"/>
              </w:rPr>
              <w:t>1010101-面上项目</w:t>
            </w:r>
            <w:bookmarkEnd w:id="5"/>
          </w:p>
        </w:tc>
      </w:tr>
      <w:tr w14:paraId="7E0FCEA6">
        <w:tblPrEx>
          <w:tblW w:w="9072" w:type="dxa"/>
          <w:jc w:val="center"/>
          <w:tblCellMar>
            <w:top w:w="0" w:type="dxa"/>
            <w:left w:w="108" w:type="dxa"/>
            <w:bottom w:w="0" w:type="dxa"/>
            <w:right w:w="108" w:type="dxa"/>
          </w:tblCellMar>
        </w:tblPrEx>
        <w:trPr>
          <w:trHeight w:val="680"/>
          <w:jc w:val="center"/>
        </w:trPr>
        <w:tc>
          <w:tcPr>
            <w:tcW w:w="1724" w:type="dxa"/>
            <w:vAlign w:val="center"/>
          </w:tcPr>
          <w:p w14:paraId="58784207">
            <w:pPr>
              <w:wordWrap w:val="0"/>
            </w:pPr>
            <w:r>
              <w:rPr>
                <w:rFonts w:hint="eastAsia"/>
              </w:rPr>
              <w:t>所属学科1：</w:t>
            </w:r>
          </w:p>
        </w:tc>
        <w:tc>
          <w:tcPr>
            <w:tcW w:w="7348" w:type="dxa"/>
            <w:vAlign w:val="center"/>
          </w:tcPr>
          <w:p w14:paraId="1889EB2D">
            <w:pPr>
              <w:wordWrap w:val="0"/>
              <w:jc w:val="left"/>
              <w:rPr>
                <w:rFonts w:ascii="宋体" w:eastAsia="宋体" w:hAnsi="宋体" w:cs="宋体"/>
                <w:szCs w:val="28"/>
              </w:rPr>
            </w:pPr>
            <w:bookmarkStart w:id="6" w:name="fmxk1"/>
            <w:r>
              <w:rPr>
                <w:rFonts w:ascii="宋体" w:eastAsia="宋体" w:hAnsi="宋体" w:cs="宋体"/>
                <w:szCs w:val="28"/>
              </w:rPr>
              <w:t>E080511-混凝土结构材料</w:t>
            </w:r>
            <w:bookmarkEnd w:id="6"/>
          </w:p>
        </w:tc>
      </w:tr>
      <w:tr w14:paraId="49E7F1B6">
        <w:tblPrEx>
          <w:tblW w:w="9072" w:type="dxa"/>
          <w:jc w:val="center"/>
          <w:tblCellMar>
            <w:top w:w="0" w:type="dxa"/>
            <w:left w:w="108" w:type="dxa"/>
            <w:bottom w:w="0" w:type="dxa"/>
            <w:right w:w="108" w:type="dxa"/>
          </w:tblCellMar>
        </w:tblPrEx>
        <w:trPr>
          <w:trHeight w:val="680"/>
          <w:jc w:val="center"/>
        </w:trPr>
        <w:tc>
          <w:tcPr>
            <w:tcW w:w="1724" w:type="dxa"/>
            <w:vAlign w:val="center"/>
          </w:tcPr>
          <w:p w14:paraId="3F77A413">
            <w:pPr>
              <w:wordWrap w:val="0"/>
            </w:pPr>
            <w:r>
              <w:rPr>
                <w:rFonts w:hint="eastAsia"/>
              </w:rPr>
              <w:t>所属学科2：</w:t>
            </w:r>
          </w:p>
        </w:tc>
        <w:tc>
          <w:tcPr>
            <w:tcW w:w="7348" w:type="dxa"/>
            <w:vAlign w:val="center"/>
          </w:tcPr>
          <w:p w14:paraId="6BDE4AC9">
            <w:pPr>
              <w:wordWrap w:val="0"/>
              <w:jc w:val="left"/>
              <w:rPr>
                <w:rFonts w:ascii="宋体" w:eastAsia="宋体" w:hAnsi="宋体" w:cs="宋体"/>
                <w:szCs w:val="28"/>
              </w:rPr>
            </w:pPr>
            <w:bookmarkStart w:id="7" w:name="fmxk2"/>
            <w:r>
              <w:rPr>
                <w:rFonts w:ascii="宋体" w:eastAsia="宋体" w:hAnsi="宋体" w:cs="宋体"/>
                <w:szCs w:val="28"/>
              </w:rPr>
              <w:t>无</w:t>
            </w:r>
            <w:bookmarkEnd w:id="7"/>
          </w:p>
        </w:tc>
      </w:tr>
      <w:tr w14:paraId="0BEFEFBF">
        <w:tblPrEx>
          <w:tblW w:w="9072" w:type="dxa"/>
          <w:jc w:val="center"/>
          <w:tblCellMar>
            <w:top w:w="0" w:type="dxa"/>
            <w:left w:w="108" w:type="dxa"/>
            <w:bottom w:w="0" w:type="dxa"/>
            <w:right w:w="108" w:type="dxa"/>
          </w:tblCellMar>
        </w:tblPrEx>
        <w:trPr>
          <w:trHeight w:val="680"/>
          <w:jc w:val="center"/>
        </w:trPr>
        <w:tc>
          <w:tcPr>
            <w:tcW w:w="1724" w:type="dxa"/>
            <w:vAlign w:val="center"/>
          </w:tcPr>
          <w:p w14:paraId="6230B426">
            <w:pPr>
              <w:wordWrap w:val="0"/>
            </w:pPr>
            <w:r>
              <w:rPr>
                <w:rFonts w:hint="eastAsia"/>
              </w:rPr>
              <w:t>申 报 人：</w:t>
            </w:r>
          </w:p>
        </w:tc>
        <w:tc>
          <w:tcPr>
            <w:tcW w:w="7348" w:type="dxa"/>
            <w:vAlign w:val="center"/>
          </w:tcPr>
          <w:p w14:paraId="017BF844">
            <w:pPr>
              <w:wordWrap w:val="0"/>
              <w:jc w:val="left"/>
              <w:rPr>
                <w:rFonts w:ascii="宋体" w:eastAsia="宋体" w:hAnsi="宋体" w:cs="宋体"/>
                <w:szCs w:val="28"/>
              </w:rPr>
            </w:pPr>
            <w:bookmarkStart w:id="8" w:name="sqr"/>
            <w:r>
              <w:rPr>
                <w:rFonts w:ascii="宋体" w:eastAsia="宋体" w:hAnsi="宋体" w:cs="宋体"/>
                <w:szCs w:val="28"/>
              </w:rPr>
              <w:t>马宏强</w:t>
            </w:r>
            <w:bookmarkEnd w:id="8"/>
          </w:p>
        </w:tc>
      </w:tr>
      <w:tr w14:paraId="6F0852FC">
        <w:tblPrEx>
          <w:tblW w:w="9072" w:type="dxa"/>
          <w:jc w:val="center"/>
          <w:tblCellMar>
            <w:top w:w="0" w:type="dxa"/>
            <w:left w:w="108" w:type="dxa"/>
            <w:bottom w:w="0" w:type="dxa"/>
            <w:right w:w="108" w:type="dxa"/>
          </w:tblCellMar>
        </w:tblPrEx>
        <w:trPr>
          <w:trHeight w:val="680"/>
          <w:jc w:val="center"/>
        </w:trPr>
        <w:tc>
          <w:tcPr>
            <w:tcW w:w="1724" w:type="dxa"/>
            <w:vAlign w:val="center"/>
          </w:tcPr>
          <w:p w14:paraId="0ECD17DB">
            <w:pPr>
              <w:wordWrap w:val="0"/>
            </w:pPr>
            <w:r>
              <w:rPr>
                <w:rFonts w:hint="eastAsia"/>
              </w:rPr>
              <w:t>依托单位：</w:t>
            </w:r>
          </w:p>
        </w:tc>
        <w:tc>
          <w:tcPr>
            <w:tcW w:w="7348" w:type="dxa"/>
            <w:vAlign w:val="center"/>
          </w:tcPr>
          <w:p w14:paraId="6D18E4A4">
            <w:pPr>
              <w:wordWrap w:val="0"/>
              <w:jc w:val="left"/>
              <w:rPr>
                <w:rFonts w:ascii="宋体" w:eastAsia="宋体" w:hAnsi="宋体" w:cs="宋体"/>
                <w:szCs w:val="28"/>
              </w:rPr>
            </w:pPr>
            <w:bookmarkStart w:id="9" w:name="ytdw"/>
            <w:r>
              <w:rPr>
                <w:rFonts w:ascii="宋体" w:eastAsia="宋体" w:hAnsi="宋体" w:cs="宋体"/>
                <w:szCs w:val="28"/>
              </w:rPr>
              <w:t>河北大学</w:t>
            </w:r>
            <w:bookmarkEnd w:id="9"/>
          </w:p>
        </w:tc>
      </w:tr>
      <w:tr w14:paraId="6030A70E">
        <w:tblPrEx>
          <w:tblW w:w="9072" w:type="dxa"/>
          <w:jc w:val="center"/>
          <w:tblCellMar>
            <w:top w:w="0" w:type="dxa"/>
            <w:left w:w="108" w:type="dxa"/>
            <w:bottom w:w="0" w:type="dxa"/>
            <w:right w:w="108" w:type="dxa"/>
          </w:tblCellMar>
        </w:tblPrEx>
        <w:trPr>
          <w:trHeight w:val="680"/>
          <w:jc w:val="center"/>
        </w:trPr>
        <w:tc>
          <w:tcPr>
            <w:tcW w:w="1724" w:type="dxa"/>
            <w:vAlign w:val="center"/>
          </w:tcPr>
          <w:p w14:paraId="2D648941">
            <w:pPr>
              <w:wordWrap w:val="0"/>
            </w:pPr>
            <w:r>
              <w:rPr>
                <w:rFonts w:hint="eastAsia"/>
              </w:rPr>
              <w:t>起止年月：</w:t>
            </w:r>
          </w:p>
        </w:tc>
        <w:tc>
          <w:tcPr>
            <w:tcW w:w="7348" w:type="dxa"/>
            <w:vAlign w:val="center"/>
          </w:tcPr>
          <w:p w14:paraId="04F25843">
            <w:pPr>
              <w:wordWrap w:val="0"/>
              <w:jc w:val="left"/>
              <w:rPr>
                <w:rFonts w:ascii="宋体" w:eastAsia="宋体" w:hAnsi="宋体" w:cs="宋体"/>
                <w:szCs w:val="28"/>
              </w:rPr>
            </w:pPr>
            <w:bookmarkStart w:id="10" w:name="qzny"/>
            <w:r>
              <w:rPr>
                <w:rFonts w:ascii="宋体" w:eastAsia="宋体" w:hAnsi="宋体" w:cs="宋体"/>
                <w:szCs w:val="28"/>
              </w:rPr>
              <w:t>2025-01 至 2027-12</w:t>
            </w:r>
            <w:bookmarkEnd w:id="10"/>
          </w:p>
        </w:tc>
      </w:tr>
      <w:tr w14:paraId="62B558BC">
        <w:tblPrEx>
          <w:tblW w:w="9072" w:type="dxa"/>
          <w:jc w:val="center"/>
          <w:tblCellMar>
            <w:top w:w="0" w:type="dxa"/>
            <w:left w:w="108" w:type="dxa"/>
            <w:bottom w:w="0" w:type="dxa"/>
            <w:right w:w="108" w:type="dxa"/>
          </w:tblCellMar>
        </w:tblPrEx>
        <w:trPr>
          <w:trHeight w:val="680"/>
          <w:jc w:val="center"/>
        </w:trPr>
        <w:tc>
          <w:tcPr>
            <w:tcW w:w="1724" w:type="dxa"/>
            <w:vAlign w:val="center"/>
          </w:tcPr>
          <w:p w14:paraId="45859E13">
            <w:pPr>
              <w:wordWrap w:val="0"/>
            </w:pPr>
            <w:r>
              <w:rPr>
                <w:rFonts w:hint="eastAsia"/>
              </w:rPr>
              <w:t>填报日期：</w:t>
            </w:r>
          </w:p>
        </w:tc>
        <w:tc>
          <w:tcPr>
            <w:tcW w:w="7348" w:type="dxa"/>
            <w:vAlign w:val="center"/>
          </w:tcPr>
          <w:p w14:paraId="320E1E83">
            <w:pPr>
              <w:wordWrap w:val="0"/>
              <w:jc w:val="left"/>
              <w:rPr>
                <w:rFonts w:ascii="宋体" w:eastAsia="宋体" w:hAnsi="宋体" w:cs="宋体"/>
                <w:szCs w:val="28"/>
              </w:rPr>
            </w:pPr>
            <w:bookmarkStart w:id="11" w:name="tbtime"/>
            <w:r>
              <w:rPr>
                <w:rFonts w:ascii="宋体" w:eastAsia="宋体" w:hAnsi="宋体" w:cs="宋体"/>
                <w:szCs w:val="28"/>
              </w:rPr>
              <w:t>2025-03-09</w:t>
            </w:r>
            <w:bookmarkEnd w:id="11"/>
          </w:p>
        </w:tc>
      </w:tr>
    </w:tbl>
    <w:p w14:paraId="621A19A2">
      <w:pPr>
        <w:wordWrap w:val="0"/>
        <w:rPr>
          <w:sz w:val="21"/>
        </w:rPr>
      </w:pPr>
    </w:p>
    <w:p w14:paraId="1E5646ED">
      <w:pPr>
        <w:wordWrap w:val="0"/>
        <w:rPr>
          <w:sz w:val="21"/>
        </w:rPr>
      </w:pPr>
    </w:p>
    <w:p w14:paraId="6EEBBB3A">
      <w:pPr>
        <w:wordWrap w:val="0"/>
        <w:rPr>
          <w:sz w:val="21"/>
        </w:rPr>
      </w:pPr>
    </w:p>
    <w:p w14:paraId="647A84B2">
      <w:pPr>
        <w:wordWrap w:val="0"/>
        <w:rPr>
          <w:sz w:val="21"/>
        </w:rPr>
      </w:pPr>
    </w:p>
    <w:p w14:paraId="4B419EC5">
      <w:pPr>
        <w:wordWrap w:val="0"/>
        <w:jc w:val="center"/>
        <w:rPr>
          <w:sz w:val="21"/>
        </w:rPr>
      </w:pPr>
      <w:r>
        <w:rPr>
          <w:rFonts w:hint="eastAsia"/>
          <w:b/>
          <w:sz w:val="36"/>
        </w:rPr>
        <w:t>河北省自然科学基金委制</w:t>
      </w:r>
    </w:p>
    <w:p w14:paraId="2F74B9F1">
      <w:pPr>
        <w:wordWrap w:val="0"/>
        <w:spacing w:line="20" w:lineRule="exact"/>
        <w:rPr>
          <w:b/>
          <w:sz w:val="32"/>
        </w:rPr>
      </w:pPr>
      <w:r>
        <w:rPr>
          <w:b/>
          <w:sz w:val="32"/>
        </w:rPr>
        <w:br w:type="page"/>
      </w:r>
    </w:p>
    <w:tbl>
      <w:tblPr>
        <w:tblStyle w:val="TableNormal"/>
        <w:tblW w:w="9978" w:type="dxa"/>
        <w:jc w:val="center"/>
        <w:tblCellMar>
          <w:top w:w="0" w:type="dxa"/>
          <w:left w:w="108" w:type="dxa"/>
          <w:bottom w:w="0" w:type="dxa"/>
          <w:right w:w="108" w:type="dxa"/>
        </w:tblCellMar>
      </w:tblPr>
      <w:tblGrid>
        <w:gridCol w:w="9978"/>
      </w:tblGrid>
      <w:tr w14:paraId="331EDD4B">
        <w:tblPrEx>
          <w:tblW w:w="9978" w:type="dxa"/>
          <w:jc w:val="center"/>
          <w:tblCellMar>
            <w:top w:w="0" w:type="dxa"/>
            <w:left w:w="108" w:type="dxa"/>
            <w:bottom w:w="0" w:type="dxa"/>
            <w:right w:w="108" w:type="dxa"/>
          </w:tblCellMar>
        </w:tblPrEx>
        <w:trPr>
          <w:trHeight w:val="12544"/>
          <w:jc w:val="center"/>
        </w:trPr>
        <w:tc>
          <w:tcPr>
            <w:tcW w:w="9978" w:type="dxa"/>
          </w:tcPr>
          <w:p w14:paraId="2C0E2C3E">
            <w:pPr>
              <w:wordWrap w:val="0"/>
              <w:jc w:val="center"/>
              <w:rPr>
                <w:b/>
              </w:rPr>
            </w:pPr>
            <w:r>
              <w:rPr>
                <w:rFonts w:hint="eastAsia"/>
                <w:b/>
              </w:rPr>
              <w:t>填 报 说 明</w:t>
            </w:r>
          </w:p>
          <w:p w14:paraId="31514F3E">
            <w:pPr>
              <w:wordWrap w:val="0"/>
              <w:spacing w:line="440" w:lineRule="exact"/>
              <w:ind w:firstLine="480" w:firstLineChars="200"/>
              <w:jc w:val="left"/>
              <w:rPr>
                <w:rFonts w:cs="仿宋_GB2312"/>
                <w:sz w:val="24"/>
              </w:rPr>
            </w:pPr>
            <w:r>
              <w:rPr>
                <w:rFonts w:cs="仿宋_GB2312"/>
                <w:sz w:val="24"/>
              </w:rPr>
              <w:t>1.</w:t>
            </w:r>
            <w:r>
              <w:rPr>
                <w:rFonts w:cs="仿宋_GB2312" w:hint="eastAsia"/>
                <w:sz w:val="24"/>
              </w:rPr>
              <w:t>申报书的内容将作为项目评审以及签订计划书的重要依据，申报书的各项填报内容请实事求是、准确完整、层次清晰。</w:t>
            </w:r>
          </w:p>
          <w:p w14:paraId="1759C921">
            <w:pPr>
              <w:wordWrap w:val="0"/>
              <w:spacing w:line="440" w:lineRule="exact"/>
              <w:ind w:firstLine="480" w:firstLineChars="200"/>
              <w:jc w:val="left"/>
              <w:rPr>
                <w:rFonts w:cs="仿宋_GB2312"/>
                <w:sz w:val="24"/>
              </w:rPr>
            </w:pPr>
            <w:r>
              <w:rPr>
                <w:rFonts w:cs="仿宋_GB2312"/>
                <w:sz w:val="24"/>
              </w:rPr>
              <w:t>2.</w:t>
            </w:r>
            <w:r>
              <w:rPr>
                <w:rFonts w:cs="仿宋_GB2312" w:hint="eastAsia"/>
                <w:sz w:val="24"/>
              </w:rPr>
              <w:t>请申报单位认真阅读指南，所申报的项目研究内容须对应指南代码、符合指南的要求。</w:t>
            </w:r>
          </w:p>
          <w:p w14:paraId="6A85B507">
            <w:pPr>
              <w:wordWrap w:val="0"/>
              <w:spacing w:line="440" w:lineRule="exact"/>
              <w:ind w:firstLine="480" w:firstLineChars="200"/>
              <w:jc w:val="left"/>
              <w:rPr>
                <w:rFonts w:cs="仿宋_GB2312"/>
                <w:sz w:val="24"/>
              </w:rPr>
            </w:pPr>
            <w:r>
              <w:rPr>
                <w:rFonts w:cs="仿宋_GB2312"/>
                <w:sz w:val="24"/>
              </w:rPr>
              <w:t>3.</w:t>
            </w:r>
            <w:r>
              <w:rPr>
                <w:rFonts w:cs="仿宋_GB2312" w:hint="eastAsia"/>
                <w:sz w:val="24"/>
              </w:rPr>
              <w:t>申报单位可根据申报指南、申报项目的研究内容自行确定所申报项目的项目名称。项目名称应清晰、准确反映研究内容，项目名称不宜宽泛。</w:t>
            </w:r>
          </w:p>
          <w:p w14:paraId="267EB6AB">
            <w:pPr>
              <w:wordWrap w:val="0"/>
              <w:spacing w:line="440" w:lineRule="exact"/>
              <w:ind w:firstLine="480" w:firstLineChars="200"/>
              <w:jc w:val="left"/>
              <w:rPr>
                <w:rFonts w:cs="仿宋_GB2312"/>
                <w:sz w:val="24"/>
              </w:rPr>
            </w:pPr>
            <w:r>
              <w:rPr>
                <w:rFonts w:cs="仿宋_GB2312"/>
                <w:sz w:val="24"/>
              </w:rPr>
              <w:t>4.</w:t>
            </w:r>
            <w:r>
              <w:rPr>
                <w:rFonts w:cs="仿宋_GB2312" w:hint="eastAsia"/>
                <w:sz w:val="24"/>
              </w:rPr>
              <w:t>通过河北省科技计划项目综合服务平台按照系统提示在线填写申报书。凡不填写的内容，请用“无”表示。</w:t>
            </w:r>
          </w:p>
          <w:p w14:paraId="663291E4">
            <w:pPr>
              <w:wordWrap w:val="0"/>
              <w:spacing w:line="440" w:lineRule="exact"/>
              <w:ind w:firstLine="480" w:firstLineChars="200"/>
              <w:jc w:val="left"/>
              <w:rPr>
                <w:rFonts w:cs="仿宋_GB2312"/>
                <w:sz w:val="24"/>
              </w:rPr>
            </w:pPr>
            <w:r>
              <w:rPr>
                <w:rFonts w:cs="仿宋_GB2312"/>
                <w:sz w:val="24"/>
              </w:rPr>
              <w:t>5.</w:t>
            </w:r>
            <w:r>
              <w:rPr>
                <w:rFonts w:cs="仿宋_GB2312" w:hint="eastAsia"/>
                <w:sz w:val="24"/>
              </w:rPr>
              <w:t>申报书中的单位名称，请填写全称，并与单位公章一致。</w:t>
            </w:r>
          </w:p>
          <w:p w14:paraId="3D13B484">
            <w:pPr>
              <w:wordWrap w:val="0"/>
              <w:spacing w:line="440" w:lineRule="exact"/>
              <w:ind w:firstLine="480" w:firstLineChars="200"/>
              <w:jc w:val="left"/>
              <w:rPr>
                <w:rFonts w:cs="仿宋_GB2312"/>
                <w:sz w:val="24"/>
              </w:rPr>
            </w:pPr>
            <w:r>
              <w:rPr>
                <w:rFonts w:cs="仿宋_GB2312"/>
                <w:sz w:val="24"/>
              </w:rPr>
              <w:t>6.</w:t>
            </w:r>
            <w:r>
              <w:rPr>
                <w:rFonts w:cs="仿宋_GB2312" w:hint="eastAsia"/>
                <w:sz w:val="24"/>
              </w:rPr>
              <w:t>“项目基本信息”表格中，“技术领域”应填写项目负责人的主要研究领域；“企业拥有专利数量”应填写申报单位拥有专利数量。</w:t>
            </w:r>
          </w:p>
          <w:p w14:paraId="3800F9E1">
            <w:pPr>
              <w:wordWrap w:val="0"/>
              <w:spacing w:line="440" w:lineRule="exact"/>
              <w:ind w:firstLine="480" w:firstLineChars="200"/>
              <w:jc w:val="left"/>
              <w:rPr>
                <w:rFonts w:cs="仿宋_GB2312"/>
                <w:sz w:val="24"/>
              </w:rPr>
            </w:pPr>
            <w:r>
              <w:rPr>
                <w:rFonts w:cs="仿宋_GB2312"/>
                <w:sz w:val="24"/>
              </w:rPr>
              <w:t>7.</w:t>
            </w:r>
            <w:r>
              <w:rPr>
                <w:rFonts w:cs="仿宋_GB2312" w:hint="eastAsia"/>
                <w:sz w:val="24"/>
              </w:rPr>
              <w:t>“项目组主要成员”表格中，人员数量不能超过</w:t>
            </w:r>
            <w:r>
              <w:rPr>
                <w:rFonts w:cs="仿宋_GB2312"/>
                <w:sz w:val="24"/>
              </w:rPr>
              <w:t>10</w:t>
            </w:r>
            <w:r>
              <w:rPr>
                <w:rFonts w:cs="仿宋_GB2312" w:hint="eastAsia"/>
                <w:sz w:val="24"/>
              </w:rPr>
              <w:t>人（含项目负责人）。其中，申报青年科学基金项目（</w:t>
            </w:r>
            <w:r>
              <w:rPr>
                <w:rFonts w:cs="仿宋_GB2312"/>
                <w:sz w:val="24"/>
              </w:rPr>
              <w:t>A</w:t>
            </w:r>
            <w:r>
              <w:rPr>
                <w:rFonts w:cs="仿宋_GB2312" w:hint="eastAsia"/>
                <w:sz w:val="24"/>
              </w:rPr>
              <w:t>类）、青年科学基金项目（</w:t>
            </w:r>
            <w:r>
              <w:rPr>
                <w:rFonts w:cs="仿宋_GB2312"/>
                <w:sz w:val="24"/>
              </w:rPr>
              <w:t>B</w:t>
            </w:r>
            <w:r>
              <w:rPr>
                <w:rFonts w:cs="仿宋_GB2312" w:hint="eastAsia"/>
                <w:sz w:val="24"/>
              </w:rPr>
              <w:t>类）、青年科学基金项目（</w:t>
            </w:r>
            <w:r>
              <w:rPr>
                <w:rFonts w:cs="仿宋_GB2312"/>
                <w:sz w:val="24"/>
              </w:rPr>
              <w:t>C</w:t>
            </w:r>
            <w:r>
              <w:rPr>
                <w:rFonts w:cs="仿宋_GB2312" w:hint="eastAsia"/>
                <w:sz w:val="24"/>
              </w:rPr>
              <w:t>类）、青年科学基金项目（</w:t>
            </w:r>
            <w:r>
              <w:rPr>
                <w:rFonts w:cs="仿宋_GB2312"/>
                <w:sz w:val="24"/>
              </w:rPr>
              <w:t>D</w:t>
            </w:r>
            <w:r>
              <w:rPr>
                <w:rFonts w:cs="仿宋_GB2312" w:hint="eastAsia"/>
                <w:sz w:val="24"/>
              </w:rPr>
              <w:t>类）和春晖人才项目仅填写项目负责人信息。</w:t>
            </w:r>
          </w:p>
          <w:p w14:paraId="187F02FC">
            <w:pPr>
              <w:wordWrap w:val="0"/>
              <w:spacing w:line="440" w:lineRule="exact"/>
              <w:ind w:firstLine="480" w:firstLineChars="200"/>
              <w:jc w:val="left"/>
              <w:rPr>
                <w:rFonts w:cs="仿宋_GB2312"/>
                <w:sz w:val="24"/>
              </w:rPr>
            </w:pPr>
            <w:r>
              <w:rPr>
                <w:rFonts w:cs="仿宋_GB2312"/>
                <w:sz w:val="24"/>
              </w:rPr>
              <w:t>8.</w:t>
            </w:r>
            <w:r>
              <w:rPr>
                <w:rFonts w:cs="仿宋_GB2312" w:hint="eastAsia"/>
                <w:sz w:val="24"/>
              </w:rPr>
              <w:t>申报书正文部分总字数建议不超过</w:t>
            </w:r>
            <w:r>
              <w:rPr>
                <w:rFonts w:cs="仿宋_GB2312"/>
                <w:sz w:val="24"/>
              </w:rPr>
              <w:t>10000</w:t>
            </w:r>
            <w:r>
              <w:rPr>
                <w:rFonts w:cs="仿宋_GB2312" w:hint="eastAsia"/>
                <w:sz w:val="24"/>
              </w:rPr>
              <w:t>字。</w:t>
            </w:r>
          </w:p>
          <w:p w14:paraId="5BA233A5">
            <w:pPr>
              <w:wordWrap w:val="0"/>
              <w:spacing w:line="440" w:lineRule="exact"/>
              <w:ind w:firstLine="480" w:firstLineChars="200"/>
              <w:jc w:val="left"/>
              <w:rPr>
                <w:rFonts w:cs="仿宋_GB2312"/>
                <w:sz w:val="24"/>
              </w:rPr>
            </w:pPr>
            <w:r>
              <w:rPr>
                <w:rFonts w:cs="仿宋_GB2312"/>
                <w:sz w:val="24"/>
              </w:rPr>
              <w:t>9.</w:t>
            </w:r>
            <w:r>
              <w:rPr>
                <w:rFonts w:cs="仿宋_GB2312" w:hint="eastAsia"/>
                <w:sz w:val="24"/>
              </w:rPr>
              <w:t>申报创新研究群体项目，项目名称栏填写“研究方向”，而不是具体的研究课题名称；申报书摘要部分填写申报人和参与者的“主要学术成绩”。 </w:t>
            </w:r>
          </w:p>
          <w:p w14:paraId="78A42052">
            <w:pPr>
              <w:wordWrap w:val="0"/>
              <w:spacing w:line="440" w:lineRule="exact"/>
              <w:ind w:firstLine="480" w:firstLineChars="200"/>
              <w:rPr>
                <w:rFonts w:cs="仿宋_GB2312"/>
                <w:sz w:val="24"/>
              </w:rPr>
            </w:pPr>
            <w:r>
              <w:rPr>
                <w:rFonts w:cs="仿宋_GB2312" w:hint="eastAsia"/>
                <w:sz w:val="24"/>
              </w:rPr>
              <w:t>填写完成后，请申报单位对所申报信息的真实、完整、有效进行审核，并对申报材料的真实性、完整性负责。</w:t>
            </w:r>
          </w:p>
          <w:p w14:paraId="722290EE">
            <w:pPr>
              <w:wordWrap w:val="0"/>
              <w:spacing w:line="360" w:lineRule="auto"/>
              <w:ind w:firstLine="640" w:firstLineChars="200"/>
              <w:rPr>
                <w:b/>
                <w:sz w:val="32"/>
              </w:rPr>
            </w:pPr>
          </w:p>
        </w:tc>
      </w:tr>
    </w:tbl>
    <w:p w14:paraId="421C5033">
      <w:pPr>
        <w:wordWrap w:val="0"/>
        <w:spacing w:line="20" w:lineRule="exact"/>
        <w:rPr>
          <w:b/>
          <w:sz w:val="32"/>
        </w:rPr>
      </w:pPr>
      <w:r>
        <w:rPr>
          <w:b/>
          <w:sz w:val="32"/>
        </w:rPr>
        <w:br w:type="page"/>
      </w:r>
    </w:p>
    <w:tbl>
      <w:tblPr>
        <w:tblStyle w:val="TableNormal"/>
        <w:tblW w:w="106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02"/>
        <w:gridCol w:w="1277"/>
        <w:gridCol w:w="597"/>
        <w:gridCol w:w="537"/>
        <w:gridCol w:w="828"/>
        <w:gridCol w:w="1440"/>
        <w:gridCol w:w="13"/>
        <w:gridCol w:w="860"/>
        <w:gridCol w:w="574"/>
        <w:gridCol w:w="843"/>
        <w:gridCol w:w="1025"/>
        <w:gridCol w:w="489"/>
        <w:gridCol w:w="1650"/>
      </w:tblGrid>
      <w:tr w14:paraId="7D268B53">
        <w:tblPrEx>
          <w:tblW w:w="106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cantSplit/>
          <w:trHeight w:val="509"/>
          <w:jc w:val="center"/>
        </w:trPr>
        <w:tc>
          <w:tcPr>
            <w:tcW w:w="10635" w:type="dxa"/>
            <w:gridSpan w:val="13"/>
            <w:vAlign w:val="center"/>
          </w:tcPr>
          <w:p w14:paraId="533D9915">
            <w:pPr>
              <w:wordWrap w:val="0"/>
              <w:jc w:val="center"/>
              <w:rPr>
                <w:sz w:val="24"/>
              </w:rPr>
            </w:pPr>
            <w:r>
              <w:rPr>
                <w:rFonts w:hint="eastAsia"/>
                <w:b/>
                <w:szCs w:val="28"/>
              </w:rPr>
              <w:t>项目基本信息</w:t>
            </w:r>
          </w:p>
        </w:tc>
      </w:tr>
      <w:tr w14:paraId="6FEFA583">
        <w:tblPrEx>
          <w:tblW w:w="10635" w:type="dxa"/>
          <w:jc w:val="center"/>
          <w:tblLayout w:type="fixed"/>
          <w:tblCellMar>
            <w:top w:w="0" w:type="dxa"/>
            <w:left w:w="108" w:type="dxa"/>
            <w:bottom w:w="0" w:type="dxa"/>
            <w:right w:w="108" w:type="dxa"/>
          </w:tblCellMar>
        </w:tblPrEx>
        <w:trPr>
          <w:cantSplit/>
          <w:trHeight w:val="509"/>
          <w:jc w:val="center"/>
        </w:trPr>
        <w:tc>
          <w:tcPr>
            <w:tcW w:w="1779" w:type="dxa"/>
            <w:gridSpan w:val="2"/>
            <w:vAlign w:val="center"/>
          </w:tcPr>
          <w:p w14:paraId="4ABBE10B">
            <w:pPr>
              <w:wordWrap w:val="0"/>
              <w:jc w:val="center"/>
              <w:rPr>
                <w:sz w:val="24"/>
              </w:rPr>
            </w:pPr>
            <w:r>
              <w:rPr>
                <w:rFonts w:hint="eastAsia"/>
                <w:sz w:val="24"/>
              </w:rPr>
              <w:t>项目名称</w:t>
            </w:r>
          </w:p>
        </w:tc>
        <w:tc>
          <w:tcPr>
            <w:tcW w:w="4275" w:type="dxa"/>
            <w:gridSpan w:val="6"/>
            <w:vAlign w:val="center"/>
          </w:tcPr>
          <w:p w14:paraId="24B5406F">
            <w:pPr>
              <w:wordWrap w:val="0"/>
              <w:rPr>
                <w:rFonts w:ascii="宋体" w:eastAsia="宋体" w:hAnsi="宋体" w:cs="宋体"/>
                <w:sz w:val="24"/>
              </w:rPr>
            </w:pPr>
            <w:bookmarkStart w:id="12" w:name="xmmc1"/>
            <w:r>
              <w:rPr>
                <w:rFonts w:ascii="宋体" w:eastAsia="宋体" w:hAnsi="宋体" w:cs="宋体"/>
                <w:sz w:val="24"/>
              </w:rPr>
              <w:t>碱激发粉煤灰-矿渣材料超级电容器储能机理与性能调控研究</w:t>
            </w:r>
            <w:bookmarkEnd w:id="12"/>
          </w:p>
        </w:tc>
        <w:tc>
          <w:tcPr>
            <w:tcW w:w="1417" w:type="dxa"/>
            <w:gridSpan w:val="2"/>
            <w:vAlign w:val="center"/>
          </w:tcPr>
          <w:p w14:paraId="5875A935">
            <w:pPr>
              <w:wordWrap w:val="0"/>
              <w:jc w:val="center"/>
              <w:rPr>
                <w:sz w:val="24"/>
              </w:rPr>
            </w:pPr>
            <w:r>
              <w:rPr>
                <w:rFonts w:hint="eastAsia"/>
                <w:sz w:val="24"/>
              </w:rPr>
              <w:t>所属专项</w:t>
            </w:r>
          </w:p>
        </w:tc>
        <w:tc>
          <w:tcPr>
            <w:tcW w:w="3164" w:type="dxa"/>
            <w:gridSpan w:val="3"/>
            <w:vAlign w:val="center"/>
          </w:tcPr>
          <w:p w14:paraId="34E929A6">
            <w:pPr>
              <w:wordWrap w:val="0"/>
              <w:jc w:val="left"/>
              <w:rPr>
                <w:rFonts w:ascii="宋体" w:eastAsia="宋体" w:hAnsi="宋体" w:cs="宋体"/>
                <w:sz w:val="24"/>
              </w:rPr>
            </w:pPr>
            <w:bookmarkStart w:id="13" w:name="zxmc1"/>
            <w:r>
              <w:rPr>
                <w:rFonts w:ascii="宋体" w:eastAsia="宋体" w:hAnsi="宋体" w:cs="宋体"/>
                <w:sz w:val="24"/>
              </w:rPr>
              <w:t>基础研究专项（自然科学基金）</w:t>
            </w:r>
            <w:bookmarkEnd w:id="13"/>
          </w:p>
        </w:tc>
      </w:tr>
      <w:tr w14:paraId="5A45475B">
        <w:tblPrEx>
          <w:tblW w:w="10635" w:type="dxa"/>
          <w:jc w:val="center"/>
          <w:tblLayout w:type="fixed"/>
          <w:tblCellMar>
            <w:top w:w="0" w:type="dxa"/>
            <w:left w:w="108" w:type="dxa"/>
            <w:bottom w:w="0" w:type="dxa"/>
            <w:right w:w="108" w:type="dxa"/>
          </w:tblCellMar>
        </w:tblPrEx>
        <w:trPr>
          <w:cantSplit/>
          <w:trHeight w:val="403"/>
          <w:jc w:val="center"/>
        </w:trPr>
        <w:tc>
          <w:tcPr>
            <w:tcW w:w="1779" w:type="dxa"/>
            <w:gridSpan w:val="2"/>
            <w:vAlign w:val="center"/>
          </w:tcPr>
          <w:p w14:paraId="57AD751F">
            <w:pPr>
              <w:wordWrap w:val="0"/>
              <w:jc w:val="center"/>
              <w:rPr>
                <w:sz w:val="24"/>
              </w:rPr>
            </w:pPr>
            <w:r>
              <w:rPr>
                <w:rFonts w:hint="eastAsia"/>
                <w:sz w:val="24"/>
              </w:rPr>
              <w:t>指南代码</w:t>
            </w:r>
          </w:p>
        </w:tc>
        <w:tc>
          <w:tcPr>
            <w:tcW w:w="4275" w:type="dxa"/>
            <w:gridSpan w:val="6"/>
            <w:vAlign w:val="center"/>
          </w:tcPr>
          <w:p w14:paraId="3472FAB5">
            <w:pPr>
              <w:wordWrap w:val="0"/>
              <w:rPr>
                <w:rFonts w:ascii="宋体" w:eastAsia="宋体" w:hAnsi="宋体" w:cs="宋体"/>
                <w:sz w:val="24"/>
              </w:rPr>
            </w:pPr>
            <w:bookmarkStart w:id="14" w:name="zndm1"/>
            <w:r>
              <w:rPr>
                <w:rFonts w:ascii="宋体" w:eastAsia="宋体" w:hAnsi="宋体" w:cs="宋体"/>
                <w:sz w:val="24"/>
              </w:rPr>
              <w:t>1010101-面上项目</w:t>
            </w:r>
            <w:bookmarkEnd w:id="14"/>
          </w:p>
        </w:tc>
        <w:tc>
          <w:tcPr>
            <w:tcW w:w="1417" w:type="dxa"/>
            <w:gridSpan w:val="2"/>
            <w:vAlign w:val="center"/>
          </w:tcPr>
          <w:p w14:paraId="3A08C06E">
            <w:pPr>
              <w:wordWrap w:val="0"/>
              <w:jc w:val="center"/>
              <w:rPr>
                <w:sz w:val="24"/>
              </w:rPr>
            </w:pPr>
            <w:r>
              <w:rPr>
                <w:rFonts w:hint="eastAsia"/>
                <w:sz w:val="24"/>
              </w:rPr>
              <w:t>科技活动</w:t>
            </w:r>
          </w:p>
          <w:p w14:paraId="7CCB0B28">
            <w:pPr>
              <w:wordWrap w:val="0"/>
              <w:jc w:val="center"/>
              <w:rPr>
                <w:sz w:val="24"/>
              </w:rPr>
            </w:pPr>
            <w:r>
              <w:rPr>
                <w:rFonts w:hint="eastAsia"/>
                <w:sz w:val="24"/>
              </w:rPr>
              <w:t>类型</w:t>
            </w:r>
          </w:p>
        </w:tc>
        <w:tc>
          <w:tcPr>
            <w:tcW w:w="3164" w:type="dxa"/>
            <w:gridSpan w:val="3"/>
            <w:vAlign w:val="center"/>
          </w:tcPr>
          <w:p w14:paraId="1477FD83">
            <w:pPr>
              <w:wordWrap w:val="0"/>
              <w:jc w:val="left"/>
              <w:rPr>
                <w:rFonts w:ascii="宋体" w:eastAsia="宋体" w:hAnsi="宋体" w:cs="宋体"/>
                <w:sz w:val="24"/>
              </w:rPr>
            </w:pPr>
            <w:bookmarkStart w:id="15" w:name="kjhdlx"/>
            <w:r>
              <w:rPr>
                <w:rFonts w:ascii="宋体" w:eastAsia="宋体" w:hAnsi="宋体" w:cs="宋体"/>
                <w:sz w:val="24"/>
              </w:rPr>
              <w:t>基础研究</w:t>
            </w:r>
            <w:bookmarkEnd w:id="15"/>
          </w:p>
        </w:tc>
      </w:tr>
      <w:tr w14:paraId="5B214F24">
        <w:tblPrEx>
          <w:tblW w:w="10635" w:type="dxa"/>
          <w:jc w:val="center"/>
          <w:tblLayout w:type="fixed"/>
          <w:tblCellMar>
            <w:top w:w="0" w:type="dxa"/>
            <w:left w:w="108" w:type="dxa"/>
            <w:bottom w:w="0" w:type="dxa"/>
            <w:right w:w="108" w:type="dxa"/>
          </w:tblCellMar>
        </w:tblPrEx>
        <w:trPr>
          <w:cantSplit/>
          <w:trHeight w:val="548"/>
          <w:jc w:val="center"/>
        </w:trPr>
        <w:tc>
          <w:tcPr>
            <w:tcW w:w="1779" w:type="dxa"/>
            <w:gridSpan w:val="2"/>
            <w:vAlign w:val="center"/>
          </w:tcPr>
          <w:p w14:paraId="2ECF53D0">
            <w:pPr>
              <w:wordWrap w:val="0"/>
              <w:jc w:val="center"/>
              <w:rPr>
                <w:sz w:val="24"/>
              </w:rPr>
            </w:pPr>
            <w:r>
              <w:rPr>
                <w:rFonts w:hint="eastAsia"/>
                <w:sz w:val="24"/>
              </w:rPr>
              <w:t>应用行业</w:t>
            </w:r>
          </w:p>
        </w:tc>
        <w:tc>
          <w:tcPr>
            <w:tcW w:w="4275" w:type="dxa"/>
            <w:gridSpan w:val="6"/>
            <w:vAlign w:val="center"/>
          </w:tcPr>
          <w:p w14:paraId="62CF1FA9">
            <w:pPr>
              <w:wordWrap w:val="0"/>
              <w:rPr>
                <w:rFonts w:ascii="宋体" w:eastAsia="宋体" w:hAnsi="宋体" w:cs="宋体"/>
                <w:sz w:val="24"/>
              </w:rPr>
            </w:pPr>
            <w:bookmarkStart w:id="16" w:name="yyhy"/>
            <w:r>
              <w:rPr>
                <w:rFonts w:ascii="宋体" w:eastAsia="宋体" w:hAnsi="宋体" w:cs="宋体"/>
                <w:sz w:val="24"/>
              </w:rPr>
              <w:t>土木工程建筑</w:t>
            </w:r>
            <w:bookmarkEnd w:id="16"/>
          </w:p>
        </w:tc>
        <w:tc>
          <w:tcPr>
            <w:tcW w:w="1417" w:type="dxa"/>
            <w:gridSpan w:val="2"/>
            <w:vAlign w:val="center"/>
          </w:tcPr>
          <w:p w14:paraId="3EFE9313">
            <w:pPr>
              <w:wordWrap w:val="0"/>
              <w:jc w:val="center"/>
              <w:rPr>
                <w:sz w:val="24"/>
              </w:rPr>
            </w:pPr>
            <w:r>
              <w:rPr>
                <w:rFonts w:hint="eastAsia"/>
                <w:sz w:val="24"/>
              </w:rPr>
              <w:t>技术领域</w:t>
            </w:r>
          </w:p>
        </w:tc>
        <w:tc>
          <w:tcPr>
            <w:tcW w:w="3164" w:type="dxa"/>
            <w:gridSpan w:val="3"/>
            <w:vAlign w:val="center"/>
          </w:tcPr>
          <w:p w14:paraId="475D2355">
            <w:pPr>
              <w:wordWrap w:val="0"/>
              <w:jc w:val="left"/>
              <w:rPr>
                <w:rFonts w:ascii="宋体" w:eastAsia="宋体" w:hAnsi="宋体" w:cs="宋体"/>
                <w:sz w:val="24"/>
              </w:rPr>
            </w:pPr>
            <w:bookmarkStart w:id="17" w:name="jsly"/>
            <w:r>
              <w:rPr>
                <w:rFonts w:ascii="宋体" w:eastAsia="宋体" w:hAnsi="宋体" w:cs="宋体"/>
                <w:sz w:val="24"/>
              </w:rPr>
              <w:t>其它</w:t>
            </w:r>
            <w:bookmarkEnd w:id="17"/>
          </w:p>
        </w:tc>
      </w:tr>
      <w:tr w14:paraId="1AEAFF93">
        <w:tblPrEx>
          <w:tblW w:w="10635" w:type="dxa"/>
          <w:jc w:val="center"/>
          <w:tblLayout w:type="fixed"/>
          <w:tblCellMar>
            <w:top w:w="0" w:type="dxa"/>
            <w:left w:w="108" w:type="dxa"/>
            <w:bottom w:w="0" w:type="dxa"/>
            <w:right w:w="108" w:type="dxa"/>
          </w:tblCellMar>
        </w:tblPrEx>
        <w:trPr>
          <w:cantSplit/>
          <w:trHeight w:val="541"/>
          <w:jc w:val="center"/>
        </w:trPr>
        <w:tc>
          <w:tcPr>
            <w:tcW w:w="1779" w:type="dxa"/>
            <w:gridSpan w:val="2"/>
            <w:vAlign w:val="center"/>
          </w:tcPr>
          <w:p w14:paraId="27E5FB0F">
            <w:pPr>
              <w:wordWrap w:val="0"/>
              <w:jc w:val="center"/>
              <w:rPr>
                <w:sz w:val="24"/>
              </w:rPr>
            </w:pPr>
            <w:r>
              <w:rPr>
                <w:rFonts w:hint="eastAsia"/>
                <w:sz w:val="24"/>
              </w:rPr>
              <w:t>所属学科1</w:t>
            </w:r>
          </w:p>
        </w:tc>
        <w:tc>
          <w:tcPr>
            <w:tcW w:w="4275" w:type="dxa"/>
            <w:gridSpan w:val="6"/>
            <w:vAlign w:val="center"/>
          </w:tcPr>
          <w:p w14:paraId="3CDD4644">
            <w:pPr>
              <w:wordWrap w:val="0"/>
              <w:rPr>
                <w:rFonts w:ascii="宋体" w:eastAsia="宋体" w:hAnsi="宋体" w:cs="宋体"/>
                <w:sz w:val="24"/>
              </w:rPr>
            </w:pPr>
            <w:bookmarkStart w:id="18" w:name="ssxk1"/>
            <w:r>
              <w:rPr>
                <w:rFonts w:ascii="宋体" w:eastAsia="宋体" w:hAnsi="宋体" w:cs="宋体"/>
                <w:sz w:val="24"/>
              </w:rPr>
              <w:t>E080511-混凝土结构材料</w:t>
            </w:r>
            <w:bookmarkEnd w:id="18"/>
          </w:p>
        </w:tc>
        <w:tc>
          <w:tcPr>
            <w:tcW w:w="1417" w:type="dxa"/>
            <w:gridSpan w:val="2"/>
            <w:vAlign w:val="center"/>
          </w:tcPr>
          <w:p w14:paraId="0FDD740D">
            <w:pPr>
              <w:wordWrap w:val="0"/>
              <w:jc w:val="center"/>
              <w:rPr>
                <w:sz w:val="24"/>
              </w:rPr>
            </w:pPr>
            <w:r>
              <w:rPr>
                <w:rFonts w:hint="eastAsia"/>
                <w:sz w:val="24"/>
              </w:rPr>
              <w:t>所属学科2</w:t>
            </w:r>
          </w:p>
        </w:tc>
        <w:tc>
          <w:tcPr>
            <w:tcW w:w="3164" w:type="dxa"/>
            <w:gridSpan w:val="3"/>
            <w:vAlign w:val="center"/>
          </w:tcPr>
          <w:p w14:paraId="3DB9C5EE">
            <w:pPr>
              <w:wordWrap w:val="0"/>
              <w:jc w:val="left"/>
              <w:rPr>
                <w:rFonts w:ascii="宋体" w:eastAsia="宋体" w:hAnsi="宋体" w:cs="宋体"/>
                <w:sz w:val="24"/>
              </w:rPr>
            </w:pPr>
            <w:bookmarkStart w:id="19" w:name="ssxk2"/>
            <w:r>
              <w:rPr>
                <w:rFonts w:ascii="宋体" w:eastAsia="宋体" w:hAnsi="宋体" w:cs="宋体"/>
                <w:sz w:val="24"/>
              </w:rPr>
              <w:t>无</w:t>
            </w:r>
            <w:bookmarkEnd w:id="19"/>
          </w:p>
        </w:tc>
      </w:tr>
      <w:tr w14:paraId="736CF34D">
        <w:tblPrEx>
          <w:tblW w:w="10635" w:type="dxa"/>
          <w:jc w:val="center"/>
          <w:tblLayout w:type="fixed"/>
          <w:tblCellMar>
            <w:top w:w="0" w:type="dxa"/>
            <w:left w:w="108" w:type="dxa"/>
            <w:bottom w:w="0" w:type="dxa"/>
            <w:right w:w="108" w:type="dxa"/>
          </w:tblCellMar>
        </w:tblPrEx>
        <w:trPr>
          <w:cantSplit/>
          <w:trHeight w:val="419"/>
          <w:jc w:val="center"/>
        </w:trPr>
        <w:tc>
          <w:tcPr>
            <w:tcW w:w="1779" w:type="dxa"/>
            <w:gridSpan w:val="2"/>
            <w:vAlign w:val="center"/>
          </w:tcPr>
          <w:p w14:paraId="445B6226">
            <w:pPr>
              <w:wordWrap w:val="0"/>
              <w:jc w:val="center"/>
              <w:rPr>
                <w:sz w:val="24"/>
              </w:rPr>
            </w:pPr>
            <w:r>
              <w:rPr>
                <w:rFonts w:hint="eastAsia"/>
                <w:sz w:val="24"/>
              </w:rPr>
              <w:t>关键词</w:t>
            </w:r>
          </w:p>
        </w:tc>
        <w:tc>
          <w:tcPr>
            <w:tcW w:w="8856" w:type="dxa"/>
            <w:gridSpan w:val="11"/>
            <w:vAlign w:val="center"/>
          </w:tcPr>
          <w:p w14:paraId="00D12B0B">
            <w:pPr>
              <w:wordWrap w:val="0"/>
              <w:jc w:val="left"/>
              <w:rPr>
                <w:rFonts w:ascii="宋体" w:eastAsia="宋体" w:hAnsi="宋体" w:cs="宋体"/>
                <w:sz w:val="24"/>
              </w:rPr>
            </w:pPr>
            <w:bookmarkStart w:id="20" w:name="gjc"/>
            <w:r>
              <w:rPr>
                <w:rFonts w:ascii="宋体" w:eastAsia="宋体" w:hAnsi="宋体" w:cs="宋体"/>
                <w:sz w:val="24"/>
              </w:rPr>
              <w:t>碱激发材料,储能机理,水量分配,孔隙结构,离子浓度</w:t>
            </w:r>
            <w:bookmarkEnd w:id="20"/>
          </w:p>
        </w:tc>
      </w:tr>
      <w:tr w14:paraId="5099B504">
        <w:tblPrEx>
          <w:tblW w:w="10635" w:type="dxa"/>
          <w:jc w:val="center"/>
          <w:tblLayout w:type="fixed"/>
          <w:tblCellMar>
            <w:top w:w="0" w:type="dxa"/>
            <w:left w:w="108" w:type="dxa"/>
            <w:bottom w:w="0" w:type="dxa"/>
            <w:right w:w="108" w:type="dxa"/>
          </w:tblCellMar>
        </w:tblPrEx>
        <w:trPr>
          <w:cantSplit/>
          <w:trHeight w:val="419"/>
          <w:jc w:val="center"/>
        </w:trPr>
        <w:tc>
          <w:tcPr>
            <w:tcW w:w="502" w:type="dxa"/>
            <w:vMerge w:val="restart"/>
            <w:vAlign w:val="center"/>
          </w:tcPr>
          <w:p w14:paraId="35BEB48E">
            <w:pPr>
              <w:wordWrap w:val="0"/>
              <w:jc w:val="center"/>
              <w:rPr>
                <w:sz w:val="24"/>
              </w:rPr>
            </w:pPr>
            <w:r>
              <w:rPr>
                <w:rFonts w:hint="eastAsia"/>
                <w:color w:val="0D0D0D"/>
                <w:sz w:val="24"/>
              </w:rPr>
              <w:t>申报</w:t>
            </w:r>
            <w:r>
              <w:rPr>
                <w:rFonts w:hint="eastAsia"/>
                <w:sz w:val="24"/>
              </w:rPr>
              <w:t>人信息</w:t>
            </w:r>
          </w:p>
        </w:tc>
        <w:tc>
          <w:tcPr>
            <w:tcW w:w="1277" w:type="dxa"/>
            <w:vAlign w:val="center"/>
          </w:tcPr>
          <w:p w14:paraId="70217A09">
            <w:pPr>
              <w:wordWrap w:val="0"/>
              <w:jc w:val="center"/>
              <w:rPr>
                <w:sz w:val="24"/>
              </w:rPr>
            </w:pPr>
            <w:r>
              <w:rPr>
                <w:rFonts w:hint="eastAsia"/>
                <w:sz w:val="24"/>
              </w:rPr>
              <w:t>姓名</w:t>
            </w:r>
          </w:p>
        </w:tc>
        <w:tc>
          <w:tcPr>
            <w:tcW w:w="1134" w:type="dxa"/>
            <w:gridSpan w:val="2"/>
            <w:vAlign w:val="center"/>
          </w:tcPr>
          <w:p w14:paraId="4F538BED">
            <w:pPr>
              <w:wordWrap w:val="0"/>
              <w:jc w:val="center"/>
              <w:rPr>
                <w:rFonts w:ascii="宋体" w:eastAsia="宋体" w:hAnsi="宋体" w:cs="宋体"/>
                <w:sz w:val="24"/>
              </w:rPr>
            </w:pPr>
            <w:bookmarkStart w:id="21" w:name="cddwfzr"/>
            <w:r>
              <w:rPr>
                <w:rFonts w:ascii="宋体" w:eastAsia="宋体" w:hAnsi="宋体" w:cs="宋体"/>
                <w:sz w:val="24"/>
              </w:rPr>
              <w:t>马宏强</w:t>
            </w:r>
            <w:bookmarkEnd w:id="21"/>
          </w:p>
        </w:tc>
        <w:tc>
          <w:tcPr>
            <w:tcW w:w="828" w:type="dxa"/>
            <w:vAlign w:val="center"/>
          </w:tcPr>
          <w:p w14:paraId="532BE939">
            <w:pPr>
              <w:wordWrap w:val="0"/>
              <w:jc w:val="center"/>
              <w:rPr>
                <w:sz w:val="24"/>
              </w:rPr>
            </w:pPr>
            <w:r>
              <w:rPr>
                <w:rFonts w:hint="eastAsia"/>
                <w:sz w:val="24"/>
              </w:rPr>
              <w:t>性别</w:t>
            </w:r>
          </w:p>
        </w:tc>
        <w:tc>
          <w:tcPr>
            <w:tcW w:w="1440" w:type="dxa"/>
            <w:vAlign w:val="center"/>
          </w:tcPr>
          <w:p w14:paraId="569F1FA6">
            <w:pPr>
              <w:wordWrap w:val="0"/>
              <w:jc w:val="center"/>
              <w:rPr>
                <w:rFonts w:ascii="宋体" w:eastAsia="宋体" w:hAnsi="宋体" w:cs="宋体"/>
                <w:sz w:val="24"/>
              </w:rPr>
            </w:pPr>
            <w:bookmarkStart w:id="22" w:name="xb"/>
            <w:r>
              <w:rPr>
                <w:rFonts w:ascii="宋体" w:eastAsia="宋体" w:hAnsi="宋体" w:cs="宋体"/>
                <w:sz w:val="24"/>
              </w:rPr>
              <w:t>男</w:t>
            </w:r>
            <w:bookmarkEnd w:id="22"/>
          </w:p>
        </w:tc>
        <w:tc>
          <w:tcPr>
            <w:tcW w:w="873" w:type="dxa"/>
            <w:gridSpan w:val="2"/>
            <w:vAlign w:val="center"/>
          </w:tcPr>
          <w:p w14:paraId="318E0B62">
            <w:pPr>
              <w:wordWrap w:val="0"/>
              <w:jc w:val="center"/>
              <w:rPr>
                <w:sz w:val="24"/>
              </w:rPr>
            </w:pPr>
            <w:r>
              <w:rPr>
                <w:rFonts w:hint="eastAsia"/>
                <w:sz w:val="24"/>
              </w:rPr>
              <w:t>出生年月</w:t>
            </w:r>
          </w:p>
        </w:tc>
        <w:tc>
          <w:tcPr>
            <w:tcW w:w="1417" w:type="dxa"/>
            <w:gridSpan w:val="2"/>
            <w:vAlign w:val="center"/>
          </w:tcPr>
          <w:p w14:paraId="31576D8B">
            <w:pPr>
              <w:wordWrap w:val="0"/>
              <w:jc w:val="center"/>
              <w:rPr>
                <w:rFonts w:ascii="宋体" w:eastAsia="宋体" w:hAnsi="宋体" w:cs="宋体"/>
                <w:sz w:val="24"/>
              </w:rPr>
            </w:pPr>
            <w:bookmarkStart w:id="23" w:name="csny"/>
            <w:r>
              <w:rPr>
                <w:rFonts w:ascii="宋体" w:eastAsia="宋体" w:hAnsi="宋体" w:cs="宋体"/>
                <w:sz w:val="24"/>
              </w:rPr>
              <w:t>1992-01</w:t>
            </w:r>
            <w:bookmarkEnd w:id="23"/>
          </w:p>
        </w:tc>
        <w:tc>
          <w:tcPr>
            <w:tcW w:w="1025" w:type="dxa"/>
            <w:vAlign w:val="center"/>
          </w:tcPr>
          <w:p w14:paraId="3E1D232E">
            <w:pPr>
              <w:wordWrap w:val="0"/>
              <w:jc w:val="center"/>
              <w:rPr>
                <w:sz w:val="24"/>
              </w:rPr>
            </w:pPr>
            <w:r>
              <w:rPr>
                <w:rFonts w:hint="eastAsia"/>
                <w:sz w:val="24"/>
              </w:rPr>
              <w:t>固定</w:t>
            </w:r>
          </w:p>
          <w:p w14:paraId="02123728">
            <w:pPr>
              <w:wordWrap w:val="0"/>
              <w:jc w:val="center"/>
              <w:rPr>
                <w:sz w:val="24"/>
              </w:rPr>
            </w:pPr>
            <w:r>
              <w:rPr>
                <w:rFonts w:hint="eastAsia"/>
                <w:sz w:val="24"/>
              </w:rPr>
              <w:t>电话</w:t>
            </w:r>
          </w:p>
        </w:tc>
        <w:tc>
          <w:tcPr>
            <w:tcW w:w="2139" w:type="dxa"/>
            <w:gridSpan w:val="2"/>
            <w:vAlign w:val="center"/>
          </w:tcPr>
          <w:p w14:paraId="0FDA9BDA">
            <w:pPr>
              <w:wordWrap w:val="0"/>
              <w:jc w:val="center"/>
              <w:rPr>
                <w:rFonts w:ascii="宋体" w:eastAsia="宋体" w:hAnsi="宋体" w:cs="宋体"/>
                <w:sz w:val="24"/>
              </w:rPr>
            </w:pPr>
            <w:bookmarkStart w:id="24" w:name="cddwfzrdh"/>
            <w:bookmarkEnd w:id="24"/>
          </w:p>
        </w:tc>
      </w:tr>
      <w:tr w14:paraId="6684EA4E">
        <w:tblPrEx>
          <w:tblW w:w="10635" w:type="dxa"/>
          <w:jc w:val="center"/>
          <w:tblLayout w:type="fixed"/>
          <w:tblCellMar>
            <w:top w:w="0" w:type="dxa"/>
            <w:left w:w="108" w:type="dxa"/>
            <w:bottom w:w="0" w:type="dxa"/>
            <w:right w:w="108" w:type="dxa"/>
          </w:tblCellMar>
        </w:tblPrEx>
        <w:trPr>
          <w:cantSplit/>
          <w:trHeight w:val="549"/>
          <w:jc w:val="center"/>
        </w:trPr>
        <w:tc>
          <w:tcPr>
            <w:tcW w:w="502" w:type="dxa"/>
            <w:vMerge/>
            <w:vAlign w:val="center"/>
          </w:tcPr>
          <w:p w14:paraId="33C23B7D">
            <w:pPr>
              <w:wordWrap w:val="0"/>
              <w:jc w:val="center"/>
              <w:rPr>
                <w:sz w:val="24"/>
              </w:rPr>
            </w:pPr>
          </w:p>
        </w:tc>
        <w:tc>
          <w:tcPr>
            <w:tcW w:w="1277" w:type="dxa"/>
            <w:vAlign w:val="center"/>
          </w:tcPr>
          <w:p w14:paraId="3D70E681">
            <w:pPr>
              <w:wordWrap w:val="0"/>
              <w:jc w:val="center"/>
              <w:rPr>
                <w:sz w:val="24"/>
              </w:rPr>
            </w:pPr>
            <w:r>
              <w:rPr>
                <w:rFonts w:hint="eastAsia"/>
                <w:sz w:val="24"/>
              </w:rPr>
              <w:t>学位</w:t>
            </w:r>
          </w:p>
        </w:tc>
        <w:tc>
          <w:tcPr>
            <w:tcW w:w="1134" w:type="dxa"/>
            <w:gridSpan w:val="2"/>
            <w:vAlign w:val="center"/>
          </w:tcPr>
          <w:p w14:paraId="2F47B044">
            <w:pPr>
              <w:wordWrap w:val="0"/>
              <w:jc w:val="center"/>
              <w:rPr>
                <w:rFonts w:ascii="宋体" w:eastAsia="宋体" w:hAnsi="宋体" w:cs="宋体"/>
                <w:sz w:val="24"/>
              </w:rPr>
            </w:pPr>
            <w:bookmarkStart w:id="25" w:name="xw"/>
            <w:r>
              <w:rPr>
                <w:rFonts w:ascii="宋体" w:eastAsia="宋体" w:hAnsi="宋体" w:cs="宋体"/>
                <w:sz w:val="24"/>
              </w:rPr>
              <w:t>博士</w:t>
            </w:r>
            <w:bookmarkEnd w:id="25"/>
          </w:p>
        </w:tc>
        <w:tc>
          <w:tcPr>
            <w:tcW w:w="828" w:type="dxa"/>
            <w:vAlign w:val="center"/>
          </w:tcPr>
          <w:p w14:paraId="6C41EC87">
            <w:pPr>
              <w:wordWrap w:val="0"/>
              <w:jc w:val="center"/>
              <w:rPr>
                <w:sz w:val="24"/>
              </w:rPr>
            </w:pPr>
            <w:r>
              <w:rPr>
                <w:rFonts w:hint="eastAsia"/>
                <w:sz w:val="24"/>
              </w:rPr>
              <w:t>职称</w:t>
            </w:r>
          </w:p>
        </w:tc>
        <w:tc>
          <w:tcPr>
            <w:tcW w:w="1440" w:type="dxa"/>
            <w:vAlign w:val="center"/>
          </w:tcPr>
          <w:p w14:paraId="381BF05A">
            <w:pPr>
              <w:wordWrap w:val="0"/>
              <w:jc w:val="center"/>
              <w:rPr>
                <w:rFonts w:ascii="宋体" w:eastAsia="宋体" w:hAnsi="宋体" w:cs="宋体"/>
                <w:sz w:val="24"/>
              </w:rPr>
            </w:pPr>
            <w:bookmarkStart w:id="26" w:name="zc"/>
            <w:r>
              <w:rPr>
                <w:rFonts w:ascii="宋体" w:eastAsia="宋体" w:hAnsi="宋体" w:cs="宋体"/>
                <w:sz w:val="24"/>
              </w:rPr>
              <w:t>副教授</w:t>
            </w:r>
            <w:bookmarkEnd w:id="26"/>
          </w:p>
        </w:tc>
        <w:tc>
          <w:tcPr>
            <w:tcW w:w="873" w:type="dxa"/>
            <w:gridSpan w:val="2"/>
            <w:vAlign w:val="center"/>
          </w:tcPr>
          <w:p w14:paraId="22E08989">
            <w:pPr>
              <w:wordWrap w:val="0"/>
              <w:jc w:val="center"/>
              <w:rPr>
                <w:sz w:val="24"/>
              </w:rPr>
            </w:pPr>
            <w:r>
              <w:rPr>
                <w:rFonts w:hint="eastAsia"/>
                <w:sz w:val="24"/>
              </w:rPr>
              <w:t>民族</w:t>
            </w:r>
          </w:p>
        </w:tc>
        <w:tc>
          <w:tcPr>
            <w:tcW w:w="1417" w:type="dxa"/>
            <w:gridSpan w:val="2"/>
            <w:vAlign w:val="center"/>
          </w:tcPr>
          <w:p w14:paraId="1B090245">
            <w:pPr>
              <w:wordWrap w:val="0"/>
              <w:jc w:val="center"/>
              <w:rPr>
                <w:rFonts w:ascii="宋体" w:eastAsia="宋体" w:hAnsi="宋体" w:cs="宋体"/>
                <w:sz w:val="24"/>
              </w:rPr>
            </w:pPr>
            <w:bookmarkStart w:id="27" w:name="mz"/>
            <w:r>
              <w:rPr>
                <w:rFonts w:ascii="宋体" w:eastAsia="宋体" w:hAnsi="宋体" w:cs="宋体"/>
                <w:sz w:val="24"/>
              </w:rPr>
              <w:t>汉族</w:t>
            </w:r>
            <w:bookmarkEnd w:id="27"/>
          </w:p>
        </w:tc>
        <w:tc>
          <w:tcPr>
            <w:tcW w:w="1025" w:type="dxa"/>
            <w:vAlign w:val="center"/>
          </w:tcPr>
          <w:p w14:paraId="40B89C3F">
            <w:pPr>
              <w:wordWrap w:val="0"/>
              <w:jc w:val="center"/>
              <w:rPr>
                <w:sz w:val="24"/>
              </w:rPr>
            </w:pPr>
            <w:r>
              <w:rPr>
                <w:rFonts w:hint="eastAsia"/>
                <w:sz w:val="24"/>
              </w:rPr>
              <w:t>移动</w:t>
            </w:r>
          </w:p>
          <w:p w14:paraId="43A8DF11">
            <w:pPr>
              <w:wordWrap w:val="0"/>
              <w:jc w:val="center"/>
              <w:rPr>
                <w:sz w:val="24"/>
              </w:rPr>
            </w:pPr>
            <w:r>
              <w:rPr>
                <w:rFonts w:hint="eastAsia"/>
                <w:sz w:val="24"/>
              </w:rPr>
              <w:t>电话</w:t>
            </w:r>
          </w:p>
        </w:tc>
        <w:tc>
          <w:tcPr>
            <w:tcW w:w="2139" w:type="dxa"/>
            <w:gridSpan w:val="2"/>
            <w:vAlign w:val="center"/>
          </w:tcPr>
          <w:p w14:paraId="40826C63">
            <w:pPr>
              <w:wordWrap w:val="0"/>
              <w:jc w:val="center"/>
              <w:rPr>
                <w:rFonts w:ascii="宋体" w:eastAsia="宋体" w:hAnsi="宋体" w:cs="宋体"/>
                <w:sz w:val="24"/>
              </w:rPr>
            </w:pPr>
            <w:bookmarkStart w:id="28" w:name="cddwfzrsj"/>
            <w:r>
              <w:rPr>
                <w:rFonts w:ascii="宋体" w:eastAsia="宋体" w:hAnsi="宋体" w:cs="宋体"/>
                <w:sz w:val="24"/>
              </w:rPr>
              <w:t>13051859177</w:t>
            </w:r>
            <w:bookmarkEnd w:id="28"/>
          </w:p>
        </w:tc>
      </w:tr>
      <w:tr w14:paraId="0587A71F">
        <w:tblPrEx>
          <w:tblW w:w="10635" w:type="dxa"/>
          <w:jc w:val="center"/>
          <w:tblLayout w:type="fixed"/>
          <w:tblCellMar>
            <w:top w:w="0" w:type="dxa"/>
            <w:left w:w="108" w:type="dxa"/>
            <w:bottom w:w="0" w:type="dxa"/>
            <w:right w:w="108" w:type="dxa"/>
          </w:tblCellMar>
        </w:tblPrEx>
        <w:trPr>
          <w:cantSplit/>
          <w:trHeight w:val="419"/>
          <w:jc w:val="center"/>
        </w:trPr>
        <w:tc>
          <w:tcPr>
            <w:tcW w:w="502" w:type="dxa"/>
            <w:vMerge/>
            <w:vAlign w:val="center"/>
          </w:tcPr>
          <w:p w14:paraId="141D9219">
            <w:pPr>
              <w:wordWrap w:val="0"/>
              <w:jc w:val="center"/>
              <w:rPr>
                <w:sz w:val="24"/>
              </w:rPr>
            </w:pPr>
          </w:p>
        </w:tc>
        <w:tc>
          <w:tcPr>
            <w:tcW w:w="1277" w:type="dxa"/>
            <w:vAlign w:val="center"/>
          </w:tcPr>
          <w:p w14:paraId="4D7A81CD">
            <w:pPr>
              <w:wordWrap w:val="0"/>
              <w:jc w:val="center"/>
              <w:rPr>
                <w:sz w:val="24"/>
              </w:rPr>
            </w:pPr>
            <w:r>
              <w:rPr>
                <w:rFonts w:hint="eastAsia"/>
                <w:sz w:val="24"/>
              </w:rPr>
              <w:t>证件名称</w:t>
            </w:r>
          </w:p>
        </w:tc>
        <w:tc>
          <w:tcPr>
            <w:tcW w:w="1134" w:type="dxa"/>
            <w:gridSpan w:val="2"/>
            <w:vAlign w:val="center"/>
          </w:tcPr>
          <w:p w14:paraId="6FD28291">
            <w:pPr>
              <w:wordWrap w:val="0"/>
              <w:jc w:val="center"/>
              <w:rPr>
                <w:rFonts w:ascii="宋体" w:eastAsia="宋体" w:hAnsi="宋体" w:cs="宋体"/>
                <w:sz w:val="24"/>
              </w:rPr>
            </w:pPr>
            <w:bookmarkStart w:id="29" w:name="zjmc"/>
            <w:r>
              <w:rPr>
                <w:rFonts w:ascii="宋体" w:eastAsia="宋体" w:hAnsi="宋体" w:cs="宋体"/>
                <w:sz w:val="24"/>
              </w:rPr>
              <w:t>身份证</w:t>
            </w:r>
            <w:bookmarkEnd w:id="29"/>
          </w:p>
        </w:tc>
        <w:tc>
          <w:tcPr>
            <w:tcW w:w="828" w:type="dxa"/>
            <w:vAlign w:val="center"/>
          </w:tcPr>
          <w:p w14:paraId="79E7E07F">
            <w:pPr>
              <w:wordWrap w:val="0"/>
              <w:jc w:val="center"/>
              <w:rPr>
                <w:sz w:val="24"/>
              </w:rPr>
            </w:pPr>
            <w:r>
              <w:rPr>
                <w:rFonts w:hint="eastAsia"/>
                <w:sz w:val="24"/>
              </w:rPr>
              <w:t>证件号码</w:t>
            </w:r>
          </w:p>
        </w:tc>
        <w:tc>
          <w:tcPr>
            <w:tcW w:w="3730" w:type="dxa"/>
            <w:gridSpan w:val="5"/>
            <w:vAlign w:val="center"/>
          </w:tcPr>
          <w:p w14:paraId="4F9C50A9">
            <w:pPr>
              <w:wordWrap w:val="0"/>
              <w:jc w:val="left"/>
              <w:rPr>
                <w:rFonts w:ascii="宋体" w:eastAsia="宋体" w:hAnsi="宋体" w:cs="宋体"/>
                <w:sz w:val="24"/>
              </w:rPr>
            </w:pPr>
            <w:bookmarkStart w:id="30" w:name="zjhm"/>
            <w:r>
              <w:rPr>
                <w:rFonts w:ascii="宋体" w:eastAsia="宋体" w:hAnsi="宋体" w:cs="宋体"/>
                <w:sz w:val="24"/>
              </w:rPr>
              <w:t>370523199201074935</w:t>
            </w:r>
            <w:bookmarkEnd w:id="30"/>
          </w:p>
        </w:tc>
        <w:tc>
          <w:tcPr>
            <w:tcW w:w="1025" w:type="dxa"/>
            <w:vAlign w:val="center"/>
          </w:tcPr>
          <w:p w14:paraId="3E87AFD5">
            <w:pPr>
              <w:wordWrap w:val="0"/>
              <w:jc w:val="center"/>
              <w:rPr>
                <w:sz w:val="24"/>
              </w:rPr>
            </w:pPr>
            <w:r>
              <w:rPr>
                <w:rFonts w:hint="eastAsia"/>
                <w:sz w:val="24"/>
              </w:rPr>
              <w:t>电子</w:t>
            </w:r>
          </w:p>
          <w:p w14:paraId="3ACF4C38">
            <w:pPr>
              <w:wordWrap w:val="0"/>
              <w:jc w:val="center"/>
              <w:rPr>
                <w:sz w:val="24"/>
              </w:rPr>
            </w:pPr>
            <w:r>
              <w:rPr>
                <w:rFonts w:hint="eastAsia"/>
                <w:sz w:val="24"/>
              </w:rPr>
              <w:t>邮箱</w:t>
            </w:r>
          </w:p>
        </w:tc>
        <w:tc>
          <w:tcPr>
            <w:tcW w:w="2139" w:type="dxa"/>
            <w:gridSpan w:val="2"/>
            <w:vAlign w:val="center"/>
          </w:tcPr>
          <w:p w14:paraId="3DABDE9B">
            <w:pPr>
              <w:wordWrap w:val="0"/>
              <w:jc w:val="center"/>
              <w:rPr>
                <w:rFonts w:ascii="宋体" w:eastAsia="宋体" w:hAnsi="宋体" w:cs="宋体"/>
                <w:sz w:val="24"/>
              </w:rPr>
            </w:pPr>
            <w:bookmarkStart w:id="31" w:name="cddwfzryx"/>
            <w:r>
              <w:rPr>
                <w:rFonts w:ascii="宋体" w:eastAsia="宋体" w:hAnsi="宋体" w:cs="宋体"/>
                <w:sz w:val="24"/>
              </w:rPr>
              <w:t>mahongqiang@hbu.edu.cn</w:t>
            </w:r>
            <w:bookmarkEnd w:id="31"/>
          </w:p>
        </w:tc>
      </w:tr>
      <w:tr w14:paraId="1432E200">
        <w:tblPrEx>
          <w:tblW w:w="10635" w:type="dxa"/>
          <w:jc w:val="center"/>
          <w:tblLayout w:type="fixed"/>
          <w:tblCellMar>
            <w:top w:w="0" w:type="dxa"/>
            <w:left w:w="108" w:type="dxa"/>
            <w:bottom w:w="0" w:type="dxa"/>
            <w:right w:w="108" w:type="dxa"/>
          </w:tblCellMar>
        </w:tblPrEx>
        <w:trPr>
          <w:cantSplit/>
          <w:trHeight w:val="419"/>
          <w:jc w:val="center"/>
        </w:trPr>
        <w:tc>
          <w:tcPr>
            <w:tcW w:w="502" w:type="dxa"/>
            <w:vMerge/>
            <w:vAlign w:val="center"/>
          </w:tcPr>
          <w:p w14:paraId="4022F653">
            <w:pPr>
              <w:wordWrap w:val="0"/>
              <w:jc w:val="center"/>
              <w:rPr>
                <w:sz w:val="24"/>
              </w:rPr>
            </w:pPr>
          </w:p>
        </w:tc>
        <w:tc>
          <w:tcPr>
            <w:tcW w:w="1277" w:type="dxa"/>
            <w:vAlign w:val="center"/>
          </w:tcPr>
          <w:p w14:paraId="1850B27C">
            <w:pPr>
              <w:wordWrap w:val="0"/>
              <w:jc w:val="center"/>
              <w:rPr>
                <w:sz w:val="24"/>
              </w:rPr>
            </w:pPr>
            <w:r>
              <w:rPr>
                <w:rFonts w:hint="eastAsia"/>
                <w:sz w:val="24"/>
              </w:rPr>
              <w:t>工作单位</w:t>
            </w:r>
          </w:p>
        </w:tc>
        <w:tc>
          <w:tcPr>
            <w:tcW w:w="5692" w:type="dxa"/>
            <w:gridSpan w:val="8"/>
            <w:vAlign w:val="center"/>
          </w:tcPr>
          <w:p w14:paraId="7B2793C8">
            <w:pPr>
              <w:wordWrap w:val="0"/>
              <w:jc w:val="left"/>
              <w:rPr>
                <w:rFonts w:ascii="宋体" w:eastAsia="宋体" w:hAnsi="宋体" w:cs="宋体"/>
                <w:sz w:val="24"/>
              </w:rPr>
            </w:pPr>
            <w:bookmarkStart w:id="32" w:name="sbrdwmc"/>
            <w:r>
              <w:rPr>
                <w:rFonts w:ascii="宋体" w:eastAsia="宋体" w:hAnsi="宋体" w:cs="宋体"/>
                <w:sz w:val="24"/>
              </w:rPr>
              <w:t>河北大学</w:t>
            </w:r>
            <w:bookmarkEnd w:id="32"/>
          </w:p>
        </w:tc>
        <w:tc>
          <w:tcPr>
            <w:tcW w:w="1025" w:type="dxa"/>
            <w:vAlign w:val="center"/>
          </w:tcPr>
          <w:p w14:paraId="27B78693">
            <w:pPr>
              <w:wordWrap w:val="0"/>
              <w:jc w:val="center"/>
              <w:rPr>
                <w:sz w:val="24"/>
              </w:rPr>
            </w:pPr>
            <w:r>
              <w:rPr>
                <w:rFonts w:hint="eastAsia"/>
                <w:sz w:val="24"/>
              </w:rPr>
              <w:t>申报人</w:t>
            </w:r>
          </w:p>
          <w:p w14:paraId="385D5213">
            <w:pPr>
              <w:jc w:val="center"/>
              <w:rPr>
                <w:sz w:val="24"/>
              </w:rPr>
            </w:pPr>
            <w:r>
              <w:rPr>
                <w:rFonts w:hint="eastAsia"/>
                <w:sz w:val="24"/>
              </w:rPr>
              <w:t>类别</w:t>
            </w:r>
          </w:p>
        </w:tc>
        <w:tc>
          <w:tcPr>
            <w:tcW w:w="2139" w:type="dxa"/>
            <w:gridSpan w:val="2"/>
            <w:vAlign w:val="center"/>
          </w:tcPr>
          <w:p w14:paraId="6ADBFAD6">
            <w:pPr>
              <w:jc w:val="center"/>
              <w:rPr>
                <w:rFonts w:ascii="宋体" w:eastAsia="宋体" w:hAnsi="宋体" w:cs="宋体"/>
                <w:sz w:val="24"/>
              </w:rPr>
            </w:pPr>
            <w:bookmarkStart w:id="33" w:name="sbrlb"/>
            <w:r>
              <w:rPr>
                <w:rFonts w:ascii="宋体" w:eastAsia="宋体" w:hAnsi="宋体" w:cs="宋体"/>
                <w:sz w:val="24"/>
              </w:rPr>
              <w:t>在冀全职人员</w:t>
            </w:r>
            <w:bookmarkEnd w:id="33"/>
          </w:p>
        </w:tc>
      </w:tr>
      <w:tr w14:paraId="0B04A9C6">
        <w:tblPrEx>
          <w:tblW w:w="10635" w:type="dxa"/>
          <w:jc w:val="center"/>
          <w:tblLayout w:type="fixed"/>
          <w:tblCellMar>
            <w:top w:w="0" w:type="dxa"/>
            <w:left w:w="108" w:type="dxa"/>
            <w:bottom w:w="0" w:type="dxa"/>
            <w:right w:w="108" w:type="dxa"/>
          </w:tblCellMar>
        </w:tblPrEx>
        <w:trPr>
          <w:cantSplit/>
          <w:trHeight w:val="419"/>
          <w:jc w:val="center"/>
        </w:trPr>
        <w:tc>
          <w:tcPr>
            <w:tcW w:w="502" w:type="dxa"/>
            <w:vMerge/>
            <w:vAlign w:val="center"/>
          </w:tcPr>
          <w:p w14:paraId="7F14D005">
            <w:pPr>
              <w:wordWrap w:val="0"/>
              <w:jc w:val="center"/>
              <w:rPr>
                <w:sz w:val="24"/>
              </w:rPr>
            </w:pPr>
          </w:p>
        </w:tc>
        <w:tc>
          <w:tcPr>
            <w:tcW w:w="1277" w:type="dxa"/>
            <w:vAlign w:val="center"/>
          </w:tcPr>
          <w:p w14:paraId="5C7D4E98">
            <w:pPr>
              <w:wordWrap w:val="0"/>
              <w:jc w:val="center"/>
              <w:rPr>
                <w:sz w:val="24"/>
              </w:rPr>
            </w:pPr>
            <w:r>
              <w:rPr>
                <w:rFonts w:hint="eastAsia"/>
                <w:sz w:val="24"/>
              </w:rPr>
              <w:t>个人通讯地址</w:t>
            </w:r>
          </w:p>
        </w:tc>
        <w:tc>
          <w:tcPr>
            <w:tcW w:w="5692" w:type="dxa"/>
            <w:gridSpan w:val="8"/>
            <w:vAlign w:val="center"/>
          </w:tcPr>
          <w:p w14:paraId="4E3D03F2">
            <w:pPr>
              <w:wordWrap w:val="0"/>
              <w:jc w:val="left"/>
              <w:rPr>
                <w:rFonts w:ascii="宋体" w:eastAsia="宋体" w:hAnsi="宋体" w:cs="宋体"/>
                <w:sz w:val="24"/>
              </w:rPr>
            </w:pPr>
            <w:bookmarkStart w:id="34" w:name="txdz"/>
            <w:r>
              <w:rPr>
                <w:rFonts w:ascii="宋体" w:eastAsia="宋体" w:hAnsi="宋体" w:cs="宋体"/>
                <w:sz w:val="24"/>
              </w:rPr>
              <w:t>河北省保定市莲池区七一东路河北大学新区D1-407</w:t>
            </w:r>
            <w:bookmarkEnd w:id="34"/>
          </w:p>
        </w:tc>
        <w:tc>
          <w:tcPr>
            <w:tcW w:w="1025" w:type="dxa"/>
            <w:vAlign w:val="center"/>
          </w:tcPr>
          <w:p w14:paraId="75A86A22">
            <w:pPr>
              <w:wordWrap w:val="0"/>
              <w:jc w:val="center"/>
              <w:rPr>
                <w:sz w:val="24"/>
              </w:rPr>
            </w:pPr>
            <w:r>
              <w:rPr>
                <w:rFonts w:hint="eastAsia"/>
                <w:sz w:val="24"/>
              </w:rPr>
              <w:t>邮政</w:t>
            </w:r>
          </w:p>
          <w:p w14:paraId="15CD35E1">
            <w:pPr>
              <w:wordWrap w:val="0"/>
              <w:jc w:val="center"/>
              <w:rPr>
                <w:sz w:val="24"/>
              </w:rPr>
            </w:pPr>
            <w:r>
              <w:rPr>
                <w:rFonts w:hint="eastAsia"/>
                <w:sz w:val="24"/>
              </w:rPr>
              <w:t>编码</w:t>
            </w:r>
          </w:p>
        </w:tc>
        <w:tc>
          <w:tcPr>
            <w:tcW w:w="2139" w:type="dxa"/>
            <w:gridSpan w:val="2"/>
            <w:vAlign w:val="center"/>
          </w:tcPr>
          <w:p w14:paraId="7C98BFD8">
            <w:pPr>
              <w:wordWrap w:val="0"/>
              <w:jc w:val="center"/>
              <w:rPr>
                <w:rFonts w:ascii="宋体" w:eastAsia="宋体" w:hAnsi="宋体" w:cs="宋体"/>
                <w:sz w:val="24"/>
              </w:rPr>
            </w:pPr>
            <w:bookmarkStart w:id="35" w:name="yzbm"/>
            <w:r>
              <w:rPr>
                <w:rFonts w:ascii="宋体" w:eastAsia="宋体" w:hAnsi="宋体" w:cs="宋体"/>
                <w:sz w:val="24"/>
              </w:rPr>
              <w:t>071002</w:t>
            </w:r>
            <w:bookmarkEnd w:id="35"/>
          </w:p>
        </w:tc>
      </w:tr>
      <w:tr w14:paraId="7236417B">
        <w:tblPrEx>
          <w:tblW w:w="10635" w:type="dxa"/>
          <w:jc w:val="center"/>
          <w:tblLayout w:type="fixed"/>
          <w:tblCellMar>
            <w:top w:w="0" w:type="dxa"/>
            <w:left w:w="108" w:type="dxa"/>
            <w:bottom w:w="0" w:type="dxa"/>
            <w:right w:w="108" w:type="dxa"/>
          </w:tblCellMar>
        </w:tblPrEx>
        <w:trPr>
          <w:cantSplit/>
          <w:trHeight w:val="419"/>
          <w:jc w:val="center"/>
        </w:trPr>
        <w:tc>
          <w:tcPr>
            <w:tcW w:w="502" w:type="dxa"/>
            <w:vMerge/>
            <w:vAlign w:val="center"/>
          </w:tcPr>
          <w:p w14:paraId="4CF1BE69">
            <w:pPr>
              <w:wordWrap w:val="0"/>
              <w:jc w:val="center"/>
              <w:rPr>
                <w:sz w:val="24"/>
              </w:rPr>
            </w:pPr>
          </w:p>
        </w:tc>
        <w:tc>
          <w:tcPr>
            <w:tcW w:w="1277" w:type="dxa"/>
            <w:vAlign w:val="center"/>
          </w:tcPr>
          <w:p w14:paraId="7122A5CC">
            <w:pPr>
              <w:wordWrap w:val="0"/>
              <w:jc w:val="center"/>
              <w:rPr>
                <w:sz w:val="24"/>
              </w:rPr>
            </w:pPr>
            <w:r>
              <w:rPr>
                <w:rFonts w:hint="eastAsia"/>
                <w:sz w:val="24"/>
              </w:rPr>
              <w:t>主要研究领域</w:t>
            </w:r>
          </w:p>
        </w:tc>
        <w:tc>
          <w:tcPr>
            <w:tcW w:w="8856" w:type="dxa"/>
            <w:gridSpan w:val="11"/>
            <w:vAlign w:val="center"/>
          </w:tcPr>
          <w:p w14:paraId="593F7347">
            <w:pPr>
              <w:wordWrap w:val="0"/>
              <w:jc w:val="left"/>
              <w:rPr>
                <w:rFonts w:ascii="宋体" w:eastAsia="宋体" w:hAnsi="宋体" w:cs="宋体"/>
                <w:sz w:val="24"/>
              </w:rPr>
            </w:pPr>
            <w:bookmarkStart w:id="36" w:name="zyyjly"/>
            <w:r>
              <w:rPr>
                <w:rFonts w:ascii="宋体" w:eastAsia="宋体" w:hAnsi="宋体" w:cs="宋体"/>
                <w:sz w:val="24"/>
              </w:rPr>
              <w:t>先进低碳建筑材料；碱激发胶凝材料；智能建筑材料设计</w:t>
            </w:r>
            <w:bookmarkEnd w:id="36"/>
          </w:p>
        </w:tc>
      </w:tr>
      <w:tr w14:paraId="4BB08146">
        <w:tblPrEx>
          <w:tblW w:w="10635" w:type="dxa"/>
          <w:jc w:val="center"/>
          <w:tblLayout w:type="fixed"/>
          <w:tblCellMar>
            <w:top w:w="0" w:type="dxa"/>
            <w:left w:w="108" w:type="dxa"/>
            <w:bottom w:w="0" w:type="dxa"/>
            <w:right w:w="108" w:type="dxa"/>
          </w:tblCellMar>
        </w:tblPrEx>
        <w:trPr>
          <w:cantSplit/>
          <w:trHeight w:val="539"/>
          <w:jc w:val="center"/>
        </w:trPr>
        <w:tc>
          <w:tcPr>
            <w:tcW w:w="502" w:type="dxa"/>
            <w:vMerge w:val="restart"/>
          </w:tcPr>
          <w:p w14:paraId="267B11F5">
            <w:pPr>
              <w:wordWrap w:val="0"/>
              <w:rPr>
                <w:sz w:val="24"/>
              </w:rPr>
            </w:pPr>
          </w:p>
          <w:p w14:paraId="5A6CAAA9">
            <w:pPr>
              <w:wordWrap w:val="0"/>
              <w:rPr>
                <w:sz w:val="24"/>
              </w:rPr>
            </w:pPr>
          </w:p>
          <w:p w14:paraId="15DBFA40">
            <w:pPr>
              <w:wordWrap w:val="0"/>
              <w:rPr>
                <w:sz w:val="24"/>
              </w:rPr>
            </w:pPr>
          </w:p>
          <w:p w14:paraId="331C2F75">
            <w:pPr>
              <w:wordWrap w:val="0"/>
              <w:rPr>
                <w:sz w:val="24"/>
              </w:rPr>
            </w:pPr>
          </w:p>
          <w:p w14:paraId="5B557CE9">
            <w:pPr>
              <w:wordWrap w:val="0"/>
              <w:rPr>
                <w:sz w:val="24"/>
              </w:rPr>
            </w:pPr>
          </w:p>
          <w:p w14:paraId="79A5D593">
            <w:pPr>
              <w:wordWrap w:val="0"/>
              <w:rPr>
                <w:sz w:val="24"/>
              </w:rPr>
            </w:pPr>
          </w:p>
          <w:p w14:paraId="69FF6DEC">
            <w:pPr>
              <w:wordWrap w:val="0"/>
              <w:rPr>
                <w:sz w:val="24"/>
              </w:rPr>
            </w:pPr>
            <w:r>
              <w:rPr>
                <w:rFonts w:hint="eastAsia"/>
                <w:sz w:val="24"/>
              </w:rPr>
              <w:t>申报</w:t>
            </w:r>
          </w:p>
          <w:p w14:paraId="0728EAF4">
            <w:pPr>
              <w:wordWrap w:val="0"/>
              <w:rPr>
                <w:sz w:val="24"/>
              </w:rPr>
            </w:pPr>
            <w:r>
              <w:rPr>
                <w:rFonts w:hint="eastAsia"/>
                <w:sz w:val="24"/>
              </w:rPr>
              <w:t>单</w:t>
            </w:r>
          </w:p>
          <w:p w14:paraId="47CA3B8D">
            <w:pPr>
              <w:wordWrap w:val="0"/>
              <w:rPr>
                <w:sz w:val="24"/>
              </w:rPr>
            </w:pPr>
            <w:r>
              <w:rPr>
                <w:rFonts w:hint="eastAsia"/>
                <w:sz w:val="24"/>
              </w:rPr>
              <w:t>位</w:t>
            </w:r>
          </w:p>
          <w:p w14:paraId="345B70CE">
            <w:pPr>
              <w:wordWrap w:val="0"/>
              <w:rPr>
                <w:sz w:val="24"/>
              </w:rPr>
            </w:pPr>
            <w:r>
              <w:rPr>
                <w:rFonts w:hint="eastAsia"/>
                <w:sz w:val="24"/>
              </w:rPr>
              <w:t>概</w:t>
            </w:r>
          </w:p>
          <w:p w14:paraId="33036DD9">
            <w:pPr>
              <w:wordWrap w:val="0"/>
              <w:rPr>
                <w:sz w:val="24"/>
              </w:rPr>
            </w:pPr>
            <w:r>
              <w:rPr>
                <w:rFonts w:hint="eastAsia"/>
                <w:sz w:val="24"/>
              </w:rPr>
              <w:t>况</w:t>
            </w:r>
          </w:p>
          <w:p w14:paraId="2599DD99">
            <w:pPr>
              <w:wordWrap w:val="0"/>
              <w:rPr>
                <w:sz w:val="24"/>
              </w:rPr>
            </w:pPr>
          </w:p>
          <w:p w14:paraId="1AD7002A">
            <w:pPr>
              <w:wordWrap w:val="0"/>
              <w:rPr>
                <w:sz w:val="24"/>
              </w:rPr>
            </w:pPr>
          </w:p>
          <w:p w14:paraId="452E0CF8">
            <w:pPr>
              <w:wordWrap w:val="0"/>
              <w:rPr>
                <w:sz w:val="24"/>
              </w:rPr>
            </w:pPr>
          </w:p>
        </w:tc>
        <w:tc>
          <w:tcPr>
            <w:tcW w:w="1277" w:type="dxa"/>
            <w:vAlign w:val="center"/>
          </w:tcPr>
          <w:p w14:paraId="12B46B66">
            <w:pPr>
              <w:wordWrap w:val="0"/>
              <w:jc w:val="center"/>
              <w:rPr>
                <w:sz w:val="24"/>
              </w:rPr>
            </w:pPr>
            <w:r>
              <w:rPr>
                <w:rFonts w:hint="eastAsia"/>
                <w:sz w:val="24"/>
              </w:rPr>
              <w:t>单位名称</w:t>
            </w:r>
          </w:p>
        </w:tc>
        <w:tc>
          <w:tcPr>
            <w:tcW w:w="4275" w:type="dxa"/>
            <w:gridSpan w:val="6"/>
            <w:vAlign w:val="center"/>
          </w:tcPr>
          <w:p w14:paraId="2E88F1B6">
            <w:pPr>
              <w:wordWrap w:val="0"/>
              <w:jc w:val="left"/>
              <w:rPr>
                <w:rFonts w:ascii="宋体" w:eastAsia="宋体" w:hAnsi="宋体" w:cs="宋体"/>
                <w:sz w:val="24"/>
              </w:rPr>
            </w:pPr>
            <w:bookmarkStart w:id="37" w:name="cddwmc"/>
            <w:r>
              <w:rPr>
                <w:rFonts w:ascii="宋体" w:eastAsia="宋体" w:hAnsi="宋体" w:cs="宋体"/>
                <w:sz w:val="24"/>
              </w:rPr>
              <w:t>河北大学</w:t>
            </w:r>
            <w:bookmarkEnd w:id="37"/>
          </w:p>
        </w:tc>
        <w:tc>
          <w:tcPr>
            <w:tcW w:w="1417" w:type="dxa"/>
            <w:gridSpan w:val="2"/>
            <w:vAlign w:val="center"/>
          </w:tcPr>
          <w:p w14:paraId="56AD9BCC">
            <w:pPr>
              <w:wordWrap w:val="0"/>
              <w:jc w:val="center"/>
              <w:rPr>
                <w:sz w:val="24"/>
              </w:rPr>
            </w:pPr>
            <w:r>
              <w:rPr>
                <w:rFonts w:hint="eastAsia"/>
                <w:sz w:val="24"/>
              </w:rPr>
              <w:t>法定代表人</w:t>
            </w:r>
          </w:p>
        </w:tc>
        <w:tc>
          <w:tcPr>
            <w:tcW w:w="3164" w:type="dxa"/>
            <w:gridSpan w:val="3"/>
            <w:vAlign w:val="center"/>
          </w:tcPr>
          <w:p w14:paraId="5D3EC24A">
            <w:pPr>
              <w:wordWrap w:val="0"/>
              <w:jc w:val="center"/>
              <w:rPr>
                <w:rFonts w:ascii="宋体" w:eastAsia="宋体" w:hAnsi="宋体" w:cs="宋体"/>
                <w:sz w:val="24"/>
              </w:rPr>
            </w:pPr>
            <w:bookmarkStart w:id="38" w:name="cddwfr1"/>
            <w:r>
              <w:rPr>
                <w:rFonts w:ascii="宋体" w:eastAsia="宋体" w:hAnsi="宋体" w:cs="宋体"/>
                <w:sz w:val="24"/>
              </w:rPr>
              <w:t>孟庆瑜</w:t>
            </w:r>
            <w:bookmarkEnd w:id="38"/>
          </w:p>
        </w:tc>
      </w:tr>
      <w:tr w14:paraId="7C46B2CD">
        <w:tblPrEx>
          <w:tblW w:w="10635" w:type="dxa"/>
          <w:jc w:val="center"/>
          <w:tblLayout w:type="fixed"/>
          <w:tblCellMar>
            <w:top w:w="0" w:type="dxa"/>
            <w:left w:w="108" w:type="dxa"/>
            <w:bottom w:w="0" w:type="dxa"/>
            <w:right w:w="108" w:type="dxa"/>
          </w:tblCellMar>
        </w:tblPrEx>
        <w:trPr>
          <w:cantSplit/>
          <w:trHeight w:val="561"/>
          <w:jc w:val="center"/>
        </w:trPr>
        <w:tc>
          <w:tcPr>
            <w:tcW w:w="502" w:type="dxa"/>
            <w:vMerge/>
          </w:tcPr>
          <w:p w14:paraId="4D5C45F4">
            <w:pPr>
              <w:wordWrap w:val="0"/>
              <w:rPr>
                <w:sz w:val="24"/>
              </w:rPr>
            </w:pPr>
          </w:p>
        </w:tc>
        <w:tc>
          <w:tcPr>
            <w:tcW w:w="1277" w:type="dxa"/>
            <w:vAlign w:val="center"/>
          </w:tcPr>
          <w:p w14:paraId="67F46E37">
            <w:pPr>
              <w:wordWrap w:val="0"/>
              <w:jc w:val="center"/>
              <w:rPr>
                <w:sz w:val="24"/>
              </w:rPr>
            </w:pPr>
            <w:r>
              <w:rPr>
                <w:rFonts w:hint="eastAsia"/>
                <w:sz w:val="24"/>
              </w:rPr>
              <w:t>单位地址</w:t>
            </w:r>
          </w:p>
        </w:tc>
        <w:tc>
          <w:tcPr>
            <w:tcW w:w="4275" w:type="dxa"/>
            <w:gridSpan w:val="6"/>
            <w:vAlign w:val="center"/>
          </w:tcPr>
          <w:p w14:paraId="2735263F">
            <w:pPr>
              <w:wordWrap w:val="0"/>
              <w:jc w:val="left"/>
              <w:rPr>
                <w:rFonts w:ascii="宋体" w:eastAsia="宋体" w:hAnsi="宋体" w:cs="宋体"/>
                <w:sz w:val="24"/>
              </w:rPr>
            </w:pPr>
            <w:bookmarkStart w:id="39" w:name="cddwdz1"/>
            <w:r>
              <w:rPr>
                <w:rFonts w:ascii="宋体" w:eastAsia="宋体" w:hAnsi="宋体" w:cs="宋体"/>
                <w:sz w:val="24"/>
              </w:rPr>
              <w:t>河北保定五四东路180号</w:t>
            </w:r>
            <w:bookmarkEnd w:id="39"/>
          </w:p>
        </w:tc>
        <w:tc>
          <w:tcPr>
            <w:tcW w:w="1417" w:type="dxa"/>
            <w:gridSpan w:val="2"/>
            <w:vAlign w:val="center"/>
          </w:tcPr>
          <w:p w14:paraId="3D0918CD">
            <w:pPr>
              <w:wordWrap w:val="0"/>
              <w:jc w:val="center"/>
              <w:rPr>
                <w:sz w:val="24"/>
              </w:rPr>
            </w:pPr>
            <w:r>
              <w:rPr>
                <w:rFonts w:hint="eastAsia"/>
                <w:sz w:val="24"/>
              </w:rPr>
              <w:t>注册（纳税）地区</w:t>
            </w:r>
          </w:p>
        </w:tc>
        <w:tc>
          <w:tcPr>
            <w:tcW w:w="3164" w:type="dxa"/>
            <w:gridSpan w:val="3"/>
            <w:vAlign w:val="center"/>
          </w:tcPr>
          <w:p w14:paraId="2109491D">
            <w:pPr>
              <w:wordWrap w:val="0"/>
              <w:jc w:val="center"/>
              <w:rPr>
                <w:rFonts w:ascii="宋体" w:eastAsia="宋体" w:hAnsi="宋体" w:cs="宋体"/>
                <w:sz w:val="24"/>
              </w:rPr>
            </w:pPr>
            <w:bookmarkStart w:id="40" w:name="cddwssdq"/>
            <w:r>
              <w:rPr>
                <w:rFonts w:ascii="宋体" w:eastAsia="宋体" w:hAnsi="宋体" w:cs="宋体"/>
                <w:sz w:val="24"/>
              </w:rPr>
              <w:t>河北省-保定市-莲池区</w:t>
            </w:r>
            <w:bookmarkEnd w:id="40"/>
          </w:p>
        </w:tc>
      </w:tr>
      <w:tr w14:paraId="7FCABC74">
        <w:tblPrEx>
          <w:tblW w:w="10635" w:type="dxa"/>
          <w:jc w:val="center"/>
          <w:tblLayout w:type="fixed"/>
          <w:tblCellMar>
            <w:top w:w="0" w:type="dxa"/>
            <w:left w:w="108" w:type="dxa"/>
            <w:bottom w:w="0" w:type="dxa"/>
            <w:right w:w="108" w:type="dxa"/>
          </w:tblCellMar>
        </w:tblPrEx>
        <w:trPr>
          <w:cantSplit/>
          <w:trHeight w:val="492"/>
          <w:jc w:val="center"/>
        </w:trPr>
        <w:tc>
          <w:tcPr>
            <w:tcW w:w="502" w:type="dxa"/>
            <w:vMerge/>
          </w:tcPr>
          <w:p w14:paraId="3F465770">
            <w:pPr>
              <w:wordWrap w:val="0"/>
              <w:rPr>
                <w:sz w:val="24"/>
              </w:rPr>
            </w:pPr>
          </w:p>
        </w:tc>
        <w:tc>
          <w:tcPr>
            <w:tcW w:w="1277" w:type="dxa"/>
            <w:vAlign w:val="center"/>
          </w:tcPr>
          <w:p w14:paraId="08952BFF">
            <w:pPr>
              <w:wordWrap w:val="0"/>
              <w:rPr>
                <w:sz w:val="24"/>
              </w:rPr>
            </w:pPr>
            <w:r>
              <w:rPr>
                <w:sz w:val="24"/>
              </w:rPr>
              <w:t>统一社会信用代码</w:t>
            </w:r>
          </w:p>
        </w:tc>
        <w:tc>
          <w:tcPr>
            <w:tcW w:w="8856" w:type="dxa"/>
            <w:gridSpan w:val="11"/>
            <w:vAlign w:val="center"/>
          </w:tcPr>
          <w:p w14:paraId="5DC593FA">
            <w:pPr>
              <w:wordWrap w:val="0"/>
              <w:rPr>
                <w:rFonts w:ascii="宋体" w:eastAsia="宋体" w:hAnsi="宋体" w:cs="宋体"/>
                <w:sz w:val="24"/>
              </w:rPr>
            </w:pPr>
            <w:bookmarkStart w:id="41" w:name="cddwxydm"/>
            <w:r>
              <w:rPr>
                <w:rFonts w:ascii="宋体" w:eastAsia="宋体" w:hAnsi="宋体" w:cs="宋体"/>
                <w:sz w:val="24"/>
              </w:rPr>
              <w:t>12130000401705060U</w:t>
            </w:r>
            <w:bookmarkEnd w:id="41"/>
          </w:p>
        </w:tc>
      </w:tr>
      <w:tr w14:paraId="1E76262A">
        <w:tblPrEx>
          <w:tblW w:w="10635" w:type="dxa"/>
          <w:jc w:val="center"/>
          <w:tblLayout w:type="fixed"/>
          <w:tblCellMar>
            <w:top w:w="0" w:type="dxa"/>
            <w:left w:w="108" w:type="dxa"/>
            <w:bottom w:w="0" w:type="dxa"/>
            <w:right w:w="108" w:type="dxa"/>
          </w:tblCellMar>
        </w:tblPrEx>
        <w:trPr>
          <w:cantSplit/>
          <w:trHeight w:val="402"/>
          <w:jc w:val="center"/>
        </w:trPr>
        <w:tc>
          <w:tcPr>
            <w:tcW w:w="502" w:type="dxa"/>
            <w:vMerge/>
          </w:tcPr>
          <w:p w14:paraId="1FAC97CB">
            <w:pPr>
              <w:wordWrap w:val="0"/>
              <w:rPr>
                <w:sz w:val="24"/>
              </w:rPr>
            </w:pPr>
          </w:p>
        </w:tc>
        <w:tc>
          <w:tcPr>
            <w:tcW w:w="1277" w:type="dxa"/>
            <w:vAlign w:val="center"/>
          </w:tcPr>
          <w:p w14:paraId="3B47FEB8">
            <w:pPr>
              <w:wordWrap w:val="0"/>
              <w:jc w:val="center"/>
              <w:rPr>
                <w:sz w:val="24"/>
              </w:rPr>
            </w:pPr>
            <w:r>
              <w:rPr>
                <w:rFonts w:hint="eastAsia"/>
                <w:sz w:val="24"/>
              </w:rPr>
              <w:t>开户名称</w:t>
            </w:r>
          </w:p>
        </w:tc>
        <w:tc>
          <w:tcPr>
            <w:tcW w:w="4275" w:type="dxa"/>
            <w:gridSpan w:val="6"/>
            <w:vAlign w:val="center"/>
          </w:tcPr>
          <w:p w14:paraId="5403A69E">
            <w:pPr>
              <w:wordWrap w:val="0"/>
              <w:rPr>
                <w:rFonts w:ascii="宋体" w:eastAsia="宋体" w:hAnsi="宋体" w:cs="宋体"/>
                <w:sz w:val="24"/>
              </w:rPr>
            </w:pPr>
            <w:bookmarkStart w:id="42" w:name="cddwkhmc"/>
            <w:r>
              <w:rPr>
                <w:rFonts w:ascii="宋体" w:eastAsia="宋体" w:hAnsi="宋体" w:cs="宋体"/>
                <w:sz w:val="24"/>
              </w:rPr>
              <w:t>河北大学</w:t>
            </w:r>
            <w:bookmarkEnd w:id="42"/>
          </w:p>
        </w:tc>
        <w:tc>
          <w:tcPr>
            <w:tcW w:w="1417" w:type="dxa"/>
            <w:gridSpan w:val="2"/>
            <w:vAlign w:val="center"/>
          </w:tcPr>
          <w:p w14:paraId="2B1BEA12">
            <w:pPr>
              <w:wordWrap w:val="0"/>
              <w:jc w:val="center"/>
              <w:rPr>
                <w:sz w:val="24"/>
              </w:rPr>
            </w:pPr>
            <w:r>
              <w:rPr>
                <w:sz w:val="24"/>
              </w:rPr>
              <w:t>开户银行</w:t>
            </w:r>
          </w:p>
          <w:p w14:paraId="68EF72E1">
            <w:pPr>
              <w:wordWrap w:val="0"/>
              <w:jc w:val="center"/>
              <w:rPr>
                <w:sz w:val="24"/>
              </w:rPr>
            </w:pPr>
            <w:r>
              <w:rPr>
                <w:sz w:val="24"/>
              </w:rPr>
              <w:t>行号</w:t>
            </w:r>
          </w:p>
        </w:tc>
        <w:tc>
          <w:tcPr>
            <w:tcW w:w="3164" w:type="dxa"/>
            <w:gridSpan w:val="3"/>
            <w:vAlign w:val="center"/>
          </w:tcPr>
          <w:p w14:paraId="4517005F">
            <w:pPr>
              <w:wordWrap w:val="0"/>
              <w:rPr>
                <w:rFonts w:ascii="宋体" w:eastAsia="宋体" w:hAnsi="宋体" w:cs="宋体"/>
                <w:sz w:val="24"/>
              </w:rPr>
            </w:pPr>
            <w:bookmarkStart w:id="43" w:name="cddwhh"/>
            <w:r>
              <w:rPr>
                <w:rFonts w:ascii="宋体" w:eastAsia="宋体" w:hAnsi="宋体" w:cs="宋体"/>
                <w:sz w:val="24"/>
              </w:rPr>
              <w:t>102134009555</w:t>
            </w:r>
            <w:bookmarkEnd w:id="43"/>
          </w:p>
        </w:tc>
      </w:tr>
      <w:tr w14:paraId="5E60B7A0">
        <w:tblPrEx>
          <w:tblW w:w="10635" w:type="dxa"/>
          <w:jc w:val="center"/>
          <w:tblLayout w:type="fixed"/>
          <w:tblCellMar>
            <w:top w:w="0" w:type="dxa"/>
            <w:left w:w="108" w:type="dxa"/>
            <w:bottom w:w="0" w:type="dxa"/>
            <w:right w:w="108" w:type="dxa"/>
          </w:tblCellMar>
        </w:tblPrEx>
        <w:trPr>
          <w:cantSplit/>
          <w:trHeight w:val="543"/>
          <w:jc w:val="center"/>
        </w:trPr>
        <w:tc>
          <w:tcPr>
            <w:tcW w:w="502" w:type="dxa"/>
            <w:vMerge/>
          </w:tcPr>
          <w:p w14:paraId="35A2D115">
            <w:pPr>
              <w:wordWrap w:val="0"/>
              <w:rPr>
                <w:sz w:val="24"/>
              </w:rPr>
            </w:pPr>
          </w:p>
        </w:tc>
        <w:tc>
          <w:tcPr>
            <w:tcW w:w="1277" w:type="dxa"/>
            <w:vAlign w:val="center"/>
          </w:tcPr>
          <w:p w14:paraId="423BD278">
            <w:pPr>
              <w:wordWrap w:val="0"/>
              <w:jc w:val="center"/>
              <w:rPr>
                <w:sz w:val="24"/>
              </w:rPr>
            </w:pPr>
            <w:r>
              <w:rPr>
                <w:rFonts w:hint="eastAsia"/>
                <w:sz w:val="24"/>
              </w:rPr>
              <w:t>开户银行</w:t>
            </w:r>
          </w:p>
        </w:tc>
        <w:tc>
          <w:tcPr>
            <w:tcW w:w="4275" w:type="dxa"/>
            <w:gridSpan w:val="6"/>
            <w:vAlign w:val="center"/>
          </w:tcPr>
          <w:p w14:paraId="0C061625">
            <w:pPr>
              <w:wordWrap w:val="0"/>
              <w:jc w:val="center"/>
              <w:rPr>
                <w:rFonts w:ascii="宋体" w:eastAsia="宋体" w:hAnsi="宋体" w:cs="宋体"/>
                <w:sz w:val="24"/>
              </w:rPr>
            </w:pPr>
            <w:bookmarkStart w:id="44" w:name="cddwkhh"/>
            <w:r>
              <w:rPr>
                <w:rFonts w:ascii="宋体" w:eastAsia="宋体" w:hAnsi="宋体" w:cs="宋体"/>
                <w:sz w:val="24"/>
              </w:rPr>
              <w:t>中国工商银行股份有限公司保定红星支行</w:t>
            </w:r>
            <w:bookmarkEnd w:id="44"/>
          </w:p>
        </w:tc>
        <w:tc>
          <w:tcPr>
            <w:tcW w:w="1417" w:type="dxa"/>
            <w:gridSpan w:val="2"/>
            <w:vAlign w:val="center"/>
          </w:tcPr>
          <w:p w14:paraId="608C4708">
            <w:pPr>
              <w:wordWrap w:val="0"/>
              <w:jc w:val="center"/>
              <w:rPr>
                <w:sz w:val="24"/>
              </w:rPr>
            </w:pPr>
            <w:r>
              <w:rPr>
                <w:rFonts w:hint="eastAsia"/>
                <w:sz w:val="24"/>
              </w:rPr>
              <w:t>帐号</w:t>
            </w:r>
          </w:p>
        </w:tc>
        <w:tc>
          <w:tcPr>
            <w:tcW w:w="3164" w:type="dxa"/>
            <w:gridSpan w:val="3"/>
            <w:vAlign w:val="center"/>
          </w:tcPr>
          <w:p w14:paraId="008DE397">
            <w:pPr>
              <w:wordWrap w:val="0"/>
              <w:rPr>
                <w:rFonts w:ascii="宋体" w:eastAsia="宋体" w:hAnsi="宋体" w:cs="宋体"/>
                <w:sz w:val="24"/>
              </w:rPr>
            </w:pPr>
            <w:bookmarkStart w:id="45" w:name="cddwzh"/>
            <w:r>
              <w:rPr>
                <w:rFonts w:ascii="宋体" w:eastAsia="宋体" w:hAnsi="宋体" w:cs="宋体"/>
                <w:sz w:val="24"/>
              </w:rPr>
              <w:t>0409002009249036370</w:t>
            </w:r>
            <w:bookmarkEnd w:id="45"/>
          </w:p>
        </w:tc>
      </w:tr>
      <w:tr w14:paraId="027FBA91">
        <w:tblPrEx>
          <w:tblW w:w="10635" w:type="dxa"/>
          <w:jc w:val="center"/>
          <w:tblLayout w:type="fixed"/>
          <w:tblCellMar>
            <w:top w:w="0" w:type="dxa"/>
            <w:left w:w="108" w:type="dxa"/>
            <w:bottom w:w="0" w:type="dxa"/>
            <w:right w:w="108" w:type="dxa"/>
          </w:tblCellMar>
        </w:tblPrEx>
        <w:trPr>
          <w:cantSplit/>
          <w:trHeight w:val="135"/>
          <w:jc w:val="center"/>
        </w:trPr>
        <w:tc>
          <w:tcPr>
            <w:tcW w:w="502" w:type="dxa"/>
            <w:vMerge/>
          </w:tcPr>
          <w:p w14:paraId="3F714F91">
            <w:pPr>
              <w:wordWrap w:val="0"/>
              <w:rPr>
                <w:sz w:val="24"/>
              </w:rPr>
            </w:pPr>
          </w:p>
        </w:tc>
        <w:tc>
          <w:tcPr>
            <w:tcW w:w="1277" w:type="dxa"/>
            <w:tcBorders>
              <w:bottom w:val="single" w:sz="4" w:space="0" w:color="auto"/>
            </w:tcBorders>
            <w:vAlign w:val="center"/>
          </w:tcPr>
          <w:p w14:paraId="790635D4">
            <w:pPr>
              <w:wordWrap w:val="0"/>
              <w:jc w:val="center"/>
              <w:rPr>
                <w:sz w:val="24"/>
              </w:rPr>
            </w:pPr>
            <w:r>
              <w:rPr>
                <w:rFonts w:hint="eastAsia"/>
                <w:sz w:val="24"/>
              </w:rPr>
              <w:t>职工总数</w:t>
            </w:r>
          </w:p>
        </w:tc>
        <w:tc>
          <w:tcPr>
            <w:tcW w:w="1962" w:type="dxa"/>
            <w:gridSpan w:val="3"/>
            <w:tcBorders>
              <w:bottom w:val="single" w:sz="4" w:space="0" w:color="auto"/>
            </w:tcBorders>
            <w:vAlign w:val="center"/>
          </w:tcPr>
          <w:p w14:paraId="7E4C0324">
            <w:pPr>
              <w:wordWrap w:val="0"/>
              <w:jc w:val="center"/>
              <w:rPr>
                <w:sz w:val="24"/>
              </w:rPr>
            </w:pPr>
            <w:bookmarkStart w:id="46" w:name="cddwzrs"/>
            <w:r>
              <w:rPr>
                <w:rFonts w:ascii="宋体" w:eastAsia="宋体" w:hAnsi="宋体" w:cs="宋体" w:hint="eastAsia"/>
                <w:sz w:val="24"/>
              </w:rPr>
              <w:t>3370</w:t>
            </w:r>
            <w:bookmarkEnd w:id="46"/>
            <w:r>
              <w:rPr>
                <w:rFonts w:hint="eastAsia"/>
                <w:sz w:val="24"/>
              </w:rPr>
              <w:t>人</w:t>
            </w:r>
          </w:p>
        </w:tc>
        <w:tc>
          <w:tcPr>
            <w:tcW w:w="1440" w:type="dxa"/>
            <w:tcBorders>
              <w:bottom w:val="single" w:sz="4" w:space="0" w:color="auto"/>
            </w:tcBorders>
            <w:vAlign w:val="center"/>
          </w:tcPr>
          <w:p w14:paraId="45218978">
            <w:pPr>
              <w:wordWrap w:val="0"/>
              <w:jc w:val="center"/>
              <w:rPr>
                <w:sz w:val="24"/>
              </w:rPr>
            </w:pPr>
            <w:r>
              <w:rPr>
                <w:rFonts w:hint="eastAsia"/>
                <w:sz w:val="24"/>
              </w:rPr>
              <w:t>技术人员数</w:t>
            </w:r>
          </w:p>
        </w:tc>
        <w:tc>
          <w:tcPr>
            <w:tcW w:w="873" w:type="dxa"/>
            <w:gridSpan w:val="2"/>
            <w:tcBorders>
              <w:bottom w:val="single" w:sz="4" w:space="0" w:color="auto"/>
            </w:tcBorders>
            <w:vAlign w:val="center"/>
          </w:tcPr>
          <w:p w14:paraId="32A39125">
            <w:pPr>
              <w:wordWrap w:val="0"/>
              <w:jc w:val="center"/>
              <w:rPr>
                <w:sz w:val="24"/>
              </w:rPr>
            </w:pPr>
            <w:bookmarkStart w:id="47" w:name="cddwjjsry"/>
            <w:r>
              <w:rPr>
                <w:rFonts w:ascii="宋体" w:eastAsia="宋体" w:hAnsi="宋体" w:cs="宋体" w:hint="eastAsia"/>
                <w:sz w:val="24"/>
              </w:rPr>
              <w:t>1234</w:t>
            </w:r>
            <w:bookmarkEnd w:id="47"/>
            <w:r>
              <w:rPr>
                <w:rFonts w:hint="eastAsia"/>
                <w:sz w:val="24"/>
              </w:rPr>
              <w:t>人</w:t>
            </w:r>
          </w:p>
        </w:tc>
        <w:tc>
          <w:tcPr>
            <w:tcW w:w="1417" w:type="dxa"/>
            <w:gridSpan w:val="2"/>
            <w:tcBorders>
              <w:bottom w:val="single" w:sz="4" w:space="0" w:color="auto"/>
            </w:tcBorders>
            <w:vAlign w:val="center"/>
          </w:tcPr>
          <w:p w14:paraId="4803F608">
            <w:pPr>
              <w:wordWrap w:val="0"/>
              <w:ind w:left="480" w:hanging="480" w:hangingChars="200"/>
              <w:jc w:val="center"/>
              <w:rPr>
                <w:sz w:val="24"/>
              </w:rPr>
            </w:pPr>
            <w:r>
              <w:rPr>
                <w:rFonts w:hint="eastAsia"/>
                <w:sz w:val="24"/>
              </w:rPr>
              <w:t>中高级</w:t>
            </w:r>
          </w:p>
          <w:p w14:paraId="5B027695">
            <w:pPr>
              <w:wordWrap w:val="0"/>
              <w:ind w:left="480" w:hanging="480" w:hangingChars="200"/>
              <w:jc w:val="center"/>
              <w:rPr>
                <w:sz w:val="24"/>
              </w:rPr>
            </w:pPr>
            <w:r>
              <w:rPr>
                <w:rFonts w:hint="eastAsia"/>
                <w:sz w:val="24"/>
              </w:rPr>
              <w:t>技术人员数</w:t>
            </w:r>
          </w:p>
        </w:tc>
        <w:tc>
          <w:tcPr>
            <w:tcW w:w="3164" w:type="dxa"/>
            <w:gridSpan w:val="3"/>
            <w:tcBorders>
              <w:bottom w:val="single" w:sz="4" w:space="0" w:color="auto"/>
            </w:tcBorders>
            <w:vAlign w:val="center"/>
          </w:tcPr>
          <w:p w14:paraId="088C1EA1">
            <w:pPr>
              <w:wordWrap w:val="0"/>
              <w:jc w:val="center"/>
              <w:rPr>
                <w:sz w:val="24"/>
              </w:rPr>
            </w:pPr>
            <w:bookmarkStart w:id="48" w:name="cddwzgjry"/>
            <w:r>
              <w:rPr>
                <w:rFonts w:ascii="宋体" w:eastAsia="宋体" w:hAnsi="宋体" w:cs="宋体" w:hint="eastAsia"/>
                <w:sz w:val="24"/>
              </w:rPr>
              <w:t>789</w:t>
            </w:r>
            <w:bookmarkEnd w:id="48"/>
            <w:r>
              <w:rPr>
                <w:rFonts w:hint="eastAsia"/>
                <w:sz w:val="24"/>
              </w:rPr>
              <w:t>人</w:t>
            </w:r>
          </w:p>
        </w:tc>
      </w:tr>
      <w:tr w14:paraId="6B877D5F">
        <w:tblPrEx>
          <w:tblW w:w="10635" w:type="dxa"/>
          <w:jc w:val="center"/>
          <w:tblLayout w:type="fixed"/>
          <w:tblCellMar>
            <w:top w:w="0" w:type="dxa"/>
            <w:left w:w="108" w:type="dxa"/>
            <w:bottom w:w="0" w:type="dxa"/>
            <w:right w:w="108" w:type="dxa"/>
          </w:tblCellMar>
        </w:tblPrEx>
        <w:trPr>
          <w:cantSplit/>
          <w:trHeight w:val="135"/>
          <w:jc w:val="center"/>
        </w:trPr>
        <w:tc>
          <w:tcPr>
            <w:tcW w:w="502" w:type="dxa"/>
            <w:vMerge/>
          </w:tcPr>
          <w:p w14:paraId="7925095D">
            <w:pPr>
              <w:wordWrap w:val="0"/>
              <w:rPr>
                <w:sz w:val="24"/>
              </w:rPr>
            </w:pPr>
          </w:p>
        </w:tc>
        <w:tc>
          <w:tcPr>
            <w:tcW w:w="1277" w:type="dxa"/>
            <w:tcBorders>
              <w:bottom w:val="single" w:sz="4" w:space="0" w:color="auto"/>
            </w:tcBorders>
            <w:vAlign w:val="center"/>
          </w:tcPr>
          <w:p w14:paraId="1CE539F0">
            <w:pPr>
              <w:wordWrap w:val="0"/>
              <w:jc w:val="center"/>
              <w:rPr>
                <w:sz w:val="24"/>
              </w:rPr>
            </w:pPr>
            <w:r>
              <w:rPr>
                <w:rFonts w:hint="eastAsia"/>
                <w:sz w:val="24"/>
              </w:rPr>
              <w:t>是否为省级以上高新技术</w:t>
            </w:r>
          </w:p>
          <w:p w14:paraId="20EC6E0D">
            <w:pPr>
              <w:wordWrap w:val="0"/>
              <w:jc w:val="center"/>
              <w:rPr>
                <w:sz w:val="24"/>
              </w:rPr>
            </w:pPr>
            <w:r>
              <w:rPr>
                <w:rFonts w:hint="eastAsia"/>
                <w:sz w:val="24"/>
              </w:rPr>
              <w:t>企业</w:t>
            </w:r>
          </w:p>
        </w:tc>
        <w:tc>
          <w:tcPr>
            <w:tcW w:w="1962" w:type="dxa"/>
            <w:gridSpan w:val="3"/>
            <w:tcBorders>
              <w:bottom w:val="single" w:sz="4" w:space="0" w:color="auto"/>
            </w:tcBorders>
            <w:vAlign w:val="center"/>
          </w:tcPr>
          <w:p w14:paraId="2946B59A">
            <w:pPr>
              <w:wordWrap w:val="0"/>
              <w:jc w:val="center"/>
              <w:rPr>
                <w:rFonts w:ascii="宋体" w:eastAsia="宋体" w:hAnsi="宋体" w:cs="宋体"/>
                <w:sz w:val="24"/>
              </w:rPr>
            </w:pPr>
            <w:bookmarkStart w:id="49" w:name="cddwgx"/>
            <w:r>
              <w:rPr>
                <w:rFonts w:ascii="宋体" w:eastAsia="宋体" w:hAnsi="宋体" w:cs="宋体"/>
                <w:sz w:val="24"/>
              </w:rPr>
              <w:t>否</w:t>
            </w:r>
            <w:bookmarkEnd w:id="49"/>
          </w:p>
        </w:tc>
        <w:tc>
          <w:tcPr>
            <w:tcW w:w="1440" w:type="dxa"/>
            <w:tcBorders>
              <w:bottom w:val="single" w:sz="4" w:space="0" w:color="auto"/>
            </w:tcBorders>
            <w:vAlign w:val="center"/>
          </w:tcPr>
          <w:p w14:paraId="18B1965C">
            <w:pPr>
              <w:wordWrap w:val="0"/>
              <w:jc w:val="center"/>
              <w:rPr>
                <w:sz w:val="24"/>
              </w:rPr>
            </w:pPr>
            <w:r>
              <w:rPr>
                <w:rFonts w:hint="eastAsia"/>
                <w:sz w:val="24"/>
              </w:rPr>
              <w:t>是否为省级以上科技型中小企业</w:t>
            </w:r>
          </w:p>
        </w:tc>
        <w:tc>
          <w:tcPr>
            <w:tcW w:w="873" w:type="dxa"/>
            <w:gridSpan w:val="2"/>
            <w:tcBorders>
              <w:bottom w:val="single" w:sz="4" w:space="0" w:color="auto"/>
            </w:tcBorders>
            <w:vAlign w:val="center"/>
          </w:tcPr>
          <w:p w14:paraId="6FE210D9">
            <w:pPr>
              <w:wordWrap w:val="0"/>
              <w:jc w:val="center"/>
              <w:rPr>
                <w:rFonts w:ascii="宋体" w:eastAsia="宋体" w:hAnsi="宋体" w:cs="宋体"/>
                <w:sz w:val="24"/>
              </w:rPr>
            </w:pPr>
            <w:bookmarkStart w:id="50" w:name="cddwkx"/>
            <w:r>
              <w:rPr>
                <w:rFonts w:ascii="宋体" w:eastAsia="宋体" w:hAnsi="宋体" w:cs="宋体"/>
                <w:sz w:val="24"/>
              </w:rPr>
              <w:t>否</w:t>
            </w:r>
            <w:bookmarkEnd w:id="50"/>
          </w:p>
        </w:tc>
        <w:tc>
          <w:tcPr>
            <w:tcW w:w="1417" w:type="dxa"/>
            <w:gridSpan w:val="2"/>
            <w:tcBorders>
              <w:bottom w:val="single" w:sz="4" w:space="0" w:color="auto"/>
            </w:tcBorders>
            <w:vAlign w:val="center"/>
          </w:tcPr>
          <w:p w14:paraId="4EAD5555">
            <w:pPr>
              <w:wordWrap w:val="0"/>
              <w:ind w:left="480" w:hanging="480" w:hangingChars="200"/>
              <w:jc w:val="center"/>
              <w:rPr>
                <w:sz w:val="24"/>
              </w:rPr>
            </w:pPr>
            <w:r>
              <w:rPr>
                <w:rFonts w:hint="eastAsia"/>
                <w:sz w:val="24"/>
              </w:rPr>
              <w:t>所属园区</w:t>
            </w:r>
          </w:p>
        </w:tc>
        <w:tc>
          <w:tcPr>
            <w:tcW w:w="3164" w:type="dxa"/>
            <w:gridSpan w:val="3"/>
            <w:tcBorders>
              <w:bottom w:val="single" w:sz="4" w:space="0" w:color="auto"/>
            </w:tcBorders>
            <w:vAlign w:val="center"/>
          </w:tcPr>
          <w:p w14:paraId="6AAF8B7F">
            <w:pPr>
              <w:wordWrap w:val="0"/>
              <w:jc w:val="center"/>
              <w:rPr>
                <w:rFonts w:ascii="宋体" w:eastAsia="宋体" w:hAnsi="宋体" w:cs="宋体"/>
                <w:sz w:val="24"/>
              </w:rPr>
            </w:pPr>
            <w:bookmarkStart w:id="51" w:name="cddwyq"/>
            <w:bookmarkEnd w:id="51"/>
          </w:p>
        </w:tc>
      </w:tr>
      <w:tr w14:paraId="6B85B231">
        <w:tblPrEx>
          <w:tblW w:w="10635" w:type="dxa"/>
          <w:jc w:val="center"/>
          <w:tblLayout w:type="fixed"/>
          <w:tblCellMar>
            <w:top w:w="0" w:type="dxa"/>
            <w:left w:w="108" w:type="dxa"/>
            <w:bottom w:w="0" w:type="dxa"/>
            <w:right w:w="108" w:type="dxa"/>
          </w:tblCellMar>
        </w:tblPrEx>
        <w:trPr>
          <w:cantSplit/>
          <w:trHeight w:val="574"/>
          <w:jc w:val="center"/>
        </w:trPr>
        <w:tc>
          <w:tcPr>
            <w:tcW w:w="502" w:type="dxa"/>
            <w:vMerge/>
          </w:tcPr>
          <w:p w14:paraId="47E1977A">
            <w:pPr>
              <w:wordWrap w:val="0"/>
              <w:rPr>
                <w:sz w:val="24"/>
              </w:rPr>
            </w:pPr>
          </w:p>
        </w:tc>
        <w:tc>
          <w:tcPr>
            <w:tcW w:w="3239" w:type="dxa"/>
            <w:gridSpan w:val="4"/>
            <w:vAlign w:val="center"/>
          </w:tcPr>
          <w:p w14:paraId="347D07CD">
            <w:pPr>
              <w:wordWrap w:val="0"/>
              <w:jc w:val="center"/>
              <w:rPr>
                <w:sz w:val="24"/>
              </w:rPr>
            </w:pPr>
            <w:r>
              <w:rPr>
                <w:rFonts w:hint="eastAsia"/>
                <w:sz w:val="24"/>
              </w:rPr>
              <w:t>上年度单位研发投入</w:t>
            </w:r>
          </w:p>
        </w:tc>
        <w:tc>
          <w:tcPr>
            <w:tcW w:w="2313" w:type="dxa"/>
            <w:gridSpan w:val="3"/>
            <w:vAlign w:val="center"/>
          </w:tcPr>
          <w:p w14:paraId="3BA10D34">
            <w:pPr>
              <w:wordWrap w:val="0"/>
              <w:jc w:val="center"/>
              <w:rPr>
                <w:sz w:val="24"/>
              </w:rPr>
            </w:pPr>
            <w:r>
              <w:rPr>
                <w:rFonts w:hint="eastAsia"/>
                <w:sz w:val="24"/>
              </w:rPr>
              <w:t>上年度单位销售收入</w:t>
            </w:r>
          </w:p>
        </w:tc>
        <w:tc>
          <w:tcPr>
            <w:tcW w:w="4581" w:type="dxa"/>
            <w:gridSpan w:val="5"/>
            <w:vAlign w:val="center"/>
          </w:tcPr>
          <w:p w14:paraId="2C84538A">
            <w:pPr>
              <w:wordWrap w:val="0"/>
              <w:jc w:val="center"/>
              <w:rPr>
                <w:sz w:val="24"/>
              </w:rPr>
            </w:pPr>
            <w:r>
              <w:rPr>
                <w:rFonts w:hint="eastAsia"/>
                <w:sz w:val="24"/>
              </w:rPr>
              <w:t>上年度单位研发投入 / 销售收入</w:t>
            </w:r>
          </w:p>
        </w:tc>
      </w:tr>
      <w:tr w14:paraId="6AC7D300">
        <w:tblPrEx>
          <w:tblW w:w="10635" w:type="dxa"/>
          <w:jc w:val="center"/>
          <w:tblLayout w:type="fixed"/>
          <w:tblCellMar>
            <w:top w:w="0" w:type="dxa"/>
            <w:left w:w="108" w:type="dxa"/>
            <w:bottom w:w="0" w:type="dxa"/>
            <w:right w:w="108" w:type="dxa"/>
          </w:tblCellMar>
        </w:tblPrEx>
        <w:trPr>
          <w:cantSplit/>
          <w:trHeight w:val="499"/>
          <w:jc w:val="center"/>
        </w:trPr>
        <w:tc>
          <w:tcPr>
            <w:tcW w:w="502" w:type="dxa"/>
            <w:vMerge/>
          </w:tcPr>
          <w:p w14:paraId="0311F292">
            <w:pPr>
              <w:wordWrap w:val="0"/>
              <w:rPr>
                <w:sz w:val="24"/>
              </w:rPr>
            </w:pPr>
          </w:p>
        </w:tc>
        <w:tc>
          <w:tcPr>
            <w:tcW w:w="3239" w:type="dxa"/>
            <w:gridSpan w:val="4"/>
            <w:vAlign w:val="center"/>
          </w:tcPr>
          <w:p w14:paraId="62938CC0">
            <w:pPr>
              <w:wordWrap w:val="0"/>
              <w:jc w:val="center"/>
              <w:rPr>
                <w:sz w:val="24"/>
              </w:rPr>
            </w:pPr>
            <w:bookmarkStart w:id="52" w:name="cddwyftr"/>
            <w:r>
              <w:rPr>
                <w:rFonts w:ascii="宋体" w:eastAsia="宋体" w:hAnsi="宋体" w:cs="宋体" w:hint="eastAsia"/>
                <w:sz w:val="24"/>
              </w:rPr>
              <w:t>1000.0</w:t>
            </w:r>
            <w:bookmarkEnd w:id="52"/>
            <w:r>
              <w:rPr>
                <w:rFonts w:hint="eastAsia"/>
                <w:sz w:val="24"/>
              </w:rPr>
              <w:t>万元</w:t>
            </w:r>
          </w:p>
        </w:tc>
        <w:tc>
          <w:tcPr>
            <w:tcW w:w="2313" w:type="dxa"/>
            <w:gridSpan w:val="3"/>
            <w:vAlign w:val="center"/>
          </w:tcPr>
          <w:p w14:paraId="518B870E">
            <w:pPr>
              <w:wordWrap w:val="0"/>
              <w:jc w:val="center"/>
              <w:rPr>
                <w:sz w:val="24"/>
              </w:rPr>
            </w:pPr>
            <w:bookmarkStart w:id="53" w:name="cddwxssr"/>
            <w:r>
              <w:rPr>
                <w:rFonts w:ascii="宋体" w:eastAsia="宋体" w:hAnsi="宋体" w:cs="宋体" w:hint="eastAsia"/>
                <w:sz w:val="24"/>
              </w:rPr>
              <w:t>0.0</w:t>
            </w:r>
            <w:bookmarkEnd w:id="53"/>
            <w:r>
              <w:rPr>
                <w:rFonts w:hint="eastAsia"/>
                <w:sz w:val="24"/>
              </w:rPr>
              <w:t>万元</w:t>
            </w:r>
          </w:p>
        </w:tc>
        <w:tc>
          <w:tcPr>
            <w:tcW w:w="4581" w:type="dxa"/>
            <w:gridSpan w:val="5"/>
            <w:vAlign w:val="center"/>
          </w:tcPr>
          <w:p w14:paraId="70C904BE">
            <w:pPr>
              <w:wordWrap w:val="0"/>
              <w:jc w:val="center"/>
              <w:rPr>
                <w:sz w:val="24"/>
              </w:rPr>
            </w:pPr>
            <w:bookmarkStart w:id="54" w:name="cddwbl"/>
            <w:r>
              <w:rPr>
                <w:rFonts w:ascii="宋体" w:eastAsia="宋体" w:hAnsi="宋体" w:cs="宋体" w:hint="eastAsia"/>
                <w:sz w:val="24"/>
              </w:rPr>
              <w:t>60</w:t>
            </w:r>
            <w:bookmarkEnd w:id="54"/>
            <w:r>
              <w:rPr>
                <w:rFonts w:hint="eastAsia"/>
                <w:sz w:val="24"/>
              </w:rPr>
              <w:t>%</w:t>
            </w:r>
          </w:p>
        </w:tc>
      </w:tr>
      <w:tr w14:paraId="3C3C25BD">
        <w:tblPrEx>
          <w:tblW w:w="10635" w:type="dxa"/>
          <w:jc w:val="center"/>
          <w:tblLayout w:type="fixed"/>
          <w:tblCellMar>
            <w:top w:w="0" w:type="dxa"/>
            <w:left w:w="108" w:type="dxa"/>
            <w:bottom w:w="0" w:type="dxa"/>
            <w:right w:w="108" w:type="dxa"/>
          </w:tblCellMar>
        </w:tblPrEx>
        <w:trPr>
          <w:cantSplit/>
          <w:trHeight w:val="450"/>
          <w:jc w:val="center"/>
        </w:trPr>
        <w:tc>
          <w:tcPr>
            <w:tcW w:w="502" w:type="dxa"/>
            <w:vMerge/>
          </w:tcPr>
          <w:p w14:paraId="0EF68916">
            <w:pPr>
              <w:wordWrap w:val="0"/>
              <w:rPr>
                <w:sz w:val="24"/>
              </w:rPr>
            </w:pPr>
          </w:p>
        </w:tc>
        <w:tc>
          <w:tcPr>
            <w:tcW w:w="3239" w:type="dxa"/>
            <w:gridSpan w:val="4"/>
            <w:vAlign w:val="center"/>
          </w:tcPr>
          <w:p w14:paraId="22F5BBA1">
            <w:pPr>
              <w:wordWrap w:val="0"/>
              <w:jc w:val="center"/>
              <w:rPr>
                <w:sz w:val="24"/>
              </w:rPr>
            </w:pPr>
            <w:r>
              <w:rPr>
                <w:rFonts w:hint="eastAsia"/>
                <w:sz w:val="24"/>
              </w:rPr>
              <w:t>注册资本</w:t>
            </w:r>
          </w:p>
        </w:tc>
        <w:tc>
          <w:tcPr>
            <w:tcW w:w="1453" w:type="dxa"/>
            <w:gridSpan w:val="2"/>
            <w:vAlign w:val="center"/>
          </w:tcPr>
          <w:p w14:paraId="482BD087">
            <w:pPr>
              <w:wordWrap w:val="0"/>
              <w:jc w:val="center"/>
              <w:rPr>
                <w:sz w:val="24"/>
              </w:rPr>
            </w:pPr>
            <w:bookmarkStart w:id="55" w:name="cddwzczb"/>
            <w:r>
              <w:rPr>
                <w:rFonts w:ascii="宋体" w:eastAsia="宋体" w:hAnsi="宋体" w:cs="宋体" w:hint="eastAsia"/>
                <w:sz w:val="24"/>
              </w:rPr>
              <w:t>33069.0</w:t>
            </w:r>
            <w:bookmarkEnd w:id="55"/>
            <w:r>
              <w:rPr>
                <w:rFonts w:hint="eastAsia"/>
                <w:sz w:val="24"/>
              </w:rPr>
              <w:t>万元</w:t>
            </w:r>
          </w:p>
        </w:tc>
        <w:tc>
          <w:tcPr>
            <w:tcW w:w="860" w:type="dxa"/>
            <w:vAlign w:val="center"/>
          </w:tcPr>
          <w:p w14:paraId="53EB97FE">
            <w:pPr>
              <w:wordWrap w:val="0"/>
              <w:jc w:val="center"/>
              <w:rPr>
                <w:sz w:val="24"/>
              </w:rPr>
            </w:pPr>
            <w:r>
              <w:rPr>
                <w:rFonts w:hint="eastAsia"/>
                <w:sz w:val="24"/>
              </w:rPr>
              <w:t>注册时间</w:t>
            </w:r>
          </w:p>
        </w:tc>
        <w:tc>
          <w:tcPr>
            <w:tcW w:w="1417" w:type="dxa"/>
            <w:gridSpan w:val="2"/>
            <w:vAlign w:val="center"/>
          </w:tcPr>
          <w:p w14:paraId="1032DA05">
            <w:pPr>
              <w:wordWrap w:val="0"/>
              <w:jc w:val="center"/>
              <w:rPr>
                <w:rFonts w:ascii="宋体" w:eastAsia="宋体" w:hAnsi="宋体" w:cs="宋体"/>
                <w:sz w:val="24"/>
              </w:rPr>
            </w:pPr>
            <w:bookmarkStart w:id="56" w:name="cddwzcsj"/>
            <w:r>
              <w:rPr>
                <w:rFonts w:ascii="宋体" w:eastAsia="宋体" w:hAnsi="宋体" w:cs="宋体"/>
                <w:sz w:val="24"/>
              </w:rPr>
              <w:t>1921-01-01</w:t>
            </w:r>
            <w:bookmarkEnd w:id="56"/>
          </w:p>
        </w:tc>
        <w:tc>
          <w:tcPr>
            <w:tcW w:w="1514" w:type="dxa"/>
            <w:gridSpan w:val="2"/>
            <w:vAlign w:val="center"/>
          </w:tcPr>
          <w:p w14:paraId="1201D9CF">
            <w:pPr>
              <w:wordWrap w:val="0"/>
              <w:jc w:val="center"/>
              <w:rPr>
                <w:sz w:val="24"/>
              </w:rPr>
            </w:pPr>
            <w:r>
              <w:rPr>
                <w:rFonts w:hint="eastAsia"/>
                <w:sz w:val="24"/>
              </w:rPr>
              <w:t>拥有</w:t>
            </w:r>
          </w:p>
          <w:p w14:paraId="09E2B721">
            <w:pPr>
              <w:wordWrap w:val="0"/>
              <w:jc w:val="center"/>
              <w:rPr>
                <w:sz w:val="24"/>
              </w:rPr>
            </w:pPr>
            <w:r>
              <w:rPr>
                <w:rFonts w:hint="eastAsia"/>
                <w:sz w:val="24"/>
              </w:rPr>
              <w:t>专利数量</w:t>
            </w:r>
          </w:p>
        </w:tc>
        <w:tc>
          <w:tcPr>
            <w:tcW w:w="1650" w:type="dxa"/>
            <w:vAlign w:val="center"/>
          </w:tcPr>
          <w:p w14:paraId="59982123">
            <w:pPr>
              <w:wordWrap w:val="0"/>
              <w:jc w:val="center"/>
              <w:rPr>
                <w:rFonts w:ascii="宋体" w:eastAsia="宋体" w:hAnsi="宋体" w:cs="宋体"/>
                <w:sz w:val="24"/>
              </w:rPr>
            </w:pPr>
            <w:bookmarkStart w:id="57" w:name="cddwzls"/>
            <w:r>
              <w:rPr>
                <w:rFonts w:ascii="宋体" w:eastAsia="宋体" w:hAnsi="宋体" w:cs="宋体"/>
                <w:sz w:val="24"/>
              </w:rPr>
              <w:t>842</w:t>
            </w:r>
            <w:bookmarkEnd w:id="57"/>
          </w:p>
        </w:tc>
      </w:tr>
      <w:tr w14:paraId="137CA47B">
        <w:tblPrEx>
          <w:tblW w:w="10635" w:type="dxa"/>
          <w:jc w:val="center"/>
          <w:tblLayout w:type="fixed"/>
          <w:tblCellMar>
            <w:top w:w="0" w:type="dxa"/>
            <w:left w:w="108" w:type="dxa"/>
            <w:bottom w:w="0" w:type="dxa"/>
            <w:right w:w="108" w:type="dxa"/>
          </w:tblCellMar>
        </w:tblPrEx>
        <w:trPr>
          <w:cantSplit/>
          <w:trHeight w:val="552"/>
          <w:jc w:val="center"/>
        </w:trPr>
        <w:tc>
          <w:tcPr>
            <w:tcW w:w="502" w:type="dxa"/>
            <w:vMerge/>
          </w:tcPr>
          <w:p w14:paraId="6A809E52">
            <w:pPr>
              <w:wordWrap w:val="0"/>
              <w:rPr>
                <w:sz w:val="24"/>
              </w:rPr>
            </w:pPr>
          </w:p>
        </w:tc>
        <w:tc>
          <w:tcPr>
            <w:tcW w:w="3239" w:type="dxa"/>
            <w:gridSpan w:val="4"/>
            <w:vAlign w:val="center"/>
          </w:tcPr>
          <w:p w14:paraId="6346A7BF">
            <w:pPr>
              <w:wordWrap w:val="0"/>
              <w:jc w:val="center"/>
              <w:rPr>
                <w:sz w:val="24"/>
              </w:rPr>
            </w:pPr>
            <w:r>
              <w:rPr>
                <w:rFonts w:hint="eastAsia"/>
                <w:sz w:val="24"/>
              </w:rPr>
              <w:t>单位性质</w:t>
            </w:r>
          </w:p>
        </w:tc>
        <w:tc>
          <w:tcPr>
            <w:tcW w:w="1453" w:type="dxa"/>
            <w:gridSpan w:val="2"/>
            <w:vAlign w:val="center"/>
          </w:tcPr>
          <w:p w14:paraId="289E432C">
            <w:pPr>
              <w:wordWrap w:val="0"/>
              <w:jc w:val="center"/>
              <w:rPr>
                <w:rFonts w:ascii="宋体" w:eastAsia="宋体" w:hAnsi="宋体" w:cs="宋体"/>
                <w:sz w:val="24"/>
              </w:rPr>
            </w:pPr>
            <w:bookmarkStart w:id="58" w:name="cddwdwxz"/>
            <w:r>
              <w:rPr>
                <w:rFonts w:ascii="宋体" w:eastAsia="宋体" w:hAnsi="宋体" w:cs="宋体"/>
                <w:sz w:val="24"/>
              </w:rPr>
              <w:t>高等学校</w:t>
            </w:r>
            <w:bookmarkEnd w:id="58"/>
          </w:p>
        </w:tc>
        <w:tc>
          <w:tcPr>
            <w:tcW w:w="860" w:type="dxa"/>
            <w:vAlign w:val="center"/>
          </w:tcPr>
          <w:p w14:paraId="5A83C154">
            <w:pPr>
              <w:wordWrap w:val="0"/>
              <w:jc w:val="center"/>
              <w:rPr>
                <w:sz w:val="24"/>
              </w:rPr>
            </w:pPr>
            <w:r>
              <w:rPr>
                <w:rFonts w:hint="eastAsia"/>
                <w:sz w:val="24"/>
              </w:rPr>
              <w:t>单位规模</w:t>
            </w:r>
          </w:p>
        </w:tc>
        <w:tc>
          <w:tcPr>
            <w:tcW w:w="4581" w:type="dxa"/>
            <w:gridSpan w:val="5"/>
            <w:vAlign w:val="center"/>
          </w:tcPr>
          <w:p w14:paraId="0B9CA543">
            <w:pPr>
              <w:wordWrap w:val="0"/>
              <w:jc w:val="center"/>
              <w:rPr>
                <w:rFonts w:ascii="宋体" w:eastAsia="宋体" w:hAnsi="宋体" w:cs="宋体"/>
                <w:sz w:val="24"/>
              </w:rPr>
            </w:pPr>
            <w:bookmarkStart w:id="59" w:name="cddwdwgm"/>
            <w:r>
              <w:rPr>
                <w:rFonts w:ascii="宋体" w:eastAsia="宋体" w:hAnsi="宋体" w:cs="宋体"/>
                <w:sz w:val="24"/>
              </w:rPr>
              <w:t>地方重点院(校)所</w:t>
            </w:r>
            <w:bookmarkEnd w:id="59"/>
          </w:p>
        </w:tc>
      </w:tr>
      <w:tr w14:paraId="7B610567">
        <w:tblPrEx>
          <w:tblW w:w="10635" w:type="dxa"/>
          <w:jc w:val="center"/>
          <w:tblLayout w:type="fixed"/>
          <w:tblCellMar>
            <w:top w:w="0" w:type="dxa"/>
            <w:left w:w="108" w:type="dxa"/>
            <w:bottom w:w="0" w:type="dxa"/>
            <w:right w:w="108" w:type="dxa"/>
          </w:tblCellMar>
        </w:tblPrEx>
        <w:trPr>
          <w:cantSplit/>
          <w:trHeight w:val="552"/>
          <w:jc w:val="center"/>
        </w:trPr>
        <w:tc>
          <w:tcPr>
            <w:tcW w:w="502" w:type="dxa"/>
            <w:vMerge/>
          </w:tcPr>
          <w:p w14:paraId="2FBEAB72">
            <w:pPr>
              <w:wordWrap w:val="0"/>
              <w:rPr>
                <w:sz w:val="24"/>
              </w:rPr>
            </w:pPr>
          </w:p>
        </w:tc>
        <w:tc>
          <w:tcPr>
            <w:tcW w:w="3239" w:type="dxa"/>
            <w:gridSpan w:val="4"/>
            <w:vAlign w:val="center"/>
          </w:tcPr>
          <w:p w14:paraId="40C4070F">
            <w:pPr>
              <w:wordWrap w:val="0"/>
              <w:jc w:val="center"/>
              <w:rPr>
                <w:sz w:val="24"/>
              </w:rPr>
            </w:pPr>
            <w:r>
              <w:rPr>
                <w:rFonts w:hint="eastAsia"/>
                <w:sz w:val="24"/>
              </w:rPr>
              <w:t>其它特征</w:t>
            </w:r>
          </w:p>
        </w:tc>
        <w:tc>
          <w:tcPr>
            <w:tcW w:w="6894" w:type="dxa"/>
            <w:gridSpan w:val="8"/>
            <w:vAlign w:val="center"/>
          </w:tcPr>
          <w:p w14:paraId="3B4FB1B3">
            <w:pPr>
              <w:wordWrap w:val="0"/>
              <w:jc w:val="left"/>
              <w:rPr>
                <w:rFonts w:ascii="宋体" w:eastAsia="宋体" w:hAnsi="宋体" w:cs="宋体"/>
                <w:sz w:val="24"/>
              </w:rPr>
            </w:pPr>
            <w:bookmarkStart w:id="60" w:name="cddwqt"/>
            <w:r>
              <w:rPr>
                <w:rFonts w:ascii="宋体" w:eastAsia="宋体" w:hAnsi="宋体" w:cs="宋体"/>
                <w:sz w:val="24"/>
              </w:rPr>
              <w:t>省重点实验室（工程技术研究中心）,省国际科技合作基地,省软科学研究基地,省级科普基地,国家重点实验室（工程技术研究中心）</w:t>
            </w:r>
            <w:bookmarkEnd w:id="60"/>
          </w:p>
        </w:tc>
      </w:tr>
      <w:tr w14:paraId="666F5557">
        <w:tblPrEx>
          <w:tblW w:w="10635" w:type="dxa"/>
          <w:jc w:val="center"/>
          <w:tblLayout w:type="fixed"/>
          <w:tblCellMar>
            <w:top w:w="0" w:type="dxa"/>
            <w:left w:w="108" w:type="dxa"/>
            <w:bottom w:w="0" w:type="dxa"/>
            <w:right w:w="108" w:type="dxa"/>
          </w:tblCellMar>
        </w:tblPrEx>
        <w:trPr>
          <w:cantSplit/>
          <w:trHeight w:val="450"/>
          <w:jc w:val="center"/>
        </w:trPr>
        <w:tc>
          <w:tcPr>
            <w:tcW w:w="10635" w:type="dxa"/>
            <w:gridSpan w:val="13"/>
            <w:vAlign w:val="center"/>
          </w:tcPr>
          <w:p w14:paraId="54193767">
            <w:pPr>
              <w:wordWrap w:val="0"/>
              <w:jc w:val="center"/>
              <w:rPr>
                <w:sz w:val="24"/>
              </w:rPr>
            </w:pPr>
            <w:r>
              <w:rPr>
                <w:sz w:val="24"/>
              </w:rPr>
              <w:t>合作单位</w:t>
            </w:r>
            <w:r>
              <w:rPr>
                <w:rFonts w:hint="eastAsia"/>
                <w:sz w:val="24"/>
              </w:rPr>
              <w:t>概况</w:t>
            </w:r>
          </w:p>
        </w:tc>
      </w:tr>
      <w:tr w14:paraId="274B0BD7">
        <w:tblPrEx>
          <w:tblW w:w="10635" w:type="dxa"/>
          <w:jc w:val="center"/>
          <w:tblLayout w:type="fixed"/>
          <w:tblCellMar>
            <w:top w:w="0" w:type="dxa"/>
            <w:left w:w="108" w:type="dxa"/>
            <w:bottom w:w="0" w:type="dxa"/>
            <w:right w:w="108" w:type="dxa"/>
          </w:tblCellMar>
        </w:tblPrEx>
        <w:trPr>
          <w:cantSplit/>
          <w:trHeight w:val="450"/>
          <w:jc w:val="center"/>
        </w:trPr>
        <w:tc>
          <w:tcPr>
            <w:tcW w:w="2376" w:type="dxa"/>
            <w:gridSpan w:val="3"/>
            <w:vAlign w:val="center"/>
          </w:tcPr>
          <w:p w14:paraId="5829CC29">
            <w:pPr>
              <w:wordWrap w:val="0"/>
              <w:jc w:val="center"/>
              <w:rPr>
                <w:sz w:val="24"/>
              </w:rPr>
            </w:pPr>
            <w:r>
              <w:rPr>
                <w:rFonts w:hint="eastAsia"/>
                <w:sz w:val="24"/>
              </w:rPr>
              <w:t>单位名称</w:t>
            </w:r>
          </w:p>
        </w:tc>
        <w:tc>
          <w:tcPr>
            <w:tcW w:w="1365" w:type="dxa"/>
            <w:gridSpan w:val="2"/>
            <w:vAlign w:val="center"/>
          </w:tcPr>
          <w:p w14:paraId="568A2DC4">
            <w:pPr>
              <w:wordWrap w:val="0"/>
              <w:jc w:val="center"/>
              <w:rPr>
                <w:sz w:val="24"/>
              </w:rPr>
            </w:pPr>
            <w:r>
              <w:rPr>
                <w:rFonts w:hint="eastAsia"/>
                <w:sz w:val="24"/>
              </w:rPr>
              <w:t>国别</w:t>
            </w:r>
          </w:p>
        </w:tc>
        <w:tc>
          <w:tcPr>
            <w:tcW w:w="1453" w:type="dxa"/>
            <w:gridSpan w:val="2"/>
            <w:vAlign w:val="center"/>
          </w:tcPr>
          <w:p w14:paraId="0E0A8F20">
            <w:pPr>
              <w:wordWrap w:val="0"/>
              <w:jc w:val="center"/>
              <w:rPr>
                <w:sz w:val="24"/>
              </w:rPr>
            </w:pPr>
            <w:r>
              <w:rPr>
                <w:rFonts w:hint="eastAsia"/>
                <w:sz w:val="24"/>
              </w:rPr>
              <w:t>所属地区</w:t>
            </w:r>
          </w:p>
        </w:tc>
        <w:tc>
          <w:tcPr>
            <w:tcW w:w="1434" w:type="dxa"/>
            <w:gridSpan w:val="2"/>
            <w:vAlign w:val="center"/>
          </w:tcPr>
          <w:p w14:paraId="462166B6">
            <w:pPr>
              <w:wordWrap w:val="0"/>
              <w:jc w:val="center"/>
              <w:rPr>
                <w:sz w:val="24"/>
              </w:rPr>
            </w:pPr>
            <w:r>
              <w:rPr>
                <w:rFonts w:hint="eastAsia"/>
                <w:sz w:val="24"/>
              </w:rPr>
              <w:t>单位地址</w:t>
            </w:r>
          </w:p>
        </w:tc>
        <w:tc>
          <w:tcPr>
            <w:tcW w:w="843" w:type="dxa"/>
            <w:vAlign w:val="center"/>
          </w:tcPr>
          <w:p w14:paraId="0A6E34C7">
            <w:pPr>
              <w:wordWrap w:val="0"/>
              <w:jc w:val="center"/>
              <w:rPr>
                <w:sz w:val="24"/>
              </w:rPr>
            </w:pPr>
            <w:r>
              <w:rPr>
                <w:rFonts w:hint="eastAsia"/>
                <w:sz w:val="24"/>
              </w:rPr>
              <w:t>单位性质</w:t>
            </w:r>
          </w:p>
        </w:tc>
        <w:tc>
          <w:tcPr>
            <w:tcW w:w="1514" w:type="dxa"/>
            <w:gridSpan w:val="2"/>
            <w:vAlign w:val="center"/>
          </w:tcPr>
          <w:p w14:paraId="40EB75E8">
            <w:pPr>
              <w:wordWrap w:val="0"/>
              <w:jc w:val="center"/>
              <w:rPr>
                <w:sz w:val="24"/>
              </w:rPr>
            </w:pPr>
            <w:r>
              <w:rPr>
                <w:rFonts w:hint="eastAsia"/>
                <w:sz w:val="24"/>
              </w:rPr>
              <w:t>联系人</w:t>
            </w:r>
          </w:p>
        </w:tc>
        <w:tc>
          <w:tcPr>
            <w:tcW w:w="1650" w:type="dxa"/>
            <w:vAlign w:val="center"/>
          </w:tcPr>
          <w:p w14:paraId="2417274A">
            <w:pPr>
              <w:wordWrap w:val="0"/>
              <w:jc w:val="center"/>
              <w:rPr>
                <w:sz w:val="24"/>
              </w:rPr>
            </w:pPr>
            <w:r>
              <w:rPr>
                <w:rFonts w:hint="eastAsia"/>
                <w:sz w:val="24"/>
              </w:rPr>
              <w:t>手机</w:t>
            </w:r>
          </w:p>
        </w:tc>
      </w:tr>
      <w:tr w14:paraId="610DFEA1">
        <w:tblPrEx>
          <w:tblW w:w="10635" w:type="dxa"/>
          <w:jc w:val="center"/>
          <w:tblLayout w:type="fixed"/>
          <w:tblCellMar>
            <w:top w:w="0" w:type="dxa"/>
            <w:left w:w="108" w:type="dxa"/>
            <w:bottom w:w="0" w:type="dxa"/>
            <w:right w:w="108" w:type="dxa"/>
          </w:tblCellMar>
        </w:tblPrEx>
        <w:trPr>
          <w:cantSplit/>
          <w:trHeight w:val="450"/>
          <w:jc w:val="center"/>
        </w:trPr>
        <w:tc>
          <w:tcPr>
            <w:tcW w:w="2376" w:type="dxa"/>
            <w:gridSpan w:val="3"/>
            <w:vAlign w:val="center"/>
          </w:tcPr>
          <w:p w14:paraId="0511F54D">
            <w:pPr>
              <w:wordWrap w:val="0"/>
              <w:rPr>
                <w:sz w:val="24"/>
              </w:rPr>
            </w:pPr>
          </w:p>
        </w:tc>
        <w:tc>
          <w:tcPr>
            <w:tcW w:w="1365" w:type="dxa"/>
            <w:gridSpan w:val="2"/>
            <w:vAlign w:val="center"/>
          </w:tcPr>
          <w:p w14:paraId="1CFC354F">
            <w:pPr>
              <w:wordWrap w:val="0"/>
              <w:jc w:val="center"/>
              <w:rPr>
                <w:sz w:val="24"/>
              </w:rPr>
            </w:pPr>
          </w:p>
        </w:tc>
        <w:tc>
          <w:tcPr>
            <w:tcW w:w="1453" w:type="dxa"/>
            <w:gridSpan w:val="2"/>
            <w:vAlign w:val="center"/>
          </w:tcPr>
          <w:p w14:paraId="1295E33B">
            <w:pPr>
              <w:wordWrap w:val="0"/>
              <w:rPr>
                <w:sz w:val="24"/>
              </w:rPr>
            </w:pPr>
          </w:p>
        </w:tc>
        <w:tc>
          <w:tcPr>
            <w:tcW w:w="1434" w:type="dxa"/>
            <w:gridSpan w:val="2"/>
            <w:vAlign w:val="center"/>
          </w:tcPr>
          <w:p w14:paraId="1B3B0582">
            <w:pPr>
              <w:wordWrap w:val="0"/>
              <w:rPr>
                <w:sz w:val="24"/>
              </w:rPr>
            </w:pPr>
          </w:p>
        </w:tc>
        <w:tc>
          <w:tcPr>
            <w:tcW w:w="843" w:type="dxa"/>
            <w:vAlign w:val="center"/>
          </w:tcPr>
          <w:p w14:paraId="424F131C">
            <w:pPr>
              <w:wordWrap w:val="0"/>
              <w:jc w:val="center"/>
              <w:rPr>
                <w:sz w:val="24"/>
              </w:rPr>
            </w:pPr>
          </w:p>
        </w:tc>
        <w:tc>
          <w:tcPr>
            <w:tcW w:w="1514" w:type="dxa"/>
            <w:gridSpan w:val="2"/>
            <w:vAlign w:val="center"/>
          </w:tcPr>
          <w:p w14:paraId="6E9CEC91">
            <w:pPr>
              <w:wordWrap w:val="0"/>
              <w:jc w:val="center"/>
              <w:rPr>
                <w:sz w:val="24"/>
              </w:rPr>
            </w:pPr>
          </w:p>
        </w:tc>
        <w:tc>
          <w:tcPr>
            <w:tcW w:w="1650" w:type="dxa"/>
            <w:vAlign w:val="center"/>
          </w:tcPr>
          <w:p w14:paraId="152C56E3">
            <w:pPr>
              <w:wordWrap w:val="0"/>
              <w:rPr>
                <w:sz w:val="24"/>
              </w:rPr>
            </w:pPr>
          </w:p>
        </w:tc>
      </w:tr>
      <w:tr w14:paraId="04148F6B">
        <w:tblPrEx>
          <w:tblW w:w="10635" w:type="dxa"/>
          <w:jc w:val="center"/>
          <w:tblLayout w:type="fixed"/>
          <w:tblCellMar>
            <w:top w:w="0" w:type="dxa"/>
            <w:left w:w="108" w:type="dxa"/>
            <w:bottom w:w="0" w:type="dxa"/>
            <w:right w:w="108" w:type="dxa"/>
          </w:tblCellMar>
        </w:tblPrEx>
        <w:trPr>
          <w:cantSplit/>
          <w:trHeight w:val="450"/>
          <w:jc w:val="center"/>
        </w:trPr>
        <w:tc>
          <w:tcPr>
            <w:tcW w:w="10635" w:type="dxa"/>
            <w:gridSpan w:val="13"/>
          </w:tcPr>
          <w:p w14:paraId="70EE6138">
            <w:pPr>
              <w:wordWrap w:val="0"/>
              <w:jc w:val="center"/>
              <w:rPr>
                <w:b/>
                <w:sz w:val="36"/>
                <w:szCs w:val="36"/>
              </w:rPr>
            </w:pPr>
            <w:r>
              <w:rPr>
                <w:rFonts w:hint="eastAsia"/>
                <w:b/>
                <w:szCs w:val="28"/>
              </w:rPr>
              <w:t>项目立项背景及意义</w:t>
            </w:r>
          </w:p>
        </w:tc>
      </w:tr>
      <w:tr w14:paraId="4A328620">
        <w:tblPrEx>
          <w:tblW w:w="10635" w:type="dxa"/>
          <w:jc w:val="center"/>
          <w:tblLayout w:type="fixed"/>
          <w:tblCellMar>
            <w:top w:w="0" w:type="dxa"/>
            <w:left w:w="108" w:type="dxa"/>
            <w:bottom w:w="0" w:type="dxa"/>
            <w:right w:w="108" w:type="dxa"/>
          </w:tblCellMar>
        </w:tblPrEx>
        <w:trPr>
          <w:jc w:val="center"/>
        </w:trPr>
        <w:tc>
          <w:tcPr>
            <w:tcW w:w="10635" w:type="dxa"/>
            <w:gridSpan w:val="13"/>
          </w:tcPr>
          <w:p w14:paraId="23CEA8E8">
            <w:pPr>
              <w:widowControl/>
              <w:spacing w:before="0" w:after="0"/>
              <w:jc w:val="left"/>
              <w:rPr>
                <w:rFonts w:ascii="宋体" w:hAnsi="宋体" w:cs="宋体"/>
                <w:kern w:val="0"/>
                <w:sz w:val="24"/>
              </w:rPr>
            </w:pPr>
            <w:bookmarkStart w:id="61" w:name="lxbj"/>
            <w:r>
              <w:rPr>
                <w:rFonts w:ascii="楷体" w:eastAsia="楷体" w:hAnsi="楷体" w:cs="楷体"/>
                <w:color w:val="000000"/>
                <w:kern w:val="0"/>
                <w:sz w:val="24"/>
              </w:rPr>
              <w:t>2024</w:t>
            </w:r>
            <w:r>
              <w:rPr>
                <w:rFonts w:ascii="楷体" w:eastAsia="楷体" w:hAnsi="楷体" w:cs="楷体"/>
                <w:color w:val="000000"/>
                <w:kern w:val="0"/>
                <w:sz w:val="24"/>
              </w:rPr>
              <w:t>年中共中央、国务院印发《关于加快经济社会发展全面绿色转型的意见》，明确提出发展绿色低碳建筑与能源体系；</w:t>
            </w:r>
            <w:r>
              <w:rPr>
                <w:rFonts w:ascii="楷体" w:eastAsia="楷体" w:hAnsi="楷体" w:cs="楷体"/>
                <w:color w:val="000000"/>
                <w:kern w:val="0"/>
                <w:sz w:val="24"/>
              </w:rPr>
              <w:t>2025</w:t>
            </w:r>
            <w:r>
              <w:rPr>
                <w:rFonts w:ascii="楷体" w:eastAsia="楷体" w:hAnsi="楷体" w:cs="楷体"/>
                <w:color w:val="000000"/>
                <w:kern w:val="0"/>
                <w:sz w:val="24"/>
              </w:rPr>
              <w:t>年两会期间，李强总理在政府报告中强调推动建设安全、舒适、绿色、智慧的“好房子”，发展数字化、智能化基础设施。智能建造技术和绿色低碳协同发展将成为土木工程行业未来发展的核心方向。河北省是全国最早开展超低能耗建筑的省份，净零能耗建筑的快速发展对建筑材料的能源产储功能提出迫切需求。将建筑材料开发成大型电化学储能装置是实现建筑物自供电和绿色可持续发展的重要途径。碱激发材料是当前最有望替代传统水泥的胶结材料，其制备过程添加额外的强碱或弱碱盐，赋予其导电方面具有独特优势。将碱激发材料作为超级电容器的电解质，开展导电性、电化学特性和长期充放电测试，揭示碱激发材料超级电容器的导电机制、储能机理和长期充放电失效机理。研究成果将突破传统建材单一结构功能的局限，推动碱激发材料超级电容器为光传感器供电到支持</w:t>
            </w:r>
            <w:r>
              <w:rPr>
                <w:rFonts w:ascii="楷体" w:eastAsia="楷体" w:hAnsi="楷体" w:cs="楷体"/>
                <w:color w:val="000000"/>
                <w:kern w:val="0"/>
                <w:sz w:val="24"/>
              </w:rPr>
              <w:t>5G</w:t>
            </w:r>
            <w:r>
              <w:rPr>
                <w:rFonts w:ascii="楷体" w:eastAsia="楷体" w:hAnsi="楷体" w:cs="楷体"/>
                <w:color w:val="000000"/>
                <w:kern w:val="0"/>
                <w:sz w:val="24"/>
              </w:rPr>
              <w:t>基站，充当智能和智慧城市的储能单元，服务于结构健康监测系统，甚至满足日常电力需求。推动土木工程材料从“能源消耗体”向“能源产储体”转型，</w:t>
            </w:r>
            <w:r>
              <w:rPr>
                <w:rFonts w:ascii="楷体" w:eastAsia="楷体" w:hAnsi="楷体" w:cs="楷体"/>
                <w:color w:val="000000"/>
                <w:kern w:val="0"/>
                <w:sz w:val="24"/>
              </w:rPr>
              <w:t>为拓展碱激发材料的应用领域提供科学依据和理论支撑。</w:t>
            </w:r>
          </w:p>
          <w:p>
            <w:pPr>
              <w:wordWrap w:val="0"/>
              <w:spacing w:line="440" w:lineRule="exact"/>
              <w:ind w:firstLine="480" w:firstLineChars="200"/>
              <w:jc w:val="left"/>
              <w:rPr>
                <w:sz w:val="24"/>
              </w:rPr>
            </w:pPr>
            <w:bookmarkEnd w:id="61"/>
          </w:p>
        </w:tc>
      </w:tr>
      <w:tr w14:paraId="18EC3EE7">
        <w:tblPrEx>
          <w:tblW w:w="10635" w:type="dxa"/>
          <w:jc w:val="center"/>
          <w:tblLayout w:type="fixed"/>
          <w:tblCellMar>
            <w:top w:w="0" w:type="dxa"/>
            <w:left w:w="108" w:type="dxa"/>
            <w:bottom w:w="0" w:type="dxa"/>
            <w:right w:w="108" w:type="dxa"/>
          </w:tblCellMar>
        </w:tblPrEx>
        <w:trPr>
          <w:cantSplit/>
          <w:trHeight w:val="450"/>
          <w:jc w:val="center"/>
        </w:trPr>
        <w:tc>
          <w:tcPr>
            <w:tcW w:w="10635" w:type="dxa"/>
            <w:gridSpan w:val="13"/>
          </w:tcPr>
          <w:p w14:paraId="0F505C29">
            <w:pPr>
              <w:wordWrap w:val="0"/>
              <w:jc w:val="center"/>
              <w:rPr>
                <w:b/>
                <w:szCs w:val="28"/>
              </w:rPr>
            </w:pPr>
            <w:r>
              <w:rPr>
                <w:rFonts w:hint="eastAsia"/>
                <w:b/>
                <w:szCs w:val="28"/>
              </w:rPr>
              <w:t>项目简介</w:t>
            </w:r>
          </w:p>
        </w:tc>
      </w:tr>
      <w:tr w14:paraId="419D2C72">
        <w:tblPrEx>
          <w:tblW w:w="10635" w:type="dxa"/>
          <w:jc w:val="center"/>
          <w:tblLayout w:type="fixed"/>
          <w:tblCellMar>
            <w:top w:w="0" w:type="dxa"/>
            <w:left w:w="108" w:type="dxa"/>
            <w:bottom w:w="0" w:type="dxa"/>
            <w:right w:w="108" w:type="dxa"/>
          </w:tblCellMar>
        </w:tblPrEx>
        <w:trPr>
          <w:jc w:val="center"/>
        </w:trPr>
        <w:tc>
          <w:tcPr>
            <w:tcW w:w="10635" w:type="dxa"/>
            <w:gridSpan w:val="13"/>
          </w:tcPr>
          <w:p w14:paraId="3A35EBA0">
            <w:pPr>
              <w:widowControl/>
              <w:spacing w:before="0" w:after="0"/>
              <w:jc w:val="left"/>
              <w:rPr>
                <w:rFonts w:ascii="宋体" w:hAnsi="宋体" w:cs="宋体"/>
                <w:kern w:val="0"/>
                <w:sz w:val="24"/>
              </w:rPr>
            </w:pPr>
            <w:bookmarkStart w:id="62" w:name="xmjj"/>
            <w:r>
              <w:rPr>
                <w:rFonts w:ascii="楷体" w:eastAsia="楷体" w:hAnsi="楷体" w:cs="楷体"/>
                <w:color w:val="000000"/>
                <w:kern w:val="0"/>
                <w:sz w:val="24"/>
              </w:rPr>
              <w:t>立足国家土木工程智能化和绿色低碳协同发展战略的重大需求，紧密对接河北省智能建造和超低能耗建筑发展的区域需求，本项目聚焦将</w:t>
            </w:r>
            <w:r>
              <w:rPr>
                <w:rFonts w:ascii="楷体" w:eastAsia="楷体" w:hAnsi="楷体" w:cs="楷体"/>
                <w:color w:val="000000"/>
                <w:kern w:val="0"/>
                <w:sz w:val="24"/>
              </w:rPr>
              <w:t>碱激发材料作为一种新型的储电材料，围绕三大核心方向开展系统研究：（</w:t>
            </w:r>
            <w:r>
              <w:rPr>
                <w:rFonts w:ascii="楷体" w:eastAsia="楷体" w:hAnsi="楷体" w:cs="楷体"/>
                <w:color w:val="000000"/>
                <w:kern w:val="0"/>
                <w:sz w:val="24"/>
              </w:rPr>
              <w:t>1</w:t>
            </w:r>
            <w:r>
              <w:rPr>
                <w:rFonts w:ascii="楷体" w:eastAsia="楷体" w:hAnsi="楷体" w:cs="楷体"/>
                <w:color w:val="000000"/>
                <w:kern w:val="0"/>
                <w:sz w:val="24"/>
              </w:rPr>
              <w:t>）开展碱激发材料电解质的导电机制研究，提出“孔隙</w:t>
            </w:r>
            <w:r>
              <w:rPr>
                <w:rFonts w:ascii="楷体" w:eastAsia="楷体" w:hAnsi="楷体" w:cs="楷体"/>
                <w:color w:val="000000"/>
                <w:kern w:val="0"/>
                <w:sz w:val="24"/>
              </w:rPr>
              <w:t>-</w:t>
            </w:r>
            <w:r>
              <w:rPr>
                <w:rFonts w:ascii="楷体" w:eastAsia="楷体" w:hAnsi="楷体" w:cs="楷体"/>
                <w:color w:val="000000"/>
                <w:kern w:val="0"/>
                <w:sz w:val="24"/>
              </w:rPr>
              <w:t>水</w:t>
            </w:r>
            <w:r>
              <w:rPr>
                <w:rFonts w:ascii="楷体" w:eastAsia="楷体" w:hAnsi="楷体" w:cs="楷体"/>
                <w:color w:val="000000"/>
                <w:kern w:val="0"/>
                <w:sz w:val="24"/>
              </w:rPr>
              <w:t>-</w:t>
            </w:r>
            <w:r>
              <w:rPr>
                <w:rFonts w:ascii="楷体" w:eastAsia="楷体" w:hAnsi="楷体" w:cs="楷体"/>
                <w:color w:val="000000"/>
                <w:kern w:val="0"/>
                <w:sz w:val="24"/>
              </w:rPr>
              <w:t>离子传输”多因素调控理论，深入揭示碱激发材料电解质在多因素耦合作用下的导电机制。（</w:t>
            </w:r>
            <w:r>
              <w:rPr>
                <w:rFonts w:ascii="楷体" w:eastAsia="楷体" w:hAnsi="楷体" w:cs="楷体"/>
                <w:color w:val="000000"/>
                <w:kern w:val="0"/>
                <w:sz w:val="24"/>
              </w:rPr>
              <w:t>2</w:t>
            </w:r>
            <w:r>
              <w:rPr>
                <w:rFonts w:ascii="楷体" w:eastAsia="楷体" w:hAnsi="楷体" w:cs="楷体"/>
                <w:color w:val="000000"/>
                <w:kern w:val="0"/>
                <w:sz w:val="24"/>
              </w:rPr>
              <w:t>）开</w:t>
            </w:r>
            <w:r>
              <w:rPr>
                <w:rFonts w:ascii="楷体" w:eastAsia="楷体" w:hAnsi="楷体" w:cs="楷体"/>
                <w:color w:val="000000"/>
                <w:kern w:val="0"/>
                <w:sz w:val="24"/>
              </w:rPr>
              <w:t>展</w:t>
            </w:r>
            <w:r>
              <w:rPr>
                <w:rFonts w:ascii="楷体" w:eastAsia="楷体" w:hAnsi="楷体" w:cs="楷体"/>
                <w:color w:val="000000"/>
                <w:kern w:val="0"/>
                <w:sz w:val="24"/>
              </w:rPr>
              <w:t>碱激发材料超级电容器的</w:t>
            </w:r>
            <w:r>
              <w:rPr>
                <w:rFonts w:ascii="楷体" w:eastAsia="楷体" w:hAnsi="楷体" w:cs="楷体"/>
                <w:color w:val="000000"/>
                <w:kern w:val="0"/>
                <w:sz w:val="24"/>
              </w:rPr>
              <w:t>性能评价</w:t>
            </w:r>
            <w:r>
              <w:rPr>
                <w:rFonts w:ascii="楷体" w:eastAsia="楷体" w:hAnsi="楷体" w:cs="楷体"/>
                <w:color w:val="000000"/>
                <w:kern w:val="0"/>
                <w:sz w:val="24"/>
              </w:rPr>
              <w:t>与储能</w:t>
            </w:r>
            <w:r>
              <w:rPr>
                <w:rFonts w:ascii="楷体" w:eastAsia="楷体" w:hAnsi="楷体" w:cs="楷体"/>
                <w:color w:val="000000"/>
                <w:kern w:val="0"/>
                <w:sz w:val="24"/>
              </w:rPr>
              <w:t>机理研究，评价碱激发材料超级电容器的电荷存储能力、能量转换效率和循环稳定性等，测试受荷状态下超级电容器的电化学响应，</w:t>
            </w:r>
            <w:r>
              <w:rPr>
                <w:rFonts w:ascii="楷体" w:eastAsia="楷体" w:hAnsi="楷体" w:cs="楷体"/>
                <w:color w:val="000000"/>
                <w:spacing w:val="0"/>
                <w:kern w:val="0"/>
                <w:sz w:val="24"/>
                <w:shd w:val="clear" w:color="auto" w:fill="FFFFFF"/>
              </w:rPr>
              <w:t>深入揭示碱激发材料超级电容器的储能机理。（</w:t>
            </w:r>
            <w:r>
              <w:rPr>
                <w:rFonts w:ascii="楷体" w:eastAsia="楷体" w:hAnsi="楷体" w:cs="楷体"/>
                <w:color w:val="000000"/>
                <w:spacing w:val="0"/>
                <w:kern w:val="0"/>
                <w:sz w:val="24"/>
                <w:shd w:val="clear" w:color="auto" w:fill="FFFFFF"/>
              </w:rPr>
              <w:t>3</w:t>
            </w:r>
            <w:r>
              <w:rPr>
                <w:rFonts w:ascii="楷体" w:eastAsia="楷体" w:hAnsi="楷体" w:cs="楷体"/>
                <w:color w:val="000000"/>
                <w:spacing w:val="0"/>
                <w:kern w:val="0"/>
                <w:sz w:val="24"/>
                <w:shd w:val="clear" w:color="auto" w:fill="FFFFFF"/>
              </w:rPr>
              <w:t>）开展</w:t>
            </w:r>
            <w:r>
              <w:rPr>
                <w:rFonts w:ascii="楷体" w:eastAsia="楷体" w:hAnsi="楷体" w:cs="楷体"/>
                <w:color w:val="000000"/>
                <w:kern w:val="0"/>
                <w:sz w:val="24"/>
              </w:rPr>
              <w:t>碱激发材料超级电容器</w:t>
            </w:r>
            <w:r>
              <w:rPr>
                <w:rFonts w:ascii="楷体" w:eastAsia="楷体" w:hAnsi="楷体" w:cs="楷体"/>
                <w:color w:val="000000"/>
                <w:kern w:val="0"/>
                <w:sz w:val="24"/>
              </w:rPr>
              <w:t>长期稳定性与性能</w:t>
            </w:r>
            <w:r>
              <w:rPr>
                <w:rFonts w:ascii="楷体" w:eastAsia="楷体" w:hAnsi="楷体" w:cs="楷体"/>
                <w:color w:val="000000"/>
                <w:kern w:val="0"/>
                <w:sz w:val="24"/>
              </w:rPr>
              <w:t>调控</w:t>
            </w:r>
            <w:r>
              <w:rPr>
                <w:rFonts w:ascii="楷体" w:eastAsia="楷体" w:hAnsi="楷体" w:cs="楷体"/>
                <w:color w:val="000000"/>
                <w:kern w:val="0"/>
                <w:sz w:val="24"/>
              </w:rPr>
              <w:t>研究，</w:t>
            </w:r>
            <w:r>
              <w:rPr>
                <w:rFonts w:ascii="楷体" w:eastAsia="楷体" w:hAnsi="楷体" w:cs="楷体"/>
                <w:color w:val="000000"/>
                <w:spacing w:val="0"/>
                <w:kern w:val="0"/>
                <w:sz w:val="24"/>
                <w:shd w:val="clear" w:color="auto" w:fill="FFFFFF"/>
              </w:rPr>
              <w:t>评估超级电容器在长时间工作条件下的稳定性和可靠性，揭示长时间充放电失效机理，系统给出提升碱激发材料超级电容器性能的优化方案。解决“</w:t>
            </w:r>
            <w:r>
              <w:rPr>
                <w:rFonts w:ascii="楷体" w:eastAsia="楷体" w:hAnsi="楷体" w:cs="楷体"/>
                <w:color w:val="000000"/>
                <w:kern w:val="0"/>
                <w:sz w:val="24"/>
              </w:rPr>
              <w:t>碱激发材料电解质“孔隙</w:t>
            </w:r>
            <w:r>
              <w:rPr>
                <w:rFonts w:ascii="楷体" w:eastAsia="楷体" w:hAnsi="楷体" w:cs="楷体"/>
                <w:color w:val="000000"/>
                <w:kern w:val="0"/>
                <w:sz w:val="24"/>
              </w:rPr>
              <w:t>-</w:t>
            </w:r>
            <w:r>
              <w:rPr>
                <w:rFonts w:ascii="楷体" w:eastAsia="楷体" w:hAnsi="楷体" w:cs="楷体"/>
                <w:color w:val="000000"/>
                <w:kern w:val="0"/>
                <w:sz w:val="24"/>
              </w:rPr>
              <w:t>水</w:t>
            </w:r>
            <w:r>
              <w:rPr>
                <w:rFonts w:ascii="楷体" w:eastAsia="楷体" w:hAnsi="楷体" w:cs="楷体"/>
                <w:color w:val="000000"/>
                <w:kern w:val="0"/>
                <w:sz w:val="24"/>
              </w:rPr>
              <w:t>-</w:t>
            </w:r>
            <w:r>
              <w:rPr>
                <w:rFonts w:ascii="楷体" w:eastAsia="楷体" w:hAnsi="楷体" w:cs="楷体"/>
                <w:color w:val="000000"/>
                <w:kern w:val="0"/>
                <w:sz w:val="24"/>
              </w:rPr>
              <w:t>离子传输”与导电性能的关联机制</w:t>
            </w:r>
            <w:r>
              <w:rPr>
                <w:rFonts w:ascii="楷体" w:eastAsia="楷体" w:hAnsi="楷体" w:cs="楷体"/>
                <w:color w:val="000000"/>
                <w:spacing w:val="0"/>
                <w:kern w:val="0"/>
                <w:sz w:val="24"/>
                <w:shd w:val="clear" w:color="auto" w:fill="FFFFFF"/>
              </w:rPr>
              <w:t>”和“</w:t>
            </w:r>
            <w:r>
              <w:rPr>
                <w:rFonts w:ascii="楷体" w:eastAsia="楷体" w:hAnsi="楷体" w:cs="楷体"/>
                <w:color w:val="000000"/>
                <w:kern w:val="0"/>
                <w:sz w:val="24"/>
              </w:rPr>
              <w:t>碱激发材料超级电容器的储能机理与长期稳定性提升策略</w:t>
            </w:r>
            <w:r>
              <w:rPr>
                <w:rFonts w:ascii="楷体" w:eastAsia="楷体" w:hAnsi="楷体" w:cs="楷体"/>
                <w:color w:val="000000"/>
                <w:spacing w:val="0"/>
                <w:kern w:val="0"/>
                <w:sz w:val="24"/>
                <w:shd w:val="clear" w:color="auto" w:fill="FFFFFF"/>
              </w:rPr>
              <w:t>”两个关键科学问题。研究成果将</w:t>
            </w:r>
            <w:r>
              <w:rPr>
                <w:rFonts w:ascii="楷体" w:eastAsia="楷体" w:hAnsi="楷体" w:cs="楷体"/>
                <w:color w:val="000000"/>
                <w:kern w:val="0"/>
                <w:sz w:val="24"/>
              </w:rPr>
              <w:t>推动城市基础设施从“能源消耗体”向“能源产储体”转型，为碱激发材料在净零能耗建筑、</w:t>
            </w:r>
            <w:r>
              <w:rPr>
                <w:rFonts w:ascii="楷体" w:eastAsia="楷体" w:hAnsi="楷体" w:cs="楷体"/>
                <w:color w:val="000000"/>
                <w:kern w:val="0"/>
                <w:sz w:val="24"/>
              </w:rPr>
              <w:t>5G</w:t>
            </w:r>
            <w:r>
              <w:rPr>
                <w:rFonts w:ascii="楷体" w:eastAsia="楷体" w:hAnsi="楷体" w:cs="楷体"/>
                <w:color w:val="000000"/>
                <w:kern w:val="0"/>
                <w:sz w:val="24"/>
              </w:rPr>
              <w:t>基站储能单元、结构健康监测系统等的应用提供理论支撑。</w:t>
            </w:r>
          </w:p>
          <w:p>
            <w:pPr>
              <w:wordWrap w:val="0"/>
              <w:spacing w:line="440" w:lineRule="exact"/>
              <w:ind w:firstLine="480" w:firstLineChars="200"/>
              <w:jc w:val="left"/>
              <w:rPr>
                <w:sz w:val="24"/>
              </w:rPr>
            </w:pPr>
            <w:bookmarkEnd w:id="62"/>
          </w:p>
        </w:tc>
      </w:tr>
    </w:tbl>
    <w:p w14:paraId="45BEEAA7">
      <w:pPr>
        <w:wordWrap w:val="0"/>
        <w:spacing w:line="20" w:lineRule="exact"/>
      </w:pPr>
      <w:r>
        <w:br w:type="page"/>
      </w:r>
    </w:p>
    <w:tbl>
      <w:tblPr>
        <w:tblStyle w:val="TableNormal"/>
        <w:tblW w:w="102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262"/>
      </w:tblGrid>
      <w:tr w14:paraId="64B5F0C8">
        <w:tblPrEx>
          <w:tblW w:w="102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0262" w:type="dxa"/>
          </w:tcPr>
          <w:p w14:paraId="483CEF52">
            <w:pPr>
              <w:wordWrap w:val="0"/>
              <w:jc w:val="center"/>
              <w:rPr>
                <w:b/>
                <w:szCs w:val="28"/>
              </w:rPr>
            </w:pPr>
            <w:r>
              <w:rPr>
                <w:rFonts w:hint="eastAsia"/>
                <w:b/>
                <w:szCs w:val="28"/>
              </w:rPr>
              <w:t>研究属性</w:t>
            </w:r>
          </w:p>
        </w:tc>
      </w:tr>
      <w:tr w14:paraId="1D3DB373">
        <w:tblPrEx>
          <w:tblW w:w="10262" w:type="dxa"/>
          <w:jc w:val="center"/>
          <w:tblLayout w:type="fixed"/>
          <w:tblCellMar>
            <w:top w:w="0" w:type="dxa"/>
            <w:left w:w="108" w:type="dxa"/>
            <w:bottom w:w="0" w:type="dxa"/>
            <w:right w:w="108" w:type="dxa"/>
          </w:tblCellMar>
        </w:tblPrEx>
        <w:trPr>
          <w:jc w:val="center"/>
        </w:trPr>
        <w:tc>
          <w:tcPr>
            <w:tcW w:w="10262" w:type="dxa"/>
          </w:tcPr>
          <w:p w14:paraId="26C1DA1C">
            <w:pPr>
              <w:wordWrap w:val="0"/>
              <w:snapToGrid w:val="0"/>
              <w:spacing w:after="120" w:afterLines="50" w:line="440" w:lineRule="exact"/>
              <w:jc w:val="left"/>
              <w:rPr>
                <w:sz w:val="24"/>
              </w:rPr>
            </w:pPr>
            <w:r>
              <w:rPr>
                <w:rFonts w:hint="eastAsia"/>
                <w:sz w:val="24"/>
              </w:rPr>
              <w:t>特别提醒</w:t>
            </w:r>
            <w:r>
              <w:rPr>
                <w:rFonts w:hint="eastAsia"/>
                <w:color w:val="0D0D0D"/>
                <w:sz w:val="24"/>
              </w:rPr>
              <w:t>申报</w:t>
            </w:r>
            <w:r>
              <w:rPr>
                <w:rFonts w:hint="eastAsia"/>
                <w:sz w:val="24"/>
              </w:rPr>
              <w:t>人注意：请阅读后，选择研究属性，并阐明选择理由。申报项目具有多重研究属性的，申报人应当选择最相符、最侧重、最能体现申报项目特点的一类研究属性</w:t>
            </w:r>
            <w:r>
              <w:rPr>
                <w:sz w:val="24"/>
              </w:rPr>
              <w:t>。</w:t>
            </w:r>
          </w:p>
          <w:p w14:paraId="75D93504">
            <w:pPr>
              <w:pStyle w:val="Default"/>
              <w:wordWrap w:val="0"/>
              <w:spacing w:line="360" w:lineRule="auto"/>
              <w:ind w:firstLine="240" w:firstLineChars="100"/>
              <w:rPr>
                <w:rFonts w:ascii="Times New Roman" w:eastAsia="宋体" w:hAnsi="Times New Roman" w:hint="default"/>
                <w:kern w:val="2"/>
                <w:szCs w:val="24"/>
              </w:rPr>
            </w:pPr>
            <w:r>
              <w:rPr>
                <w:rFonts w:ascii="Times New Roman" w:eastAsia="宋体" w:hAnsi="Times New Roman"/>
                <w:kern w:val="2"/>
                <w:szCs w:val="24"/>
              </w:rPr>
              <w:t>“</w:t>
            </w:r>
            <w:r>
              <w:rPr>
                <w:rFonts w:ascii="Times New Roman" w:eastAsia="宋体" w:hAnsi="Times New Roman"/>
                <w:b/>
                <w:kern w:val="2"/>
                <w:szCs w:val="24"/>
              </w:rPr>
              <w:t>自由探索类基础研究</w:t>
            </w:r>
            <w:r>
              <w:rPr>
                <w:rFonts w:ascii="Times New Roman" w:eastAsia="宋体" w:hAnsi="Times New Roman"/>
                <w:kern w:val="2"/>
                <w:szCs w:val="24"/>
              </w:rPr>
              <w:t>”：选题源于科研人员好奇心或创新性学术灵感，且不以满足现阶段应用需求为目的的原创性、前沿性基础研究。</w:t>
            </w:r>
          </w:p>
          <w:p w14:paraId="28D3DA48">
            <w:pPr>
              <w:pStyle w:val="Default"/>
              <w:wordWrap w:val="0"/>
              <w:spacing w:line="360" w:lineRule="auto"/>
              <w:rPr>
                <w:rFonts w:ascii="Times New Roman" w:eastAsia="宋体" w:hAnsi="Times New Roman" w:hint="default"/>
                <w:kern w:val="2"/>
                <w:szCs w:val="24"/>
              </w:rPr>
            </w:pPr>
            <w:r>
              <w:rPr>
                <w:rFonts w:ascii="Times New Roman" w:eastAsia="宋体" w:hAnsi="Times New Roman" w:hint="default"/>
                <w:kern w:val="2"/>
                <w:szCs w:val="24"/>
              </w:rPr>
              <w:t xml:space="preserve">  </w:t>
            </w:r>
            <w:r>
              <w:rPr>
                <w:rFonts w:ascii="Times New Roman" w:eastAsia="宋体" w:hAnsi="Times New Roman"/>
                <w:kern w:val="2"/>
                <w:szCs w:val="24"/>
              </w:rPr>
              <w:t>“</w:t>
            </w:r>
            <w:r>
              <w:rPr>
                <w:rFonts w:ascii="Times New Roman" w:eastAsia="宋体" w:hAnsi="Times New Roman"/>
                <w:b/>
                <w:kern w:val="2"/>
                <w:szCs w:val="24"/>
              </w:rPr>
              <w:t>目标导向类基础研究</w:t>
            </w:r>
            <w:r>
              <w:rPr>
                <w:rFonts w:ascii="Times New Roman" w:eastAsia="宋体" w:hAnsi="Times New Roman"/>
                <w:kern w:val="2"/>
                <w:szCs w:val="24"/>
              </w:rPr>
              <w:t>”：以经济社会发展需要或国家需求为牵引的基础研究。</w:t>
            </w:r>
          </w:p>
          <w:p w14:paraId="474D61EC">
            <w:pPr>
              <w:wordWrap w:val="0"/>
              <w:spacing w:line="100" w:lineRule="atLeast"/>
              <w:jc w:val="left"/>
              <w:rPr>
                <w:sz w:val="21"/>
                <w:szCs w:val="20"/>
              </w:rPr>
            </w:pPr>
          </w:p>
          <w:p w14:paraId="7EB2679B">
            <w:pPr>
              <w:wordWrap w:val="0"/>
              <w:spacing w:line="440" w:lineRule="exact"/>
              <w:jc w:val="left"/>
              <w:rPr>
                <w:sz w:val="21"/>
                <w:szCs w:val="20"/>
              </w:rPr>
            </w:pPr>
            <w:r>
              <w:rPr>
                <w:rFonts w:hint="eastAsia"/>
                <w:sz w:val="24"/>
                <w:szCs w:val="22"/>
              </w:rPr>
              <w:t>研究的属性：</w:t>
            </w:r>
            <w:bookmarkStart w:id="63" w:name="kxwtsx"/>
            <w:r>
              <w:rPr>
                <w:rFonts w:ascii="宋体" w:eastAsia="宋体" w:hAnsi="宋体" w:cs="宋体" w:hint="eastAsia"/>
                <w:sz w:val="24"/>
                <w:szCs w:val="22"/>
              </w:rPr>
              <w:t>自由探索类基础研究</w:t>
            </w:r>
            <w:bookmarkEnd w:id="63"/>
          </w:p>
        </w:tc>
      </w:tr>
      <w:tr w14:paraId="74617EC3">
        <w:tblPrEx>
          <w:tblW w:w="10262" w:type="dxa"/>
          <w:jc w:val="center"/>
          <w:tblLayout w:type="fixed"/>
          <w:tblCellMar>
            <w:top w:w="0" w:type="dxa"/>
            <w:left w:w="108" w:type="dxa"/>
            <w:bottom w:w="0" w:type="dxa"/>
            <w:right w:w="108" w:type="dxa"/>
          </w:tblCellMar>
        </w:tblPrEx>
        <w:trPr>
          <w:jc w:val="center"/>
        </w:trPr>
        <w:tc>
          <w:tcPr>
            <w:tcW w:w="10262" w:type="dxa"/>
          </w:tcPr>
          <w:p w14:paraId="631A0C48">
            <w:pPr>
              <w:pStyle w:val="Default"/>
              <w:wordWrap w:val="0"/>
              <w:spacing w:line="360" w:lineRule="auto"/>
              <w:rPr>
                <w:rFonts w:ascii="Times New Roman" w:eastAsia="宋体" w:hAnsi="Times New Roman" w:hint="default"/>
                <w:kern w:val="2"/>
                <w:szCs w:val="24"/>
              </w:rPr>
            </w:pPr>
            <w:r>
              <w:rPr>
                <w:rFonts w:ascii="Times New Roman" w:eastAsia="宋体" w:hAnsi="Times New Roman" w:hint="default"/>
                <w:kern w:val="2"/>
                <w:szCs w:val="24"/>
              </w:rPr>
              <w:t>选择该</w:t>
            </w:r>
            <w:r>
              <w:rPr>
                <w:rFonts w:ascii="Times New Roman" w:eastAsia="宋体" w:hAnsi="Times New Roman"/>
                <w:kern w:val="2"/>
                <w:szCs w:val="24"/>
              </w:rPr>
              <w:t>研究</w:t>
            </w:r>
            <w:r>
              <w:rPr>
                <w:rFonts w:ascii="Times New Roman" w:eastAsia="宋体" w:hAnsi="Times New Roman" w:hint="default"/>
                <w:kern w:val="2"/>
                <w:szCs w:val="24"/>
              </w:rPr>
              <w:t>属性的理由（800字以内）：</w:t>
            </w:r>
          </w:p>
          <w:p w14:paraId="79560743">
            <w:pPr>
              <w:widowControl/>
              <w:bidi w:val="0"/>
              <w:spacing w:before="0" w:after="0"/>
              <w:jc w:val="left"/>
              <w:rPr>
                <w:rFonts w:ascii="宋体" w:hAnsi="宋体" w:cs="宋体"/>
                <w:kern w:val="0"/>
                <w:sz w:val="24"/>
              </w:rPr>
            </w:pPr>
            <w:bookmarkStart w:id="64" w:name="kxwtsxsm"/>
            <w:r>
              <w:rPr>
                <w:rFonts w:ascii="Calibri" w:eastAsia="Calibri" w:hAnsi="Calibri" w:cs="Calibri"/>
                <w:color w:val="333333"/>
                <w:spacing w:val="0"/>
                <w:kern w:val="0"/>
                <w:sz w:val="24"/>
              </w:rPr>
              <w:t> </w:t>
            </w:r>
            <w:r>
              <w:rPr>
                <w:rFonts w:ascii="楷体" w:eastAsia="楷体" w:hAnsi="楷体" w:cs="楷体"/>
                <w:color w:val="333333"/>
                <w:spacing w:val="0"/>
                <w:kern w:val="0"/>
                <w:sz w:val="24"/>
              </w:rPr>
              <w:t xml:space="preserve"> </w:t>
            </w:r>
            <w:r>
              <w:rPr>
                <w:rFonts w:ascii="Calibri" w:eastAsia="Calibri" w:hAnsi="Calibri" w:cs="Calibri"/>
                <w:color w:val="333333"/>
                <w:spacing w:val="0"/>
                <w:kern w:val="0"/>
                <w:sz w:val="24"/>
              </w:rPr>
              <w:t> </w:t>
            </w:r>
            <w:r>
              <w:rPr>
                <w:rFonts w:ascii="楷体" w:eastAsia="楷体" w:hAnsi="楷体" w:cs="楷体"/>
                <w:color w:val="000000"/>
                <w:spacing w:val="0"/>
                <w:kern w:val="0"/>
                <w:sz w:val="24"/>
              </w:rPr>
              <w:t xml:space="preserve"> 本研究</w:t>
            </w:r>
            <w:r>
              <w:rPr>
                <w:rFonts w:ascii="楷体" w:eastAsia="楷体" w:hAnsi="楷体" w:cs="楷体"/>
                <w:b/>
                <w:bCs/>
                <w:color w:val="000000"/>
                <w:spacing w:val="0"/>
                <w:kern w:val="0"/>
                <w:sz w:val="24"/>
              </w:rPr>
              <w:t>现阶段</w:t>
            </w:r>
            <w:r>
              <w:rPr>
                <w:rFonts w:ascii="楷体" w:eastAsia="楷体" w:hAnsi="楷体" w:cs="楷体"/>
                <w:color w:val="000000"/>
                <w:spacing w:val="0"/>
                <w:kern w:val="0"/>
                <w:sz w:val="24"/>
              </w:rPr>
              <w:t>属于自由探索类基础研究，</w:t>
            </w:r>
            <w:r>
              <w:rPr>
                <w:rFonts w:ascii="楷体" w:eastAsia="楷体" w:hAnsi="楷体" w:cs="楷体"/>
                <w:color w:val="000000"/>
                <w:spacing w:val="0"/>
                <w:kern w:val="0"/>
                <w:sz w:val="24"/>
              </w:rPr>
              <w:t>其核心源于项目负责人及团队对新型功能材料内在机制与跨学科应用潜力的创新性学术探索。</w:t>
            </w:r>
            <w:r>
              <w:rPr>
                <w:rFonts w:ascii="楷体" w:eastAsia="楷体" w:hAnsi="楷体" w:cs="楷体"/>
                <w:color w:val="000000"/>
                <w:spacing w:val="0"/>
                <w:kern w:val="0"/>
                <w:sz w:val="24"/>
              </w:rPr>
              <w:t>本研究</w:t>
            </w:r>
            <w:r>
              <w:rPr>
                <w:rFonts w:ascii="楷体" w:eastAsia="楷体" w:hAnsi="楷体" w:cs="楷体"/>
                <w:color w:val="000000"/>
                <w:spacing w:val="0"/>
                <w:kern w:val="0"/>
                <w:sz w:val="24"/>
              </w:rPr>
              <w:t>依托河北大学零碳能源建筑与计量技术教育部工程研究中心，</w:t>
            </w:r>
            <w:r>
              <w:rPr>
                <w:rFonts w:ascii="楷体" w:eastAsia="楷体" w:hAnsi="楷体" w:cs="楷体"/>
                <w:color w:val="000000"/>
                <w:spacing w:val="0"/>
                <w:kern w:val="0"/>
                <w:sz w:val="24"/>
              </w:rPr>
              <w:t>聚焦土木工程材料与电化学储能领域的深度交叉融合，旨在揭示碱激发材料超级电容器的导电机制与储能机理，突破传统建材单一结构功能的认知边界，</w:t>
            </w:r>
            <w:r>
              <w:rPr>
                <w:rFonts w:ascii="楷体" w:eastAsia="楷体" w:hAnsi="楷体" w:cs="楷体"/>
                <w:b/>
                <w:bCs/>
                <w:color w:val="000000"/>
                <w:spacing w:val="0"/>
                <w:kern w:val="0"/>
                <w:sz w:val="24"/>
              </w:rPr>
              <w:t>具有典型的原创性、前沿性科学问题探索</w:t>
            </w:r>
            <w:r>
              <w:rPr>
                <w:rFonts w:ascii="楷体" w:eastAsia="楷体" w:hAnsi="楷体" w:cs="楷体"/>
                <w:color w:val="000000"/>
                <w:spacing w:val="0"/>
                <w:kern w:val="0"/>
                <w:sz w:val="24"/>
              </w:rPr>
              <w:t>。碱激发材料虽在建材领域已有应用，但其作为固态电解质的功能化潜力尚未被系统挖掘：其多尺度孔结构为离子传输提供通道，但孔隙连通性受水化反应进程的动态调控；游离的</w:t>
            </w:r>
            <w:r>
              <w:rPr>
                <w:rFonts w:ascii="宋体" w:hAnsi="宋体" w:cs="宋体"/>
                <w:color w:val="000000"/>
                <w:kern w:val="0"/>
                <w:sz w:val="24"/>
              </w:rPr>
              <w:t>Na</w:t>
            </w:r>
            <w:r>
              <w:rPr>
                <w:rFonts w:ascii="宋体" w:hAnsi="宋体" w:cs="宋体"/>
                <w:color w:val="000000"/>
                <w:kern w:val="0"/>
                <w:sz w:val="30"/>
                <w:szCs w:val="30"/>
                <w:vertAlign w:val="superscript"/>
              </w:rPr>
              <w:t>+</w:t>
            </w:r>
            <w:r>
              <w:rPr>
                <w:rFonts w:ascii="宋体" w:hAnsi="宋体" w:cs="宋体"/>
                <w:color w:val="000000"/>
                <w:kern w:val="0"/>
                <w:sz w:val="24"/>
              </w:rPr>
              <w:t>/K</w:t>
            </w:r>
            <w:r>
              <w:rPr>
                <w:rFonts w:ascii="宋体" w:hAnsi="宋体" w:cs="宋体"/>
                <w:color w:val="000000"/>
                <w:kern w:val="0"/>
                <w:sz w:val="30"/>
                <w:szCs w:val="30"/>
                <w:vertAlign w:val="superscript"/>
              </w:rPr>
              <w:t>+</w:t>
            </w:r>
            <w:r>
              <w:rPr>
                <w:rFonts w:ascii="宋体" w:hAnsi="宋体" w:cs="宋体"/>
                <w:color w:val="000000"/>
                <w:spacing w:val="0"/>
                <w:kern w:val="0"/>
                <w:sz w:val="24"/>
              </w:rPr>
              <w:t>、</w:t>
            </w:r>
            <w:r>
              <w:rPr>
                <w:rFonts w:ascii="宋体" w:hAnsi="宋体" w:cs="宋体"/>
                <w:color w:val="000000"/>
                <w:spacing w:val="0"/>
                <w:kern w:val="0"/>
                <w:sz w:val="24"/>
              </w:rPr>
              <w:t>OH</w:t>
            </w:r>
            <w:r>
              <w:rPr>
                <w:rFonts w:ascii="宋体" w:hAnsi="宋体" w:cs="宋体"/>
                <w:color w:val="000000"/>
                <w:spacing w:val="0"/>
                <w:kern w:val="0"/>
                <w:sz w:val="30"/>
                <w:szCs w:val="30"/>
                <w:vertAlign w:val="superscript"/>
              </w:rPr>
              <w:t>-</w:t>
            </w:r>
            <w:r>
              <w:rPr>
                <w:rFonts w:ascii="楷体" w:eastAsia="楷体" w:hAnsi="楷体" w:cs="楷体"/>
                <w:color w:val="000000"/>
                <w:spacing w:val="0"/>
                <w:kern w:val="0"/>
                <w:sz w:val="24"/>
              </w:rPr>
              <w:t>赋予材料高离子电导率，但碱性环境可能引发电极界面化学不相容问题；荷载作用下的微裂纹扩展可能阻断离子传输路径，导致力学</w:t>
            </w:r>
            <w:r>
              <w:rPr>
                <w:rFonts w:ascii="宋体" w:hAnsi="宋体" w:cs="宋体"/>
                <w:color w:val="000000"/>
                <w:kern w:val="0"/>
                <w:sz w:val="24"/>
              </w:rPr>
              <w:t>-</w:t>
            </w:r>
            <w:r>
              <w:rPr>
                <w:rFonts w:ascii="楷体" w:eastAsia="楷体" w:hAnsi="楷体" w:cs="楷体"/>
                <w:color w:val="000000"/>
                <w:spacing w:val="0"/>
                <w:kern w:val="0"/>
                <w:sz w:val="24"/>
              </w:rPr>
              <w:t>电化学性能耦合退化；以及碱激发材料超级电容器的长期充放电性能演化及性能提升等。本研究直面碱激发材料作为电解质的多因素耦合性，具有显著的理论原创性与探索风险性，其结论可能改变传统电化学储能器件的设计范式，揭示材料性能的固有瓶颈，</w:t>
            </w:r>
            <w:r>
              <w:rPr>
                <w:rFonts w:ascii="楷体" w:eastAsia="楷体" w:hAnsi="楷体" w:cs="楷体"/>
                <w:color w:val="000000"/>
                <w:spacing w:val="0"/>
                <w:kern w:val="0"/>
                <w:sz w:val="24"/>
              </w:rPr>
              <w:t>甚至</w:t>
            </w:r>
            <w:r>
              <w:rPr>
                <w:rFonts w:ascii="楷体" w:eastAsia="楷体" w:hAnsi="楷体" w:cs="楷体"/>
                <w:kern w:val="0"/>
                <w:sz w:val="24"/>
              </w:rPr>
              <w:t>彻底改变现有的建筑和能源布局，</w:t>
            </w:r>
            <w:r>
              <w:rPr>
                <w:rFonts w:ascii="楷体" w:eastAsia="楷体" w:hAnsi="楷体" w:cs="楷体"/>
                <w:b/>
                <w:bCs/>
                <w:spacing w:val="0"/>
                <w:kern w:val="0"/>
                <w:sz w:val="24"/>
              </w:rPr>
              <w:t>体现了自由探索类基础研究对未知领域的深度探索</w:t>
            </w:r>
            <w:r>
              <w:rPr>
                <w:rFonts w:ascii="楷体" w:eastAsia="楷体" w:hAnsi="楷体" w:cs="楷体"/>
                <w:spacing w:val="0"/>
                <w:kern w:val="0"/>
                <w:sz w:val="24"/>
              </w:rPr>
              <w:t>。</w:t>
            </w:r>
          </w:p>
          <w:p>
            <w:pPr>
              <w:widowControl/>
              <w:bidi w:val="0"/>
              <w:spacing w:before="0" w:after="0"/>
              <w:jc w:val="left"/>
              <w:rPr>
                <w:rFonts w:ascii="宋体" w:hAnsi="宋体" w:cs="宋体"/>
                <w:kern w:val="0"/>
                <w:sz w:val="24"/>
              </w:rPr>
            </w:pPr>
            <w:r>
              <w:rPr>
                <w:rFonts w:ascii="Calibri" w:eastAsia="Calibri" w:hAnsi="Calibri" w:cs="Calibri"/>
                <w:color w:val="000000"/>
                <w:spacing w:val="0"/>
                <w:kern w:val="0"/>
                <w:sz w:val="24"/>
              </w:rPr>
              <w:t> </w:t>
            </w:r>
            <w:r>
              <w:rPr>
                <w:rFonts w:ascii="楷体" w:eastAsia="楷体" w:hAnsi="楷体" w:cs="楷体"/>
                <w:color w:val="000000"/>
                <w:spacing w:val="0"/>
                <w:kern w:val="0"/>
                <w:sz w:val="24"/>
              </w:rPr>
              <w:t xml:space="preserve"> </w:t>
            </w:r>
            <w:r>
              <w:rPr>
                <w:rFonts w:ascii="Calibri" w:eastAsia="Calibri" w:hAnsi="Calibri" w:cs="Calibri"/>
                <w:color w:val="000000"/>
                <w:spacing w:val="0"/>
                <w:kern w:val="0"/>
                <w:sz w:val="24"/>
              </w:rPr>
              <w:t> </w:t>
            </w:r>
            <w:r>
              <w:rPr>
                <w:rFonts w:ascii="楷体" w:eastAsia="楷体" w:hAnsi="楷体" w:cs="楷体"/>
                <w:color w:val="000000"/>
                <w:spacing w:val="0"/>
                <w:kern w:val="0"/>
                <w:sz w:val="24"/>
              </w:rPr>
              <w:t xml:space="preserve"> </w:t>
            </w:r>
            <w:r>
              <w:rPr>
                <w:rFonts w:ascii="楷体" w:eastAsia="楷体" w:hAnsi="楷体" w:cs="楷体"/>
                <w:color w:val="000000"/>
                <w:spacing w:val="0"/>
                <w:kern w:val="0"/>
                <w:sz w:val="24"/>
              </w:rPr>
              <w:t>本研究符合国家、河北省和河北大学鼓励交叉学科深度融合发展的政策导向，</w:t>
            </w:r>
            <w:r>
              <w:rPr>
                <w:rFonts w:ascii="楷体" w:eastAsia="楷体" w:hAnsi="楷体" w:cs="楷体"/>
                <w:color w:val="000000"/>
                <w:spacing w:val="0"/>
                <w:kern w:val="0"/>
                <w:sz w:val="24"/>
              </w:rPr>
              <w:t>研究以基础理论突破为引领，首次将材料孔隙结构-</w:t>
            </w:r>
            <w:r>
              <w:rPr>
                <w:rFonts w:ascii="楷体" w:eastAsia="楷体" w:hAnsi="楷体" w:cs="楷体"/>
                <w:color w:val="000000"/>
                <w:spacing w:val="0"/>
                <w:kern w:val="0"/>
                <w:sz w:val="24"/>
              </w:rPr>
              <w:t>水量分配-离子浓度</w:t>
            </w:r>
            <w:r>
              <w:rPr>
                <w:rFonts w:ascii="楷体" w:eastAsia="楷体" w:hAnsi="楷体" w:cs="楷体"/>
                <w:color w:val="000000"/>
                <w:spacing w:val="0"/>
                <w:kern w:val="0"/>
                <w:sz w:val="24"/>
              </w:rPr>
              <w:t>的复杂耦合作用纳入研究范畴，系统构建“孔隙-水-离子传输”理论模型，深入揭示碱激发材料超级电容器储能机理和长时间充放电失效机理。</w:t>
            </w:r>
            <w:r>
              <w:rPr>
                <w:rFonts w:ascii="楷体" w:eastAsia="楷体" w:hAnsi="楷体" w:cs="楷体"/>
                <w:color w:val="000000"/>
                <w:spacing w:val="0"/>
                <w:kern w:val="0"/>
                <w:sz w:val="24"/>
              </w:rPr>
              <w:t>将碱激发材料超级电容器嵌入建筑墙体，在承载荷载的同时为</w:t>
            </w:r>
            <w:r>
              <w:rPr>
                <w:rFonts w:ascii="楷体" w:eastAsia="楷体" w:hAnsi="楷体" w:cs="楷体"/>
                <w:color w:val="000000"/>
                <w:spacing w:val="0"/>
                <w:kern w:val="0"/>
                <w:sz w:val="24"/>
              </w:rPr>
              <w:t>5G</w:t>
            </w:r>
            <w:r>
              <w:rPr>
                <w:rFonts w:ascii="楷体" w:eastAsia="楷体" w:hAnsi="楷体" w:cs="楷体"/>
                <w:color w:val="000000"/>
                <w:spacing w:val="0"/>
                <w:kern w:val="0"/>
                <w:sz w:val="24"/>
              </w:rPr>
              <w:t>基站或健康监测系统供电，实现土木工程基础设施的能源自给，</w:t>
            </w:r>
            <w:r>
              <w:rPr>
                <w:rFonts w:ascii="楷体" w:eastAsia="楷体" w:hAnsi="楷体" w:cs="楷体"/>
                <w:color w:val="000000"/>
                <w:spacing w:val="0"/>
                <w:kern w:val="0"/>
                <w:sz w:val="24"/>
              </w:rPr>
              <w:t>推动建筑材料从</w:t>
            </w:r>
            <w:r>
              <w:rPr>
                <w:rFonts w:ascii="楷体" w:eastAsia="楷体" w:hAnsi="楷体" w:cs="楷体"/>
                <w:color w:val="000000"/>
                <w:kern w:val="0"/>
                <w:sz w:val="24"/>
              </w:rPr>
              <w:t>“能源消耗体”</w:t>
            </w:r>
            <w:r>
              <w:rPr>
                <w:rFonts w:ascii="楷体" w:eastAsia="楷体" w:hAnsi="楷体" w:cs="楷体"/>
                <w:color w:val="000000"/>
                <w:spacing w:val="0"/>
                <w:kern w:val="0"/>
                <w:sz w:val="24"/>
              </w:rPr>
              <w:t>向“能源产储体”的功能转变。研究虽聚焦碱激发材料的本征规律，但其理论成果将辐射至绿色建材开发、净零能耗建筑实现等国家战略需求，为“双碳”目标下土木工程材料的绿色化与智能化转型奠定科学基石，</w:t>
            </w:r>
            <w:r>
              <w:rPr>
                <w:rFonts w:ascii="楷体" w:eastAsia="楷体" w:hAnsi="楷体" w:cs="楷体"/>
                <w:b/>
                <w:bCs/>
                <w:color w:val="000000"/>
                <w:spacing w:val="0"/>
                <w:kern w:val="0"/>
                <w:sz w:val="24"/>
              </w:rPr>
              <w:t>彰显自由探索类基础研究的长效价值与战略意义</w:t>
            </w:r>
            <w:r>
              <w:rPr>
                <w:rFonts w:ascii="楷体" w:eastAsia="楷体" w:hAnsi="楷体" w:cs="楷体"/>
                <w:color w:val="000000"/>
                <w:spacing w:val="0"/>
                <w:kern w:val="0"/>
                <w:sz w:val="24"/>
              </w:rPr>
              <w:t>。</w:t>
            </w:r>
          </w:p>
          <w:p>
            <w:pPr>
              <w:wordWrap w:val="0"/>
              <w:spacing w:line="440" w:lineRule="exact"/>
              <w:ind w:firstLine="480" w:firstLineChars="200"/>
              <w:jc w:val="left"/>
              <w:rPr>
                <w:sz w:val="24"/>
              </w:rPr>
            </w:pPr>
            <w:bookmarkEnd w:id="64"/>
          </w:p>
        </w:tc>
      </w:tr>
    </w:tbl>
    <w:p w14:paraId="5B48EE8E">
      <w:pPr>
        <w:tabs>
          <w:tab w:val="left" w:pos="4690"/>
        </w:tabs>
        <w:wordWrap w:val="0"/>
        <w:spacing w:line="20" w:lineRule="exact"/>
        <w:rPr>
          <w:sz w:val="32"/>
          <w:szCs w:val="32"/>
        </w:rPr>
      </w:pPr>
    </w:p>
    <w:p w14:paraId="17F4B733">
      <w:pPr>
        <w:widowControl/>
        <w:wordWrap w:val="0"/>
        <w:jc w:val="left"/>
        <w:rPr>
          <w:sz w:val="2"/>
          <w:szCs w:val="2"/>
        </w:rPr>
      </w:pPr>
      <w:r>
        <w:rPr>
          <w:sz w:val="2"/>
          <w:szCs w:val="2"/>
        </w:rPr>
        <w:br w:type="page"/>
      </w:r>
    </w:p>
    <w:p w14:paraId="2224CB70">
      <w:pPr>
        <w:wordWrap w:val="0"/>
        <w:jc w:val="center"/>
        <w:rPr>
          <w:sz w:val="2"/>
          <w:szCs w:val="2"/>
        </w:rPr>
      </w:pPr>
      <w:bookmarkStart w:id="65" w:name="zw"/>
      <w:bookmarkEnd w:id="65"/>
    </w:p>
    <w:p>
      <w:pPr>
        <w:wordWrap w:val="0"/>
        <w:spacing w:line="440" w:lineRule="exact"/>
        <w:jc w:val="center"/>
        <w:outlineLvl w:val="0"/>
        <w:rPr>
          <w:rFonts w:ascii="楷体" w:eastAsia="楷体" w:hAnsi="楷体" w:cs="宋体"/>
          <w:b/>
          <w:kern w:val="0"/>
        </w:rPr>
      </w:pPr>
      <w:r>
        <w:rPr>
          <w:rFonts w:ascii="宋体" w:hAnsi="宋体" w:hint="eastAsia"/>
          <w:b/>
          <w:sz w:val="32"/>
          <w:szCs w:val="32"/>
        </w:rPr>
        <w:t>申请书正文部分</w:t>
      </w:r>
    </w:p>
    <w:p>
      <w:pPr>
        <w:wordWrap w:val="0"/>
        <w:spacing w:line="440" w:lineRule="exact"/>
        <w:ind w:firstLine="560" w:firstLineChars="200"/>
        <w:outlineLvl w:val="0"/>
        <w:rPr>
          <w:rFonts w:ascii="楷体" w:eastAsia="楷体" w:hAnsi="楷体" w:cs="楷体"/>
          <w:b/>
        </w:rPr>
      </w:pPr>
      <w:r>
        <w:rPr>
          <w:rFonts w:ascii="楷体" w:eastAsia="楷体" w:hAnsi="楷体" w:cs="楷体" w:hint="eastAsia"/>
          <w:b/>
        </w:rPr>
        <w:t>一、立论依据</w:t>
      </w:r>
    </w:p>
    <w:p>
      <w:pPr>
        <w:wordWrap w:val="0"/>
        <w:spacing w:line="440" w:lineRule="exact"/>
        <w:ind w:firstLine="560" w:firstLineChars="200"/>
        <w:rPr>
          <w:rFonts w:ascii="楷体" w:eastAsia="楷体" w:hAnsi="楷体" w:cs="楷体"/>
        </w:rPr>
      </w:pPr>
      <w:r>
        <w:rPr>
          <w:rFonts w:ascii="楷体" w:eastAsia="楷体" w:hAnsi="楷体" w:cs="楷体" w:hint="eastAsia"/>
        </w:rPr>
        <w:t>1.国内外研究现状及发展动态分析</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leftChars="0" w:firstLineChars="200"/>
        <w:textAlignment w:val="auto"/>
        <w:rPr>
          <w:rFonts w:ascii="Times New Roman" w:eastAsia="楷体" w:hAnsi="Times New Roman" w:cs="Times New Roman" w:hint="default"/>
          <w:b/>
          <w:bCs/>
          <w:color w:val="auto"/>
          <w:sz w:val="24"/>
          <w:szCs w:val="24"/>
          <w:lang w:val="en-US" w:eastAsia="zh-CN"/>
        </w:rPr>
      </w:pPr>
      <w:r>
        <w:rPr>
          <w:rFonts w:eastAsia="楷体" w:cs="Times New Roman" w:hint="eastAsia"/>
          <w:b/>
          <w:bCs/>
          <w:color w:val="auto"/>
          <w:sz w:val="24"/>
          <w:szCs w:val="24"/>
          <w:lang w:val="en-US" w:eastAsia="zh-CN"/>
        </w:rPr>
        <w:t>1.1国内外发展研究现状及发展动态</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leftChars="0" w:firstLineChars="200"/>
        <w:textAlignment w:val="auto"/>
        <w:rPr>
          <w:rFonts w:ascii="Times New Roman" w:eastAsia="楷体" w:hAnsi="Times New Roman" w:cs="Times New Roman" w:hint="default"/>
          <w:b/>
          <w:bCs/>
          <w:color w:val="auto"/>
          <w:sz w:val="24"/>
          <w:szCs w:val="24"/>
          <w:lang w:val="en-US" w:eastAsia="zh-CN"/>
        </w:rPr>
      </w:pPr>
      <w:r>
        <w:rPr>
          <w:rFonts w:ascii="Times New Roman" w:eastAsia="楷体" w:hAnsi="Times New Roman" w:cs="Times New Roman" w:hint="eastAsia"/>
          <w:b/>
          <w:bCs/>
          <w:color w:val="auto"/>
          <w:sz w:val="24"/>
          <w:szCs w:val="24"/>
          <w:lang w:val="en-US" w:eastAsia="zh-CN"/>
        </w:rPr>
        <w:t>碱激发</w:t>
      </w:r>
      <w:r>
        <w:rPr>
          <w:rFonts w:eastAsia="楷体" w:cs="Times New Roman" w:hint="eastAsia"/>
          <w:b/>
          <w:bCs/>
          <w:color w:val="auto"/>
          <w:sz w:val="24"/>
          <w:szCs w:val="24"/>
          <w:lang w:val="en-US" w:eastAsia="zh-CN"/>
        </w:rPr>
        <w:t>胶凝</w:t>
      </w:r>
      <w:r>
        <w:rPr>
          <w:rFonts w:ascii="Times New Roman" w:eastAsia="楷体" w:hAnsi="Times New Roman" w:cs="Times New Roman" w:hint="eastAsia"/>
          <w:b/>
          <w:bCs/>
          <w:color w:val="auto"/>
          <w:sz w:val="24"/>
          <w:szCs w:val="24"/>
          <w:lang w:val="en-US" w:eastAsia="zh-CN"/>
        </w:rPr>
        <w:t>材料</w:t>
      </w:r>
      <w:r>
        <w:rPr>
          <w:rFonts w:ascii="Times New Roman" w:eastAsia="楷体" w:hAnsi="Times New Roman" w:cs="Times New Roman" w:hint="eastAsia"/>
          <w:color w:val="auto"/>
          <w:sz w:val="24"/>
          <w:szCs w:val="24"/>
          <w:lang w:val="en-US" w:eastAsia="zh-CN"/>
        </w:rPr>
        <w:t>是由活性</w:t>
      </w:r>
      <w:r>
        <w:rPr>
          <w:rFonts w:ascii="Times New Roman" w:eastAsia="楷体" w:hAnsi="Times New Roman" w:cs="Times New Roman" w:hint="default"/>
          <w:color w:val="auto"/>
          <w:sz w:val="24"/>
          <w:szCs w:val="24"/>
          <w:lang w:val="en-US" w:eastAsia="zh-CN"/>
        </w:rPr>
        <w:t>硅铝质原材料与碱性激发剂共同反应形成的</w:t>
      </w:r>
      <w:r>
        <w:rPr>
          <w:rFonts w:eastAsia="楷体" w:cs="Times New Roman" w:hint="eastAsia"/>
          <w:color w:val="auto"/>
          <w:sz w:val="24"/>
          <w:szCs w:val="24"/>
          <w:lang w:val="en-US" w:eastAsia="zh-CN"/>
        </w:rPr>
        <w:t>胶结</w:t>
      </w:r>
      <w:r>
        <w:rPr>
          <w:rFonts w:ascii="Times New Roman" w:eastAsia="楷体" w:hAnsi="Times New Roman" w:cs="Times New Roman" w:hint="default"/>
          <w:color w:val="auto"/>
          <w:sz w:val="24"/>
          <w:szCs w:val="24"/>
          <w:lang w:val="en-US" w:eastAsia="zh-CN"/>
        </w:rPr>
        <w:t>材料。根据硅铝质原材料中Ca</w:t>
      </w:r>
      <w:r>
        <w:rPr>
          <w:rFonts w:eastAsia="楷体" w:cs="Times New Roman" w:hint="eastAsia"/>
          <w:color w:val="auto"/>
          <w:sz w:val="24"/>
          <w:szCs w:val="24"/>
          <w:lang w:val="en-US" w:eastAsia="zh-CN"/>
        </w:rPr>
        <w:t>O</w:t>
      </w:r>
      <w:r>
        <w:rPr>
          <w:rFonts w:ascii="Times New Roman" w:eastAsia="楷体" w:hAnsi="Times New Roman" w:cs="Times New Roman" w:hint="default"/>
          <w:color w:val="auto"/>
          <w:sz w:val="24"/>
          <w:szCs w:val="24"/>
          <w:lang w:val="en-US" w:eastAsia="zh-CN"/>
        </w:rPr>
        <w:t>含量的不同，碱激发材料可以分为</w:t>
      </w:r>
      <w:r>
        <w:rPr>
          <w:rFonts w:eastAsia="楷体" w:cs="Times New Roman" w:hint="eastAsia"/>
          <w:color w:val="auto"/>
          <w:sz w:val="24"/>
          <w:szCs w:val="24"/>
          <w:lang w:val="en-US" w:eastAsia="zh-CN"/>
        </w:rPr>
        <w:t>低</w:t>
      </w:r>
      <w:r>
        <w:rPr>
          <w:rFonts w:ascii="Times New Roman" w:eastAsia="楷体" w:hAnsi="Times New Roman" w:cs="Times New Roman" w:hint="default"/>
          <w:color w:val="auto"/>
          <w:sz w:val="24"/>
          <w:szCs w:val="24"/>
          <w:lang w:val="en-US" w:eastAsia="zh-CN"/>
        </w:rPr>
        <w:t>钙、</w:t>
      </w:r>
      <w:r>
        <w:rPr>
          <w:rFonts w:eastAsia="楷体" w:cs="Times New Roman" w:hint="eastAsia"/>
          <w:color w:val="auto"/>
          <w:sz w:val="24"/>
          <w:szCs w:val="24"/>
          <w:lang w:val="en-US" w:eastAsia="zh-CN"/>
        </w:rPr>
        <w:t>中</w:t>
      </w:r>
      <w:r>
        <w:rPr>
          <w:rFonts w:ascii="Times New Roman" w:eastAsia="楷体" w:hAnsi="Times New Roman" w:cs="Times New Roman" w:hint="default"/>
          <w:color w:val="auto"/>
          <w:sz w:val="24"/>
          <w:szCs w:val="24"/>
          <w:lang w:val="en-US" w:eastAsia="zh-CN"/>
        </w:rPr>
        <w:t>钙和高钙三</w:t>
      </w:r>
      <w:r>
        <w:rPr>
          <w:rFonts w:eastAsia="楷体" w:cs="Times New Roman" w:hint="eastAsia"/>
          <w:color w:val="auto"/>
          <w:sz w:val="24"/>
          <w:szCs w:val="24"/>
          <w:lang w:val="en-US" w:eastAsia="zh-CN"/>
        </w:rPr>
        <w:t>种</w:t>
      </w:r>
      <w:r>
        <w:rPr>
          <w:rFonts w:ascii="Times New Roman" w:eastAsia="楷体" w:hAnsi="Times New Roman" w:cs="Times New Roman" w:hint="default"/>
          <w:color w:val="auto"/>
          <w:sz w:val="24"/>
          <w:szCs w:val="24"/>
          <w:lang w:val="en-US" w:eastAsia="zh-CN"/>
        </w:rPr>
        <w:t>不同体系。低钙体系的产物主要是类沸石（如方沸石、方钠石等）凝胶，而</w:t>
      </w:r>
      <w:r>
        <w:rPr>
          <w:rFonts w:eastAsia="楷体" w:cs="Times New Roman" w:hint="eastAsia"/>
          <w:color w:val="auto"/>
          <w:sz w:val="24"/>
          <w:szCs w:val="24"/>
          <w:lang w:val="en-US" w:eastAsia="zh-CN"/>
        </w:rPr>
        <w:t>中钙和</w:t>
      </w:r>
      <w:r>
        <w:rPr>
          <w:rFonts w:ascii="Times New Roman" w:eastAsia="楷体" w:hAnsi="Times New Roman" w:cs="Times New Roman" w:hint="default"/>
          <w:color w:val="auto"/>
          <w:sz w:val="24"/>
          <w:szCs w:val="24"/>
          <w:lang w:val="en-US" w:eastAsia="zh-CN"/>
        </w:rPr>
        <w:t>高钙体系的产物则是低Ca/Si</w:t>
      </w:r>
      <w:r>
        <w:rPr>
          <w:rFonts w:eastAsia="楷体" w:cs="Times New Roman" w:hint="eastAsia"/>
          <w:color w:val="auto"/>
          <w:sz w:val="24"/>
          <w:szCs w:val="24"/>
          <w:lang w:val="en-US" w:eastAsia="zh-CN"/>
        </w:rPr>
        <w:t>比</w:t>
      </w:r>
      <w:r>
        <w:rPr>
          <w:rFonts w:ascii="Times New Roman" w:eastAsia="楷体" w:hAnsi="Times New Roman" w:cs="Times New Roman" w:hint="default"/>
          <w:color w:val="auto"/>
          <w:sz w:val="24"/>
          <w:szCs w:val="24"/>
          <w:lang w:val="en-US" w:eastAsia="zh-CN"/>
        </w:rPr>
        <w:t>的C-</w:t>
      </w:r>
      <w:r>
        <w:rPr>
          <w:rFonts w:eastAsia="楷体" w:cs="Times New Roman" w:hint="eastAsia"/>
          <w:color w:val="auto"/>
          <w:sz w:val="24"/>
          <w:szCs w:val="24"/>
          <w:lang w:val="en-US" w:eastAsia="zh-CN"/>
        </w:rPr>
        <w:t>(</w:t>
      </w:r>
      <w:r>
        <w:rPr>
          <w:rFonts w:ascii="Times New Roman" w:eastAsia="楷体" w:hAnsi="Times New Roman" w:cs="Times New Roman" w:hint="default"/>
          <w:color w:val="auto"/>
          <w:sz w:val="24"/>
          <w:szCs w:val="24"/>
          <w:lang w:val="en-US" w:eastAsia="zh-CN"/>
        </w:rPr>
        <w:t>A</w:t>
      </w:r>
      <w:r>
        <w:rPr>
          <w:rFonts w:eastAsia="楷体" w:cs="Times New Roman" w:hint="eastAsia"/>
          <w:color w:val="auto"/>
          <w:sz w:val="24"/>
          <w:szCs w:val="24"/>
          <w:lang w:val="en-US" w:eastAsia="zh-CN"/>
        </w:rPr>
        <w:t>)</w:t>
      </w:r>
      <w:r>
        <w:rPr>
          <w:rFonts w:ascii="Times New Roman" w:eastAsia="楷体" w:hAnsi="Times New Roman" w:cs="Times New Roman" w:hint="default"/>
          <w:color w:val="auto"/>
          <w:sz w:val="24"/>
          <w:szCs w:val="24"/>
          <w:lang w:val="en-US" w:eastAsia="zh-CN"/>
        </w:rPr>
        <w:t>-S-H凝胶</w:t>
      </w:r>
      <w:r>
        <w:rPr>
          <w:rFonts w:eastAsia="楷体" w:cs="Times New Roman" w:hint="eastAsia"/>
          <w:color w:val="0000FF"/>
          <w:sz w:val="24"/>
          <w:szCs w:val="24"/>
          <w:vertAlign w:val="superscript"/>
          <w:lang w:val="en-US" w:eastAsia="zh-CN"/>
        </w:rPr>
        <w:t>[1-3]</w:t>
      </w:r>
      <w:r>
        <w:rPr>
          <w:rFonts w:ascii="Times New Roman" w:eastAsia="楷体" w:hAnsi="Times New Roman" w:cs="Times New Roman" w:hint="default"/>
          <w:color w:val="auto"/>
          <w:sz w:val="24"/>
          <w:szCs w:val="24"/>
          <w:lang w:val="en-US" w:eastAsia="zh-CN"/>
        </w:rPr>
        <w:t>。</w:t>
      </w:r>
      <w:r>
        <w:rPr>
          <w:rFonts w:eastAsia="楷体" w:cs="Times New Roman" w:hint="eastAsia"/>
          <w:b/>
          <w:bCs/>
          <w:color w:val="auto"/>
          <w:sz w:val="24"/>
          <w:szCs w:val="24"/>
          <w:lang w:val="en-US" w:eastAsia="zh-CN"/>
        </w:rPr>
        <w:t>从化石燃料经济成功向可再生能源经济大规模转型的关键在于储能解决方案的广泛可用性，本研究聚焦将碱激发胶凝材料用作结构超级电容器的电解质</w:t>
      </w:r>
      <w:r>
        <w:rPr>
          <w:rFonts w:eastAsia="楷体" w:cs="Times New Roman" w:hint="eastAsia"/>
          <w:color w:val="auto"/>
          <w:sz w:val="24"/>
          <w:szCs w:val="24"/>
          <w:lang w:val="en-US" w:eastAsia="zh-CN"/>
        </w:rPr>
        <w:t>，开拓碱激发材料的应用前景。下面将本申请项目的研究现状进行总结：</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leftChars="0" w:firstLineChars="200"/>
        <w:textAlignment w:val="auto"/>
        <w:rPr>
          <w:rFonts w:eastAsia="楷体"/>
          <w:color w:val="auto"/>
          <w:sz w:val="24"/>
        </w:rPr>
      </w:pPr>
      <w:r>
        <w:rPr>
          <w:rFonts w:eastAsia="楷体" w:cs="Times New Roman" w:hint="eastAsia"/>
          <w:b/>
          <w:bCs/>
          <w:color w:val="auto"/>
          <w:sz w:val="24"/>
          <w:szCs w:val="24"/>
          <w:lang w:val="en-US" w:eastAsia="zh-CN"/>
        </w:rPr>
        <w:t>（1）</w:t>
      </w:r>
      <w:r>
        <w:rPr>
          <w:rFonts w:ascii="Times New Roman" w:eastAsia="楷体" w:hAnsi="Times New Roman" w:cs="Times New Roman" w:hint="eastAsia"/>
          <w:b/>
          <w:bCs/>
          <w:color w:val="auto"/>
          <w:sz w:val="24"/>
          <w:szCs w:val="24"/>
          <w:lang w:val="en-US" w:eastAsia="zh-CN"/>
        </w:rPr>
        <w:t>碱激发材料导电性能研究现状</w:t>
      </w:r>
    </w:p>
    <w:p>
      <w:pPr>
        <w:keepNext w:val="0"/>
        <w:keepLines w:val="0"/>
        <w:pageBreakBefore w:val="0"/>
        <w:widowControl w:val="0"/>
        <w:kinsoku/>
        <w:wordWrap/>
        <w:overflowPunct/>
        <w:topLinePunct w:val="0"/>
        <w:autoSpaceDE/>
        <w:autoSpaceDN/>
        <w:bidi w:val="0"/>
        <w:adjustRightInd/>
        <w:snapToGrid/>
        <w:spacing w:line="440" w:lineRule="exact"/>
        <w:ind w:firstLine="480" w:leftChars="0" w:firstLineChars="200"/>
        <w:textAlignment w:val="auto"/>
        <w:rPr>
          <w:rFonts w:eastAsia="楷体"/>
          <w:color w:val="27292C"/>
          <w:sz w:val="24"/>
        </w:rPr>
      </w:pPr>
      <w:r>
        <w:rPr>
          <w:rFonts w:eastAsia="楷体"/>
          <w:color w:val="auto"/>
          <w:sz w:val="24"/>
        </w:rPr>
        <w:t>内部载流子的迁移运动是</w:t>
      </w:r>
      <w:r>
        <w:rPr>
          <w:rFonts w:eastAsia="楷体" w:hint="eastAsia"/>
          <w:color w:val="auto"/>
          <w:sz w:val="24"/>
          <w:lang w:val="en-US" w:eastAsia="zh-CN"/>
        </w:rPr>
        <w:t>导电</w:t>
      </w:r>
      <w:r>
        <w:rPr>
          <w:rFonts w:eastAsia="楷体"/>
          <w:color w:val="auto"/>
          <w:sz w:val="24"/>
        </w:rPr>
        <w:t>效应的基础，用电导率或电阻率</w:t>
      </w:r>
      <w:r>
        <w:rPr>
          <w:rFonts w:eastAsia="楷体" w:hint="eastAsia"/>
          <w:color w:val="auto"/>
          <w:sz w:val="24"/>
          <w:lang w:eastAsia="zh-CN"/>
        </w:rPr>
        <w:t>（</w:t>
      </w:r>
      <w:r>
        <w:rPr>
          <w:rFonts w:eastAsia="楷体" w:hint="eastAsia"/>
          <w:color w:val="auto"/>
          <w:sz w:val="24"/>
          <w:lang w:val="en-US" w:eastAsia="zh-CN"/>
        </w:rPr>
        <w:t>互为倒数</w:t>
      </w:r>
      <w:r>
        <w:rPr>
          <w:rFonts w:eastAsia="楷体" w:hint="eastAsia"/>
          <w:color w:val="auto"/>
          <w:sz w:val="24"/>
          <w:lang w:eastAsia="zh-CN"/>
        </w:rPr>
        <w:t>）</w:t>
      </w:r>
      <w:r>
        <w:rPr>
          <w:rFonts w:eastAsia="楷体"/>
          <w:color w:val="auto"/>
          <w:sz w:val="24"/>
        </w:rPr>
        <w:t>形式表现。</w:t>
      </w:r>
      <w:r>
        <w:rPr>
          <w:rFonts w:eastAsia="楷体" w:hint="eastAsia"/>
          <w:color w:val="auto"/>
          <w:sz w:val="24"/>
          <w:lang w:val="en-US" w:eastAsia="zh-CN"/>
        </w:rPr>
        <w:t>胶凝材料</w:t>
      </w:r>
      <w:r>
        <w:rPr>
          <w:rFonts w:eastAsia="楷体"/>
          <w:color w:val="auto"/>
          <w:sz w:val="24"/>
        </w:rPr>
        <w:t>导电类型包括电子导电、空穴导电和离子导电，其中电子导电源于导电功能填料，空穴导电仅对含碳填料有效，而离子导电源于胶凝基体</w:t>
      </w:r>
      <w:r>
        <w:rPr>
          <w:rFonts w:eastAsia="楷体" w:hint="eastAsia"/>
          <w:color w:val="0000FF"/>
          <w:sz w:val="24"/>
          <w:vertAlign w:val="superscript"/>
          <w:lang w:val="en-US" w:eastAsia="zh-CN"/>
        </w:rPr>
        <w:t>[4,5]</w:t>
      </w:r>
      <w:r>
        <w:rPr>
          <w:rFonts w:eastAsia="楷体"/>
          <w:color w:val="auto"/>
          <w:sz w:val="24"/>
        </w:rPr>
        <w:t>。传统水泥基材料的电阻率为10</w:t>
      </w:r>
      <w:r>
        <w:rPr>
          <w:rFonts w:eastAsia="楷体"/>
          <w:color w:val="auto"/>
          <w:sz w:val="24"/>
          <w:vertAlign w:val="superscript"/>
        </w:rPr>
        <w:t>5</w:t>
      </w:r>
      <w:r>
        <w:rPr>
          <w:rFonts w:eastAsia="楷体" w:hint="eastAsia"/>
          <w:color w:val="auto"/>
          <w:sz w:val="24"/>
          <w:lang w:val="en-US" w:eastAsia="zh-CN"/>
        </w:rPr>
        <w:t>-</w:t>
      </w:r>
      <w:r>
        <w:rPr>
          <w:rFonts w:eastAsia="楷体"/>
          <w:color w:val="auto"/>
          <w:sz w:val="24"/>
        </w:rPr>
        <w:t>10</w:t>
      </w:r>
      <w:r>
        <w:rPr>
          <w:rFonts w:eastAsia="楷体"/>
          <w:color w:val="auto"/>
          <w:sz w:val="24"/>
          <w:vertAlign w:val="superscript"/>
        </w:rPr>
        <w:t xml:space="preserve">7 </w:t>
      </w:r>
      <w:r>
        <w:rPr>
          <w:rFonts w:eastAsia="楷体"/>
          <w:color w:val="auto"/>
          <w:sz w:val="24"/>
        </w:rPr>
        <w:t>Ω·cm</w:t>
      </w:r>
      <w:r>
        <w:rPr>
          <w:rFonts w:eastAsia="楷体" w:hint="eastAsia"/>
          <w:color w:val="0000FF"/>
          <w:sz w:val="24"/>
          <w:vertAlign w:val="superscript"/>
          <w:lang w:val="en-US" w:eastAsia="zh-CN"/>
        </w:rPr>
        <w:t>[4</w:t>
      </w:r>
      <w:r>
        <w:rPr>
          <w:rFonts w:eastAsia="楷体" w:hint="eastAsia"/>
          <w:color w:val="auto"/>
          <w:sz w:val="24"/>
          <w:vertAlign w:val="superscript"/>
          <w:lang w:val="en-US" w:eastAsia="zh-CN"/>
        </w:rPr>
        <w:t>]</w:t>
      </w:r>
      <w:r>
        <w:rPr>
          <w:rFonts w:eastAsia="楷体"/>
          <w:color w:val="auto"/>
          <w:sz w:val="24"/>
        </w:rPr>
        <w:t>，而碱激发粉煤灰-矿渣</w:t>
      </w:r>
      <w:r>
        <w:rPr>
          <w:rFonts w:eastAsia="楷体" w:hint="eastAsia"/>
          <w:color w:val="auto"/>
          <w:sz w:val="24"/>
          <w:lang w:val="en-US" w:eastAsia="zh-CN"/>
        </w:rPr>
        <w:t>材料</w:t>
      </w:r>
      <w:r>
        <w:rPr>
          <w:rFonts w:eastAsia="楷体"/>
          <w:color w:val="auto"/>
          <w:sz w:val="24"/>
        </w:rPr>
        <w:t>电阻率为31.857 Ω·cm（粉煤灰:矿渣=4:6，碱激发剂模数1.3，水灰比0.5）</w:t>
      </w:r>
      <w:r>
        <w:rPr>
          <w:rFonts w:eastAsia="楷体" w:hint="eastAsia"/>
          <w:color w:val="0000FF"/>
          <w:sz w:val="24"/>
          <w:vertAlign w:val="superscript"/>
          <w:lang w:val="en-US" w:eastAsia="zh-CN"/>
        </w:rPr>
        <w:t>[6]</w:t>
      </w:r>
      <w:r>
        <w:rPr>
          <w:rFonts w:eastAsia="楷体"/>
          <w:color w:val="auto"/>
          <w:sz w:val="24"/>
        </w:rPr>
        <w:t>，因此，</w:t>
      </w:r>
      <w:r>
        <w:rPr>
          <w:rFonts w:eastAsia="楷体" w:hint="eastAsia"/>
          <w:color w:val="auto"/>
          <w:sz w:val="24"/>
          <w:lang w:val="en-US" w:eastAsia="zh-CN"/>
        </w:rPr>
        <w:t>碱激发材料的电导率优于</w:t>
      </w:r>
      <w:r>
        <w:rPr>
          <w:rFonts w:eastAsia="楷体"/>
          <w:color w:val="auto"/>
          <w:sz w:val="24"/>
        </w:rPr>
        <w:t>水泥基材料。孔隙特征和离子浓度是影响电导率的关键因素。在早期水化过程中，随着水化时间的增长，原本大体积孔隙中的游离水逐渐转变为更为细小的毛细水和凝胶水。连通的孔隙率以及自由水的含量与电导率之间呈现明显的线性关系</w:t>
      </w:r>
      <w:r>
        <w:rPr>
          <w:rFonts w:eastAsia="楷体" w:hint="eastAsia"/>
          <w:color w:val="0000FF"/>
          <w:sz w:val="24"/>
          <w:vertAlign w:val="superscript"/>
          <w:lang w:val="en-US" w:eastAsia="zh-CN"/>
        </w:rPr>
        <w:t>[7]</w:t>
      </w:r>
      <w:r>
        <w:rPr>
          <w:rFonts w:eastAsia="楷体"/>
          <w:color w:val="auto"/>
          <w:sz w:val="24"/>
        </w:rPr>
        <w:t>。Liu等</w:t>
      </w:r>
      <w:r>
        <w:rPr>
          <w:rFonts w:eastAsia="楷体" w:hint="eastAsia"/>
          <w:color w:val="0000FF"/>
          <w:sz w:val="24"/>
          <w:vertAlign w:val="superscript"/>
          <w:lang w:val="en-US" w:eastAsia="zh-CN"/>
        </w:rPr>
        <w:t>[8]</w:t>
      </w:r>
      <w:r>
        <w:rPr>
          <w:rFonts w:eastAsia="楷体"/>
          <w:color w:val="auto"/>
          <w:sz w:val="24"/>
        </w:rPr>
        <w:t>研究发现孔溶液和C-S-H凝胶的体积分数共同影响浆体的电阻率，特别是在毛管孔隙完全脱渗之前，孔隙连通性的</w:t>
      </w:r>
      <w:r>
        <w:rPr>
          <w:rFonts w:eastAsia="楷体" w:hint="eastAsia"/>
          <w:color w:val="auto"/>
          <w:sz w:val="24"/>
        </w:rPr>
        <w:t>降低</w:t>
      </w:r>
      <w:r>
        <w:rPr>
          <w:rFonts w:eastAsia="楷体"/>
          <w:color w:val="auto"/>
          <w:sz w:val="24"/>
        </w:rPr>
        <w:t>对浆体电阻率的影响程度超过了毛管孔隙度的降低。NaOH含量的增加也使得碱激发粉煤灰-矿渣复合材料的导电性得到</w:t>
      </w:r>
      <w:r>
        <w:rPr>
          <w:rFonts w:eastAsia="楷体" w:hint="eastAsia"/>
          <w:color w:val="auto"/>
          <w:sz w:val="24"/>
        </w:rPr>
        <w:t>了</w:t>
      </w:r>
      <w:r>
        <w:rPr>
          <w:rFonts w:eastAsia="楷体"/>
          <w:color w:val="auto"/>
          <w:sz w:val="24"/>
        </w:rPr>
        <w:t>显著提升，如图1所示，导电性的增强归因于NaOH含量增加促进了更多Si和Al离子浸出到孔隙溶液中，进而增加了离子的迁移率</w:t>
      </w:r>
      <w:r>
        <w:rPr>
          <w:rFonts w:eastAsia="楷体" w:hint="eastAsia"/>
          <w:color w:val="0000FF"/>
          <w:sz w:val="24"/>
          <w:vertAlign w:val="superscript"/>
          <w:lang w:val="en-US" w:eastAsia="zh-CN"/>
        </w:rPr>
        <w:t>[9]</w:t>
      </w:r>
      <w:r>
        <w:rPr>
          <w:rFonts w:eastAsia="楷体"/>
          <w:sz w:val="24"/>
        </w:rPr>
        <w:t>。</w:t>
      </w:r>
    </w:p>
    <w:p>
      <w:pPr>
        <w:keepNext w:val="0"/>
        <w:keepLines w:val="0"/>
        <w:pageBreakBefore w:val="0"/>
        <w:widowControl w:val="0"/>
        <w:kinsoku/>
        <w:wordWrap/>
        <w:overflowPunct/>
        <w:topLinePunct w:val="0"/>
        <w:autoSpaceDE/>
        <w:autoSpaceDN/>
        <w:bidi w:val="0"/>
        <w:adjustRightInd/>
        <w:snapToGrid/>
        <w:spacing w:line="440" w:lineRule="exact"/>
        <w:ind w:firstLine="480" w:leftChars="0" w:firstLineChars="200"/>
        <w:textAlignment w:val="auto"/>
        <w:rPr>
          <w:rFonts w:eastAsia="楷体"/>
          <w:color w:val="auto"/>
          <w:sz w:val="24"/>
        </w:rPr>
      </w:pPr>
      <w:r>
        <w:rPr>
          <w:rFonts w:eastAsia="楷体"/>
          <w:color w:val="auto"/>
          <w:sz w:val="24"/>
        </w:rPr>
        <w:t>具有粗孔结构（特征孔径约为200nm）和有限凝胶孔量的聚合物展现出较高的电阻率，并且其自传感性能相对较差；相较而言，具有更大介孔体积的材料展现出优异的导电性和稳定的压阻率</w:t>
      </w:r>
      <w:r>
        <w:rPr>
          <w:rFonts w:eastAsia="楷体" w:hint="eastAsia"/>
          <w:color w:val="0000FF"/>
          <w:sz w:val="24"/>
          <w:vertAlign w:val="superscript"/>
          <w:lang w:val="en-US" w:eastAsia="zh-CN"/>
        </w:rPr>
        <w:t>[10]</w:t>
      </w:r>
      <w:r>
        <w:rPr>
          <w:rFonts w:eastAsia="楷体"/>
          <w:color w:val="auto"/>
          <w:sz w:val="24"/>
        </w:rPr>
        <w:t>。电阻率的大小与游离水的含量密切相关，试样中的游离水越多，电阻率越小，导电性能越好。碱激发胶凝材料的电阻率随水玻璃模数的增加而下降，主要是由于水玻璃模数越高，碱激发剂中水含量越高，水在阳离子运输中发挥重要作用</w:t>
      </w:r>
      <w:r>
        <w:rPr>
          <w:rFonts w:eastAsia="楷体" w:hint="eastAsia"/>
          <w:color w:val="0000FF"/>
          <w:sz w:val="24"/>
          <w:vertAlign w:val="superscript"/>
          <w:lang w:val="en-US" w:eastAsia="zh-CN"/>
        </w:rPr>
        <w:t>[5]</w:t>
      </w:r>
      <w:r>
        <w:rPr>
          <w:rFonts w:eastAsia="楷体"/>
          <w:color w:val="auto"/>
          <w:sz w:val="24"/>
        </w:rPr>
        <w:t>。电导率变化受水化反应的影响，变化不是单调的，对28d或更短的养护龄期，归一化的电导率变化主要由水化反应决定，通常随养护龄期的增加而降低</w:t>
      </w:r>
      <w:r>
        <w:rPr>
          <w:rFonts w:eastAsia="楷体" w:hint="eastAsia"/>
          <w:color w:val="0000FF"/>
          <w:sz w:val="24"/>
          <w:vertAlign w:val="superscript"/>
          <w:lang w:val="en-US" w:eastAsia="zh-CN"/>
        </w:rPr>
        <w:t>[11]</w:t>
      </w:r>
      <w:r>
        <w:rPr>
          <w:rFonts w:eastAsia="楷体"/>
          <w:color w:val="auto"/>
          <w:sz w:val="24"/>
        </w:rPr>
        <w:t>。如果孔隙中浸渍高浓度的离子，则可以实现高离子电导率</w:t>
      </w:r>
      <w:r>
        <w:rPr>
          <w:rFonts w:eastAsia="楷体" w:hint="eastAsia"/>
          <w:color w:val="0000FF"/>
          <w:sz w:val="24"/>
          <w:vertAlign w:val="superscript"/>
          <w:lang w:val="en-US" w:eastAsia="zh-CN"/>
        </w:rPr>
        <w:t>[12]</w:t>
      </w:r>
      <w:r>
        <w:rPr>
          <w:rFonts w:eastAsia="楷体"/>
          <w:color w:val="auto"/>
          <w:sz w:val="24"/>
        </w:rPr>
        <w:t>。</w:t>
      </w:r>
      <w:r>
        <w:rPr>
          <w:rFonts w:eastAsia="楷体" w:hint="eastAsia"/>
          <w:b/>
          <w:bCs/>
          <w:color w:val="auto"/>
          <w:sz w:val="24"/>
          <w:lang w:val="en-US" w:eastAsia="zh-CN"/>
        </w:rPr>
        <w:t>即</w:t>
      </w:r>
      <w:r>
        <w:rPr>
          <w:rFonts w:eastAsia="楷体"/>
          <w:b/>
          <w:bCs/>
          <w:color w:val="auto"/>
          <w:sz w:val="24"/>
        </w:rPr>
        <w:t>碱激发胶凝材料在保持高导电性和稳定性的同时，可以通过</w:t>
      </w:r>
      <w:r>
        <w:rPr>
          <w:rFonts w:eastAsia="楷体" w:hint="eastAsia"/>
          <w:b/>
          <w:bCs/>
          <w:color w:val="auto"/>
          <w:sz w:val="24"/>
        </w:rPr>
        <w:t>调节</w:t>
      </w:r>
      <w:r>
        <w:rPr>
          <w:rFonts w:eastAsia="楷体"/>
          <w:b/>
          <w:bCs/>
          <w:color w:val="auto"/>
          <w:sz w:val="24"/>
        </w:rPr>
        <w:t>水量、碱当量和碱激发剂模数等实现对电导率的高效调控。</w:t>
      </w:r>
    </w:p>
    <w:p>
      <w:pPr>
        <w:jc w:val="center"/>
        <w:rPr>
          <w:rFonts w:eastAsia="楷体"/>
        </w:rPr>
      </w:pPr>
      <w:r>
        <w:drawing>
          <wp:inline distT="0" distB="0" distL="114300" distR="114300">
            <wp:extent cx="5299710" cy="3310890"/>
            <wp:effectExtent l="0" t="0" r="15240" b="3810"/>
            <wp:docPr id="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23906" name="图片 7"/>
                    <pic:cNvPicPr>
                      <a:picLocks noChangeAspect="1"/>
                    </pic:cNvPicPr>
                  </pic:nvPicPr>
                  <pic:blipFill>
                    <a:blip xmlns:r="http://schemas.openxmlformats.org/officeDocument/2006/relationships" r:embed="rId5"/>
                    <a:srcRect l="7236" t="28437" r="14439" b="7716"/>
                    <a:stretch>
                      <a:fillRect/>
                    </a:stretch>
                  </pic:blipFill>
                  <pic:spPr>
                    <a:xfrm>
                      <a:off x="0" y="0"/>
                      <a:ext cx="5299710" cy="3310890"/>
                    </a:xfrm>
                    <a:prstGeom prst="rect">
                      <a:avLst/>
                    </a:prstGeom>
                    <a:noFill/>
                    <a:ln>
                      <a:noFill/>
                    </a:ln>
                  </pic:spPr>
                </pic:pic>
              </a:graphicData>
            </a:graphic>
          </wp:inline>
        </w:drawing>
      </w:r>
    </w:p>
    <w:p>
      <w:pPr>
        <w:keepNext w:val="0"/>
        <w:keepLines w:val="0"/>
        <w:pageBreakBefore w:val="0"/>
        <w:widowControl w:val="0"/>
        <w:kinsoku/>
        <w:overflowPunct/>
        <w:topLinePunct w:val="0"/>
        <w:autoSpaceDE/>
        <w:autoSpaceDN/>
        <w:bidi w:val="0"/>
        <w:adjustRightInd/>
        <w:snapToGrid/>
        <w:spacing w:line="440" w:lineRule="exact"/>
        <w:ind w:firstLine="480" w:leftChars="0" w:firstLineChars="200"/>
        <w:jc w:val="center"/>
        <w:textAlignment w:val="auto"/>
        <w:rPr>
          <w:rFonts w:eastAsia="楷体" w:hint="default"/>
          <w:sz w:val="24"/>
          <w:szCs w:val="24"/>
          <w:lang w:val="en-US" w:eastAsia="zh-CN"/>
        </w:rPr>
      </w:pPr>
      <w:r>
        <w:rPr>
          <w:rFonts w:eastAsia="楷体"/>
          <w:b/>
          <w:bCs/>
          <w:color w:val="auto"/>
          <w:sz w:val="24"/>
          <w:szCs w:val="24"/>
        </w:rPr>
        <w:t>图1</w:t>
      </w:r>
      <w:r>
        <w:rPr>
          <w:rFonts w:eastAsia="楷体"/>
          <w:color w:val="auto"/>
          <w:sz w:val="24"/>
          <w:szCs w:val="24"/>
        </w:rPr>
        <w:t xml:space="preserve"> NaOH对碱激发粉煤灰-矿渣复合材料导电性能的影响</w:t>
      </w:r>
      <w:r>
        <w:rPr>
          <w:rFonts w:eastAsia="楷体" w:hint="eastAsia"/>
          <w:color w:val="0000FF"/>
          <w:sz w:val="24"/>
          <w:szCs w:val="24"/>
          <w:vertAlign w:val="superscript"/>
          <w:lang w:val="en-US" w:eastAsia="zh-CN"/>
        </w:rPr>
        <w:t>[9]</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leftChars="0" w:firstLineChars="200"/>
        <w:textAlignment w:val="auto"/>
        <w:rPr>
          <w:rFonts w:ascii="Times New Roman" w:eastAsia="楷体" w:hAnsi="Times New Roman" w:cs="Times New Roman" w:hint="default"/>
          <w:color w:val="auto"/>
          <w:sz w:val="24"/>
          <w:szCs w:val="24"/>
          <w:lang w:val="en-US" w:eastAsia="zh-CN"/>
        </w:rPr>
      </w:pPr>
      <w:r>
        <w:rPr>
          <w:rFonts w:eastAsia="楷体"/>
          <w:color w:val="auto"/>
          <w:sz w:val="24"/>
          <w:szCs w:val="24"/>
        </w:rPr>
        <w:t>碱激发胶凝材料组分对水化产物相类型的影响会直接导致孔隙结构变化，孔隙结构特征直接影响到离子在材料内部的分布和迁移情况；同时水作为离子迁移的载体，其在材料内部的分布和孔隙结构特征也对导电网络和导热性能产生显著影响。</w:t>
      </w:r>
      <w:r>
        <w:rPr>
          <w:rFonts w:eastAsia="楷体" w:hint="eastAsia"/>
          <w:b/>
          <w:bCs/>
          <w:color w:val="auto"/>
          <w:sz w:val="24"/>
          <w:szCs w:val="24"/>
          <w:lang w:val="en-US" w:eastAsia="zh-CN"/>
        </w:rPr>
        <w:t>综上所述，影响碱激发材料导电性的因素很多，但是主要矛盾却不明确，且</w:t>
      </w:r>
      <w:r>
        <w:rPr>
          <w:rFonts w:eastAsia="楷体"/>
          <w:b/>
          <w:bCs/>
          <w:color w:val="auto"/>
          <w:sz w:val="24"/>
          <w:szCs w:val="24"/>
        </w:rPr>
        <w:t>各因素之间缺少定量关系，需要进一步加强系统研究以量化影响因素之间的影响，并深入揭示其内在机制。</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leftChars="0" w:firstLineChars="200"/>
        <w:textAlignment w:val="auto"/>
        <w:rPr>
          <w:rFonts w:ascii="Times New Roman" w:eastAsia="楷体" w:hAnsi="Times New Roman" w:cs="Times New Roman" w:hint="default"/>
          <w:b/>
          <w:bCs/>
          <w:color w:val="auto"/>
          <w:sz w:val="24"/>
          <w:szCs w:val="24"/>
          <w:lang w:val="en-US" w:eastAsia="zh-CN"/>
        </w:rPr>
      </w:pPr>
      <w:r>
        <w:rPr>
          <w:rFonts w:eastAsia="楷体" w:cs="Times New Roman" w:hint="eastAsia"/>
          <w:b/>
          <w:bCs/>
          <w:color w:val="auto"/>
          <w:sz w:val="24"/>
          <w:szCs w:val="24"/>
          <w:lang w:val="en-US" w:eastAsia="zh-CN"/>
        </w:rPr>
        <w:t>（2）</w:t>
      </w:r>
      <w:r>
        <w:rPr>
          <w:rFonts w:ascii="Times New Roman" w:eastAsia="楷体" w:hAnsi="Times New Roman" w:cs="Times New Roman" w:hint="eastAsia"/>
          <w:b/>
          <w:bCs/>
          <w:color w:val="auto"/>
          <w:sz w:val="24"/>
          <w:szCs w:val="24"/>
          <w:lang w:val="en-US" w:eastAsia="zh-CN"/>
        </w:rPr>
        <w:t>水泥基/碱激发材料结构超级电容器研究现状</w:t>
      </w:r>
    </w:p>
    <w:p>
      <w:pPr>
        <w:keepNext w:val="0"/>
        <w:keepLines w:val="0"/>
        <w:pageBreakBefore w:val="0"/>
        <w:widowControl w:val="0"/>
        <w:kinsoku/>
        <w:overflowPunct/>
        <w:topLinePunct w:val="0"/>
        <w:autoSpaceDE/>
        <w:autoSpaceDN/>
        <w:bidi w:val="0"/>
        <w:adjustRightInd/>
        <w:snapToGrid/>
        <w:spacing w:line="440" w:lineRule="exact"/>
        <w:ind w:firstLine="480" w:leftChars="0" w:firstLineChars="200"/>
        <w:textAlignment w:val="auto"/>
        <w:rPr>
          <w:rFonts w:ascii="Times New Roman" w:eastAsia="楷体" w:hAnsi="Times New Roman" w:cs="Times New Roman" w:hint="eastAsia"/>
          <w:color w:val="auto"/>
          <w:sz w:val="24"/>
          <w:szCs w:val="24"/>
          <w:lang w:val="en-US" w:eastAsia="zh-CN"/>
        </w:rPr>
      </w:pPr>
      <w:r>
        <w:rPr>
          <w:rFonts w:ascii="Times New Roman" w:eastAsia="楷体" w:hAnsi="Times New Roman" w:cs="Times New Roman" w:hint="default"/>
          <w:color w:val="auto"/>
          <w:sz w:val="24"/>
          <w:szCs w:val="24"/>
          <w:lang w:val="en-US" w:eastAsia="zh-CN"/>
        </w:rPr>
        <w:t>电池具有高能量密度，能在高比能电压下保持恒定的线性放电，但其功率密度低、生命周期短，可能存在爆炸等安全隐患</w:t>
      </w:r>
      <w:r>
        <w:rPr>
          <w:rFonts w:ascii="Times New Roman" w:eastAsia="楷体" w:hAnsi="Times New Roman" w:cs="Times New Roman" w:hint="default"/>
          <w:color w:val="0000FF"/>
          <w:sz w:val="24"/>
          <w:szCs w:val="24"/>
          <w:vertAlign w:val="superscript"/>
          <w:lang w:val="en-US" w:eastAsia="zh-CN"/>
        </w:rPr>
        <w:t>[</w:t>
      </w:r>
      <w:r>
        <w:rPr>
          <w:rFonts w:eastAsia="楷体" w:cs="Times New Roman" w:hint="eastAsia"/>
          <w:color w:val="0000FF"/>
          <w:sz w:val="24"/>
          <w:szCs w:val="24"/>
          <w:vertAlign w:val="superscript"/>
          <w:lang w:val="en-US" w:eastAsia="zh-CN"/>
        </w:rPr>
        <w:t>13,14</w:t>
      </w:r>
      <w:r>
        <w:rPr>
          <w:rFonts w:ascii="Times New Roman" w:eastAsia="楷体" w:hAnsi="Times New Roman" w:cs="Times New Roman" w:hint="default"/>
          <w:color w:val="0000FF"/>
          <w:sz w:val="24"/>
          <w:szCs w:val="24"/>
          <w:vertAlign w:val="superscript"/>
          <w:lang w:val="en-US" w:eastAsia="zh-CN"/>
        </w:rPr>
        <w:t>]</w:t>
      </w:r>
      <w:r>
        <w:rPr>
          <w:rFonts w:ascii="Times New Roman" w:eastAsia="楷体" w:hAnsi="Times New Roman" w:cs="Times New Roman" w:hint="default"/>
          <w:color w:val="auto"/>
          <w:sz w:val="24"/>
          <w:szCs w:val="24"/>
          <w:lang w:val="en-US" w:eastAsia="zh-CN"/>
        </w:rPr>
        <w:t>。超级电容器具有诸多优势，包括更高的功率密度、良好的循环稳定性、快速充放电能力、迅速的爆发式供电、更长的使用寿命，以及在广泛的工作温度范围内都能保持良好的功能，这对建筑应用具有重要意义</w:t>
      </w:r>
      <w:r>
        <w:rPr>
          <w:rFonts w:ascii="Times New Roman" w:eastAsia="楷体" w:hAnsi="Times New Roman" w:cs="Times New Roman" w:hint="default"/>
          <w:color w:val="0000FF"/>
          <w:sz w:val="24"/>
          <w:szCs w:val="24"/>
          <w:vertAlign w:val="superscript"/>
          <w:lang w:val="en-US" w:eastAsia="zh-CN"/>
        </w:rPr>
        <w:t>[</w:t>
      </w:r>
      <w:r>
        <w:rPr>
          <w:rFonts w:eastAsia="楷体" w:cs="Times New Roman" w:hint="eastAsia"/>
          <w:color w:val="0000FF"/>
          <w:sz w:val="24"/>
          <w:szCs w:val="24"/>
          <w:vertAlign w:val="superscript"/>
          <w:lang w:val="en-US" w:eastAsia="zh-CN"/>
        </w:rPr>
        <w:t>15</w:t>
      </w:r>
      <w:r>
        <w:rPr>
          <w:rFonts w:ascii="Times New Roman" w:eastAsia="楷体" w:hAnsi="Times New Roman" w:cs="Times New Roman" w:hint="default"/>
          <w:color w:val="0000FF"/>
          <w:sz w:val="24"/>
          <w:szCs w:val="24"/>
          <w:vertAlign w:val="superscript"/>
          <w:lang w:val="en-US" w:eastAsia="zh-CN"/>
        </w:rPr>
        <w:t>]</w:t>
      </w:r>
      <w:r>
        <w:rPr>
          <w:rFonts w:ascii="Times New Roman" w:eastAsia="楷体" w:hAnsi="Times New Roman" w:cs="Times New Roman" w:hint="default"/>
          <w:color w:val="auto"/>
          <w:sz w:val="24"/>
          <w:szCs w:val="24"/>
          <w:lang w:val="en-US" w:eastAsia="zh-CN"/>
        </w:rPr>
        <w:t>。在电池中，电子通过电极分子与电质子分子之间的离子反应从一个电极移动到另一个电极。当存在外部电流通路时，这些反应就会启动，当通路断开时，反应停止。在放电过程中，电子通过外部导线从阳极转移到阴极。根据电荷存储机制，超级电容器分为双电层电容器、赝电容器和混合电容器，现有的超级电容器由于合成策略、环境问题和高生产成本，其在经济上面临巨大挑战。</w:t>
      </w:r>
      <w:r>
        <w:rPr>
          <w:rFonts w:ascii="Times New Roman" w:eastAsia="楷体" w:hAnsi="Times New Roman" w:cs="Times New Roman" w:hint="default"/>
          <w:b/>
          <w:bCs/>
          <w:color w:val="auto"/>
          <w:sz w:val="24"/>
          <w:szCs w:val="24"/>
          <w:lang w:val="en-US" w:eastAsia="zh-CN"/>
        </w:rPr>
        <w:t>建筑材料是全球使用最广泛的材料，成本低且耐久性好</w:t>
      </w:r>
      <w:r>
        <w:rPr>
          <w:rFonts w:eastAsia="楷体" w:cs="Times New Roman" w:hint="eastAsia"/>
          <w:b/>
          <w:bCs/>
          <w:color w:val="auto"/>
          <w:sz w:val="24"/>
          <w:szCs w:val="24"/>
          <w:lang w:val="en-US" w:eastAsia="zh-CN"/>
        </w:rPr>
        <w:t>，若</w:t>
      </w:r>
      <w:r>
        <w:rPr>
          <w:rFonts w:ascii="Times New Roman" w:eastAsia="楷体" w:hAnsi="Times New Roman" w:cs="Times New Roman" w:hint="default"/>
          <w:b/>
          <w:bCs/>
          <w:color w:val="auto"/>
          <w:sz w:val="24"/>
          <w:szCs w:val="24"/>
          <w:lang w:val="en-US" w:eastAsia="zh-CN"/>
        </w:rPr>
        <w:t>将储能组件集成到建筑材料中创建高效的储能系统，将</w:t>
      </w:r>
      <w:bookmarkStart w:id="66" w:name="OLE_LINK56"/>
      <w:r>
        <w:rPr>
          <w:rFonts w:ascii="Times New Roman" w:eastAsia="楷体" w:hAnsi="Times New Roman" w:cs="Times New Roman" w:hint="default"/>
          <w:b/>
          <w:bCs/>
          <w:color w:val="auto"/>
          <w:sz w:val="24"/>
          <w:szCs w:val="24"/>
          <w:lang w:val="en-US" w:eastAsia="zh-CN"/>
        </w:rPr>
        <w:t>彻底改变现有的建筑和能源布局</w:t>
      </w:r>
      <w:bookmarkEnd w:id="66"/>
      <w:r>
        <w:rPr>
          <w:rFonts w:ascii="Times New Roman" w:eastAsia="楷体" w:hAnsi="Times New Roman" w:cs="Times New Roman" w:hint="default"/>
          <w:b/>
          <w:bCs/>
          <w:color w:val="auto"/>
          <w:sz w:val="24"/>
          <w:szCs w:val="24"/>
          <w:lang w:val="en-US" w:eastAsia="zh-CN"/>
        </w:rPr>
        <w:t>。</w:t>
      </w:r>
    </w:p>
    <w:p>
      <w:pPr>
        <w:keepNext w:val="0"/>
        <w:keepLines w:val="0"/>
        <w:pageBreakBefore w:val="0"/>
        <w:widowControl w:val="0"/>
        <w:kinsoku/>
        <w:overflowPunct/>
        <w:topLinePunct w:val="0"/>
        <w:autoSpaceDE/>
        <w:autoSpaceDN/>
        <w:bidi w:val="0"/>
        <w:adjustRightInd/>
        <w:snapToGrid/>
        <w:spacing w:line="440" w:lineRule="exact"/>
        <w:ind w:firstLine="480" w:leftChars="0" w:firstLineChars="200"/>
        <w:textAlignment w:val="auto"/>
        <w:rPr>
          <w:rFonts w:eastAsia="楷体" w:cs="Times New Roman" w:hint="eastAsia"/>
          <w:color w:val="auto"/>
          <w:sz w:val="24"/>
          <w:szCs w:val="24"/>
          <w:lang w:val="en-US" w:eastAsia="zh-CN"/>
        </w:rPr>
      </w:pPr>
      <w:r>
        <w:rPr>
          <w:rFonts w:ascii="Times New Roman" w:eastAsia="楷体" w:hAnsi="Times New Roman" w:cs="Times New Roman" w:hint="default"/>
          <w:color w:val="auto"/>
          <w:sz w:val="24"/>
          <w:szCs w:val="24"/>
          <w:lang w:val="en-US" w:eastAsia="zh-CN"/>
        </w:rPr>
        <w:t>Qiao等</w:t>
      </w:r>
      <w:r>
        <w:rPr>
          <w:rFonts w:ascii="Times New Roman" w:eastAsia="楷体" w:hAnsi="Times New Roman" w:cs="Times New Roman" w:hint="default"/>
          <w:color w:val="0000FF"/>
          <w:sz w:val="24"/>
          <w:szCs w:val="24"/>
          <w:vertAlign w:val="superscript"/>
          <w:lang w:val="en-US" w:eastAsia="zh-CN"/>
        </w:rPr>
        <w:t>[</w:t>
      </w:r>
      <w:r>
        <w:rPr>
          <w:rFonts w:eastAsia="楷体" w:cs="Times New Roman" w:hint="eastAsia"/>
          <w:color w:val="0000FF"/>
          <w:sz w:val="24"/>
          <w:szCs w:val="24"/>
          <w:vertAlign w:val="superscript"/>
          <w:lang w:val="en-US" w:eastAsia="zh-CN"/>
        </w:rPr>
        <w:t>16</w:t>
      </w:r>
      <w:r>
        <w:rPr>
          <w:rFonts w:ascii="Times New Roman" w:eastAsia="楷体" w:hAnsi="Times New Roman" w:cs="Times New Roman" w:hint="default"/>
          <w:color w:val="0000FF"/>
          <w:sz w:val="24"/>
          <w:szCs w:val="24"/>
          <w:vertAlign w:val="superscript"/>
          <w:lang w:val="en-US" w:eastAsia="zh-CN"/>
        </w:rPr>
        <w:t>]</w:t>
      </w:r>
      <w:r>
        <w:rPr>
          <w:rFonts w:ascii="Times New Roman" w:eastAsia="楷体" w:hAnsi="Times New Roman" w:cs="Times New Roman" w:hint="default"/>
          <w:color w:val="auto"/>
          <w:sz w:val="24"/>
          <w:szCs w:val="24"/>
          <w:lang w:val="en-US" w:eastAsia="zh-CN"/>
        </w:rPr>
        <w:t>将MnO</w:t>
      </w:r>
      <w:r>
        <w:rPr>
          <w:rFonts w:ascii="Times New Roman" w:eastAsia="楷体" w:hAnsi="Times New Roman" w:cs="Times New Roman" w:hint="default"/>
          <w:color w:val="auto"/>
          <w:sz w:val="24"/>
          <w:szCs w:val="24"/>
          <w:vertAlign w:val="subscript"/>
          <w:lang w:val="en-US" w:eastAsia="zh-CN"/>
        </w:rPr>
        <w:t>2</w:t>
      </w:r>
      <w:r>
        <w:rPr>
          <w:rFonts w:ascii="Times New Roman" w:eastAsia="楷体" w:hAnsi="Times New Roman" w:cs="Times New Roman" w:hint="default"/>
          <w:color w:val="auto"/>
          <w:sz w:val="24"/>
          <w:szCs w:val="24"/>
          <w:lang w:val="en-US" w:eastAsia="zh-CN"/>
        </w:rPr>
        <w:t>和Zn粉末与水泥基材料混合分别作阴极和阳极，用纯水泥作隔层，在24h内，水泥电池的电压和电流幅度分别超过0.7V和250μA。Liu等</w:t>
      </w:r>
      <w:r>
        <w:rPr>
          <w:rFonts w:ascii="Times New Roman" w:eastAsia="楷体" w:hAnsi="Times New Roman" w:cs="Times New Roman" w:hint="default"/>
          <w:color w:val="0000FF"/>
          <w:sz w:val="24"/>
          <w:szCs w:val="24"/>
          <w:vertAlign w:val="superscript"/>
          <w:lang w:val="en-US" w:eastAsia="zh-CN"/>
        </w:rPr>
        <w:t>[</w:t>
      </w:r>
      <w:r>
        <w:rPr>
          <w:rFonts w:eastAsia="楷体" w:cs="Times New Roman" w:hint="eastAsia"/>
          <w:color w:val="0000FF"/>
          <w:sz w:val="24"/>
          <w:szCs w:val="24"/>
          <w:vertAlign w:val="superscript"/>
          <w:lang w:val="en-US" w:eastAsia="zh-CN"/>
        </w:rPr>
        <w:t>17</w:t>
      </w:r>
      <w:r>
        <w:rPr>
          <w:rFonts w:ascii="Times New Roman" w:eastAsia="楷体" w:hAnsi="Times New Roman" w:cs="Times New Roman" w:hint="default"/>
          <w:color w:val="0000FF"/>
          <w:sz w:val="24"/>
          <w:szCs w:val="24"/>
          <w:vertAlign w:val="superscript"/>
          <w:lang w:val="en-US" w:eastAsia="zh-CN"/>
        </w:rPr>
        <w:t>]</w:t>
      </w:r>
      <w:r>
        <w:rPr>
          <w:rFonts w:ascii="Times New Roman" w:eastAsia="楷体" w:hAnsi="Times New Roman" w:cs="Times New Roman" w:hint="default"/>
          <w:color w:val="auto"/>
          <w:sz w:val="24"/>
          <w:szCs w:val="24"/>
          <w:lang w:val="en-US" w:eastAsia="zh-CN"/>
        </w:rPr>
        <w:t>使用水泥砂浆、锌金属阳极和活性炭阴极组成的混合超级电容器构建块表现出卓越的比能量密度、高面积能量密度、良好的循环稳定性（1000次循环后约92%的容量保持率）和卓越的安全性（1小时燃烧测试的耐久性）。Xu和Zhang</w:t>
      </w:r>
      <w:r>
        <w:rPr>
          <w:rFonts w:ascii="Times New Roman" w:eastAsia="楷体" w:hAnsi="Times New Roman" w:cs="Times New Roman" w:hint="default"/>
          <w:color w:val="0000FF"/>
          <w:sz w:val="24"/>
          <w:szCs w:val="24"/>
          <w:vertAlign w:val="superscript"/>
          <w:lang w:val="en-US" w:eastAsia="zh-CN"/>
        </w:rPr>
        <w:t>[</w:t>
      </w:r>
      <w:r>
        <w:rPr>
          <w:rFonts w:eastAsia="楷体" w:cs="Times New Roman" w:hint="eastAsia"/>
          <w:color w:val="0000FF"/>
          <w:sz w:val="24"/>
          <w:szCs w:val="24"/>
          <w:vertAlign w:val="superscript"/>
          <w:lang w:val="en-US" w:eastAsia="zh-CN"/>
        </w:rPr>
        <w:t>18</w:t>
      </w:r>
      <w:r>
        <w:rPr>
          <w:rFonts w:ascii="Times New Roman" w:eastAsia="楷体" w:hAnsi="Times New Roman" w:cs="Times New Roman" w:hint="default"/>
          <w:color w:val="0000FF"/>
          <w:sz w:val="24"/>
          <w:szCs w:val="24"/>
          <w:vertAlign w:val="superscript"/>
          <w:lang w:val="en-US" w:eastAsia="zh-CN"/>
        </w:rPr>
        <w:t>]</w:t>
      </w:r>
      <w:r>
        <w:rPr>
          <w:rFonts w:ascii="Times New Roman" w:eastAsia="楷体" w:hAnsi="Times New Roman" w:cs="Times New Roman" w:hint="default"/>
          <w:color w:val="auto"/>
          <w:sz w:val="24"/>
          <w:szCs w:val="24"/>
          <w:lang w:val="en-US" w:eastAsia="zh-CN"/>
        </w:rPr>
        <w:t>制备了基于石墨烯电极和地聚物隔膜的多功能结构超级电容器，碱激发剂模数为2.0时具有最高的比电容36.5Fg</w:t>
      </w:r>
      <w:r>
        <w:rPr>
          <w:rFonts w:ascii="Times New Roman" w:eastAsia="楷体" w:hAnsi="Times New Roman" w:cs="Times New Roman" w:hint="default"/>
          <w:color w:val="auto"/>
          <w:sz w:val="24"/>
          <w:szCs w:val="24"/>
          <w:vertAlign w:val="superscript"/>
          <w:lang w:val="en-US" w:eastAsia="zh-CN"/>
        </w:rPr>
        <w:t>-1</w:t>
      </w:r>
      <w:r>
        <w:rPr>
          <w:rFonts w:ascii="Times New Roman" w:eastAsia="楷体" w:hAnsi="Times New Roman" w:cs="Times New Roman" w:hint="default"/>
          <w:color w:val="auto"/>
          <w:sz w:val="24"/>
          <w:szCs w:val="24"/>
          <w:lang w:val="en-US" w:eastAsia="zh-CN"/>
        </w:rPr>
        <w:t>，且模数为1.6时表现出最佳的多功能性，抗压强度为33.85MPa，比电容为33.4Fg</w:t>
      </w:r>
      <w:r>
        <w:rPr>
          <w:rFonts w:ascii="Times New Roman" w:eastAsia="楷体" w:hAnsi="Times New Roman" w:cs="Times New Roman" w:hint="default"/>
          <w:color w:val="auto"/>
          <w:sz w:val="24"/>
          <w:szCs w:val="24"/>
          <w:vertAlign w:val="superscript"/>
          <w:lang w:val="en-US" w:eastAsia="zh-CN"/>
        </w:rPr>
        <w:t>-1</w:t>
      </w:r>
      <w:r>
        <w:rPr>
          <w:rFonts w:ascii="Times New Roman" w:eastAsia="楷体" w:hAnsi="Times New Roman" w:cs="Times New Roman" w:hint="default"/>
          <w:color w:val="auto"/>
          <w:sz w:val="24"/>
          <w:szCs w:val="24"/>
          <w:lang w:val="en-US" w:eastAsia="zh-CN"/>
        </w:rPr>
        <w:t>。Fang和Zhang</w:t>
      </w:r>
      <w:r>
        <w:rPr>
          <w:rFonts w:ascii="Times New Roman" w:eastAsia="楷体" w:hAnsi="Times New Roman" w:cs="Times New Roman" w:hint="default"/>
          <w:color w:val="0000FF"/>
          <w:sz w:val="24"/>
          <w:szCs w:val="24"/>
          <w:vertAlign w:val="superscript"/>
          <w:lang w:val="en-US" w:eastAsia="zh-CN"/>
        </w:rPr>
        <w:t>[</w:t>
      </w:r>
      <w:r>
        <w:rPr>
          <w:rFonts w:eastAsia="楷体" w:cs="Times New Roman" w:hint="eastAsia"/>
          <w:color w:val="0000FF"/>
          <w:sz w:val="24"/>
          <w:szCs w:val="24"/>
          <w:vertAlign w:val="superscript"/>
          <w:lang w:val="en-US" w:eastAsia="zh-CN"/>
        </w:rPr>
        <w:t>19</w:t>
      </w:r>
      <w:r>
        <w:rPr>
          <w:rFonts w:ascii="Times New Roman" w:eastAsia="楷体" w:hAnsi="Times New Roman" w:cs="Times New Roman" w:hint="default"/>
          <w:color w:val="0000FF"/>
          <w:sz w:val="24"/>
          <w:szCs w:val="24"/>
          <w:vertAlign w:val="superscript"/>
          <w:lang w:val="en-US" w:eastAsia="zh-CN"/>
        </w:rPr>
        <w:t>]</w:t>
      </w:r>
      <w:r>
        <w:rPr>
          <w:rFonts w:ascii="Times New Roman" w:eastAsia="楷体" w:hAnsi="Times New Roman" w:cs="Times New Roman" w:hint="default"/>
          <w:color w:val="auto"/>
          <w:sz w:val="24"/>
          <w:szCs w:val="24"/>
          <w:lang w:val="en-US" w:eastAsia="zh-CN"/>
        </w:rPr>
        <w:t>使用还原氧化石墨烯</w:t>
      </w:r>
      <w:r>
        <w:rPr>
          <w:rFonts w:eastAsia="楷体" w:cs="Times New Roman" w:hint="eastAsia"/>
          <w:color w:val="auto"/>
          <w:sz w:val="24"/>
          <w:szCs w:val="24"/>
          <w:lang w:val="en-US" w:eastAsia="zh-CN"/>
        </w:rPr>
        <w:t>(rGO)</w:t>
      </w:r>
      <w:r>
        <w:rPr>
          <w:rFonts w:ascii="Times New Roman" w:eastAsia="楷体" w:hAnsi="Times New Roman" w:cs="Times New Roman" w:hint="default"/>
          <w:color w:val="auto"/>
          <w:sz w:val="24"/>
          <w:szCs w:val="24"/>
          <w:lang w:val="en-US" w:eastAsia="zh-CN"/>
        </w:rPr>
        <w:t>/CuO电极和聚丙烯酸-水泥-LiCF</w:t>
      </w:r>
      <w:r>
        <w:rPr>
          <w:rFonts w:ascii="Times New Roman" w:eastAsia="楷体" w:hAnsi="Times New Roman" w:cs="Times New Roman" w:hint="default"/>
          <w:color w:val="auto"/>
          <w:sz w:val="24"/>
          <w:szCs w:val="24"/>
          <w:vertAlign w:val="subscript"/>
          <w:lang w:val="en-US" w:eastAsia="zh-CN"/>
        </w:rPr>
        <w:t>3</w:t>
      </w:r>
      <w:r>
        <w:rPr>
          <w:rFonts w:ascii="Times New Roman" w:eastAsia="楷体" w:hAnsi="Times New Roman" w:cs="Times New Roman" w:hint="default"/>
          <w:color w:val="auto"/>
          <w:sz w:val="24"/>
          <w:szCs w:val="24"/>
          <w:lang w:val="en-US" w:eastAsia="zh-CN"/>
        </w:rPr>
        <w:t>SO</w:t>
      </w:r>
      <w:r>
        <w:rPr>
          <w:rFonts w:ascii="Times New Roman" w:eastAsia="楷体" w:hAnsi="Times New Roman" w:cs="Times New Roman" w:hint="default"/>
          <w:color w:val="auto"/>
          <w:sz w:val="24"/>
          <w:szCs w:val="24"/>
          <w:vertAlign w:val="subscript"/>
          <w:lang w:val="en-US" w:eastAsia="zh-CN"/>
        </w:rPr>
        <w:t>3</w:t>
      </w:r>
      <w:r>
        <w:rPr>
          <w:rFonts w:ascii="Times New Roman" w:eastAsia="楷体" w:hAnsi="Times New Roman" w:cs="Times New Roman" w:hint="default"/>
          <w:color w:val="auto"/>
          <w:sz w:val="24"/>
          <w:szCs w:val="24"/>
          <w:lang w:val="en-US" w:eastAsia="zh-CN"/>
        </w:rPr>
        <w:t>电解质组装了一种具有高力学承载力和电化学储能能力的新型固态超级电容器，最佳离子导电率为7.48mS cm</w:t>
      </w:r>
      <w:r>
        <w:rPr>
          <w:rFonts w:ascii="Times New Roman" w:eastAsia="楷体" w:hAnsi="Times New Roman" w:cs="Times New Roman" w:hint="default"/>
          <w:color w:val="auto"/>
          <w:sz w:val="24"/>
          <w:szCs w:val="24"/>
          <w:vertAlign w:val="superscript"/>
          <w:lang w:val="en-US" w:eastAsia="zh-CN"/>
        </w:rPr>
        <w:t>-1</w:t>
      </w:r>
      <w:r>
        <w:rPr>
          <w:rFonts w:ascii="Times New Roman" w:eastAsia="楷体" w:hAnsi="Times New Roman" w:cs="Times New Roman" w:hint="default"/>
          <w:color w:val="auto"/>
          <w:sz w:val="24"/>
          <w:szCs w:val="24"/>
          <w:lang w:val="en-US" w:eastAsia="zh-CN"/>
        </w:rPr>
        <w:t>，抗压强度为23.65MPa；在0.3mA cm</w:t>
      </w:r>
      <w:r>
        <w:rPr>
          <w:rFonts w:ascii="Times New Roman" w:eastAsia="楷体" w:hAnsi="Times New Roman" w:cs="Times New Roman" w:hint="default"/>
          <w:color w:val="auto"/>
          <w:sz w:val="24"/>
          <w:szCs w:val="24"/>
          <w:vertAlign w:val="superscript"/>
          <w:lang w:val="en-US" w:eastAsia="zh-CN"/>
        </w:rPr>
        <w:t>-2</w:t>
      </w:r>
      <w:r>
        <w:rPr>
          <w:rFonts w:ascii="Times New Roman" w:eastAsia="楷体" w:hAnsi="Times New Roman" w:cs="Times New Roman" w:hint="default"/>
          <w:color w:val="auto"/>
          <w:sz w:val="24"/>
          <w:szCs w:val="24"/>
          <w:lang w:val="en-US" w:eastAsia="zh-CN"/>
        </w:rPr>
        <w:t>最高的面积电容为314.9mF cm</w:t>
      </w:r>
      <w:r>
        <w:rPr>
          <w:rFonts w:ascii="Times New Roman" w:eastAsia="楷体" w:hAnsi="Times New Roman" w:cs="Times New Roman" w:hint="default"/>
          <w:color w:val="auto"/>
          <w:sz w:val="24"/>
          <w:szCs w:val="24"/>
          <w:vertAlign w:val="superscript"/>
          <w:lang w:val="en-US" w:eastAsia="zh-CN"/>
        </w:rPr>
        <w:t>-2</w:t>
      </w:r>
      <w:r>
        <w:rPr>
          <w:rFonts w:ascii="Times New Roman" w:eastAsia="楷体" w:hAnsi="Times New Roman" w:cs="Times New Roman" w:hint="default"/>
          <w:color w:val="auto"/>
          <w:sz w:val="24"/>
          <w:szCs w:val="24"/>
          <w:lang w:val="en-US" w:eastAsia="zh-CN"/>
        </w:rPr>
        <w:t>，最大的面积能量密度为0.65mWh cm</w:t>
      </w:r>
      <w:r>
        <w:rPr>
          <w:rFonts w:ascii="Times New Roman" w:eastAsia="楷体" w:hAnsi="Times New Roman" w:cs="Times New Roman" w:hint="default"/>
          <w:color w:val="auto"/>
          <w:sz w:val="24"/>
          <w:szCs w:val="24"/>
          <w:vertAlign w:val="superscript"/>
          <w:lang w:val="en-US" w:eastAsia="zh-CN"/>
        </w:rPr>
        <w:t>-2</w:t>
      </w:r>
      <w:r>
        <w:rPr>
          <w:rFonts w:ascii="Times New Roman" w:eastAsia="楷体" w:hAnsi="Times New Roman" w:cs="Times New Roman" w:hint="default"/>
          <w:color w:val="auto"/>
          <w:sz w:val="24"/>
          <w:szCs w:val="24"/>
          <w:lang w:val="en-US" w:eastAsia="zh-CN"/>
        </w:rPr>
        <w:t>。</w:t>
      </w:r>
      <w:r>
        <w:rPr>
          <w:rFonts w:eastAsia="楷体" w:cs="Times New Roman" w:hint="eastAsia"/>
          <w:color w:val="auto"/>
          <w:sz w:val="24"/>
          <w:szCs w:val="24"/>
          <w:lang w:val="en-US" w:eastAsia="zh-CN"/>
        </w:rPr>
        <w:t>Shi和Zhan</w:t>
      </w:r>
      <w:r>
        <w:rPr>
          <w:rFonts w:ascii="Times New Roman" w:eastAsia="楷体" w:hAnsi="Times New Roman" w:cs="Times New Roman" w:hint="eastAsia"/>
          <w:color w:val="auto"/>
          <w:sz w:val="24"/>
          <w:szCs w:val="24"/>
          <w:lang w:val="en-US" w:eastAsia="zh-CN"/>
        </w:rPr>
        <w:t>g</w:t>
      </w:r>
      <w:r>
        <w:rPr>
          <w:rFonts w:ascii="Times New Roman" w:eastAsia="楷体" w:hAnsi="Times New Roman" w:cs="Times New Roman" w:hint="eastAsia"/>
          <w:color w:val="0000FF"/>
          <w:sz w:val="24"/>
          <w:szCs w:val="24"/>
          <w:vertAlign w:val="superscript"/>
          <w:lang w:val="en-US" w:eastAsia="zh-CN"/>
        </w:rPr>
        <w:t>[</w:t>
      </w:r>
      <w:r>
        <w:rPr>
          <w:rFonts w:eastAsia="楷体" w:cs="Times New Roman" w:hint="eastAsia"/>
          <w:color w:val="0000FF"/>
          <w:sz w:val="24"/>
          <w:szCs w:val="24"/>
          <w:vertAlign w:val="superscript"/>
          <w:lang w:val="en-US" w:eastAsia="zh-CN"/>
        </w:rPr>
        <w:t>20</w:t>
      </w:r>
      <w:r>
        <w:rPr>
          <w:rFonts w:ascii="Times New Roman" w:eastAsia="楷体" w:hAnsi="Times New Roman" w:cs="Times New Roman" w:hint="eastAsia"/>
          <w:color w:val="0000FF"/>
          <w:sz w:val="24"/>
          <w:szCs w:val="24"/>
          <w:vertAlign w:val="superscript"/>
          <w:lang w:val="en-US" w:eastAsia="zh-CN"/>
        </w:rPr>
        <w:t>]</w:t>
      </w:r>
      <w:r>
        <w:rPr>
          <w:rFonts w:eastAsia="楷体" w:cs="Times New Roman" w:hint="eastAsia"/>
          <w:color w:val="auto"/>
          <w:sz w:val="24"/>
          <w:szCs w:val="24"/>
          <w:lang w:val="en-US" w:eastAsia="zh-CN"/>
        </w:rPr>
        <w:t>以rGO为电极，发泡水泥为电解质制备可负载超级电容器，在不同加载条件下循环伏安曲线面积无明显变化，表现出稳定的电化学行为；且在恒定9MPa应力</w:t>
      </w:r>
      <w:r>
        <w:rPr>
          <w:rFonts w:eastAsia="楷体" w:cs="Times New Roman" w:hint="default"/>
          <w:color w:val="auto"/>
          <w:sz w:val="24"/>
          <w:szCs w:val="24"/>
          <w:lang w:val="en-US" w:eastAsia="zh-CN"/>
        </w:rPr>
        <w:t>下</w:t>
      </w:r>
      <w:r>
        <w:rPr>
          <w:rFonts w:eastAsia="楷体" w:cs="Times New Roman" w:hint="eastAsia"/>
          <w:color w:val="auto"/>
          <w:sz w:val="24"/>
          <w:szCs w:val="24"/>
          <w:lang w:val="en-US" w:eastAsia="zh-CN"/>
        </w:rPr>
        <w:t>经过2000次循环后，电容损失仅为2.7%。</w:t>
      </w:r>
    </w:p>
    <w:p>
      <w:pPr>
        <w:keepNext w:val="0"/>
        <w:keepLines w:val="0"/>
        <w:pageBreakBefore w:val="0"/>
        <w:widowControl w:val="0"/>
        <w:kinsoku/>
        <w:overflowPunct/>
        <w:topLinePunct w:val="0"/>
        <w:autoSpaceDE/>
        <w:autoSpaceDN/>
        <w:bidi w:val="0"/>
        <w:adjustRightInd/>
        <w:snapToGrid/>
        <w:spacing w:line="440" w:lineRule="exact"/>
        <w:ind w:firstLine="480" w:leftChars="0" w:firstLineChars="200"/>
        <w:textAlignment w:val="auto"/>
        <w:rPr>
          <w:rFonts w:ascii="Times New Roman" w:eastAsia="楷体" w:hAnsi="Times New Roman" w:cs="Times New Roman" w:hint="default"/>
          <w:color w:val="auto"/>
          <w:sz w:val="24"/>
          <w:szCs w:val="24"/>
          <w:lang w:val="en-US" w:eastAsia="zh-CN"/>
        </w:rPr>
      </w:pPr>
      <w:r>
        <w:rPr>
          <w:rFonts w:ascii="Times New Roman" w:eastAsia="楷体" w:hAnsi="Times New Roman" w:cs="Times New Roman" w:hint="eastAsia"/>
          <w:color w:val="auto"/>
          <w:sz w:val="24"/>
          <w:szCs w:val="24"/>
          <w:lang w:val="en-US" w:eastAsia="zh-CN"/>
        </w:rPr>
        <w:t>综上所述：</w:t>
      </w:r>
      <w:r>
        <w:rPr>
          <w:rFonts w:ascii="Times New Roman" w:eastAsia="楷体" w:hAnsi="Times New Roman" w:cs="Times New Roman" w:hint="default"/>
          <w:color w:val="auto"/>
          <w:sz w:val="24"/>
          <w:szCs w:val="24"/>
          <w:lang w:val="en-US" w:eastAsia="zh-CN"/>
        </w:rPr>
        <w:t>建筑材料用作超级电容器的电解质，起负载支撑物和隔膜作用，作为负载支撑物，保持较高强度；作为隔膜，具有高润湿性和良好的液体渗透能力，有利于提高电解质的离子导电率。</w:t>
      </w:r>
      <w:r>
        <w:rPr>
          <w:rFonts w:eastAsia="楷体" w:cs="Times New Roman" w:hint="eastAsia"/>
          <w:color w:val="auto"/>
          <w:sz w:val="24"/>
          <w:szCs w:val="24"/>
          <w:lang w:val="en-US" w:eastAsia="zh-CN"/>
        </w:rPr>
        <w:t>水泥作为超级电容器的电解质研究较多</w:t>
      </w:r>
      <w:r>
        <w:rPr>
          <w:rFonts w:eastAsia="楷体" w:cs="Times New Roman" w:hint="eastAsia"/>
          <w:color w:val="0000FF"/>
          <w:sz w:val="24"/>
          <w:szCs w:val="24"/>
          <w:vertAlign w:val="superscript"/>
          <w:lang w:val="en-US" w:eastAsia="zh-CN"/>
        </w:rPr>
        <w:t>[21]</w:t>
      </w:r>
      <w:r>
        <w:rPr>
          <w:rFonts w:eastAsia="楷体" w:cs="Times New Roman" w:hint="eastAsia"/>
          <w:color w:val="auto"/>
          <w:sz w:val="24"/>
          <w:szCs w:val="24"/>
          <w:lang w:val="en-US" w:eastAsia="zh-CN"/>
        </w:rPr>
        <w:t>，碱激发材料研究相对较少。</w:t>
      </w:r>
      <w:r>
        <w:rPr>
          <w:rFonts w:eastAsia="楷体" w:cs="Times New Roman" w:hint="eastAsia"/>
          <w:b w:val="0"/>
          <w:bCs w:val="0"/>
          <w:color w:val="auto"/>
          <w:sz w:val="24"/>
          <w:szCs w:val="24"/>
          <w:lang w:val="en-US" w:eastAsia="zh-CN"/>
        </w:rPr>
        <w:t>理论上，</w:t>
      </w:r>
      <w:r>
        <w:rPr>
          <w:rFonts w:eastAsia="楷体"/>
          <w:b w:val="0"/>
          <w:bCs w:val="0"/>
          <w:color w:val="auto"/>
          <w:sz w:val="24"/>
        </w:rPr>
        <w:t>碱激发胶凝材料</w:t>
      </w:r>
      <w:r>
        <w:rPr>
          <w:rFonts w:eastAsia="楷体" w:hint="eastAsia"/>
          <w:b w:val="0"/>
          <w:bCs w:val="0"/>
          <w:color w:val="auto"/>
          <w:sz w:val="24"/>
          <w:lang w:val="en-US" w:eastAsia="zh-CN"/>
        </w:rPr>
        <w:t>在</w:t>
      </w:r>
      <w:r>
        <w:rPr>
          <w:rFonts w:eastAsia="楷体"/>
          <w:b w:val="0"/>
          <w:bCs w:val="0"/>
          <w:color w:val="auto"/>
          <w:sz w:val="24"/>
        </w:rPr>
        <w:t>制备过程</w:t>
      </w:r>
      <w:r>
        <w:rPr>
          <w:rFonts w:eastAsia="楷体" w:hint="eastAsia"/>
          <w:b w:val="0"/>
          <w:bCs w:val="0"/>
          <w:color w:val="auto"/>
          <w:sz w:val="24"/>
          <w:lang w:val="en-US" w:eastAsia="zh-CN"/>
        </w:rPr>
        <w:t>中</w:t>
      </w:r>
      <w:r>
        <w:rPr>
          <w:rFonts w:eastAsia="楷体"/>
          <w:b w:val="0"/>
          <w:bCs w:val="0"/>
          <w:color w:val="auto"/>
          <w:sz w:val="24"/>
        </w:rPr>
        <w:t>直接加入高浓度的强碱或弱碱盐，孔隙溶液中离子浓度远高于普通水泥基材料</w:t>
      </w:r>
      <w:r>
        <w:rPr>
          <w:rFonts w:eastAsia="楷体" w:hint="eastAsia"/>
          <w:b w:val="0"/>
          <w:bCs w:val="0"/>
          <w:color w:val="auto"/>
          <w:sz w:val="24"/>
          <w:lang w:eastAsia="zh-CN"/>
        </w:rPr>
        <w:t>，</w:t>
      </w:r>
      <w:r>
        <w:rPr>
          <w:rFonts w:eastAsia="楷体" w:hint="eastAsia"/>
          <w:b w:val="0"/>
          <w:bCs w:val="0"/>
          <w:color w:val="auto"/>
          <w:sz w:val="24"/>
          <w:lang w:val="en-US" w:eastAsia="zh-CN"/>
        </w:rPr>
        <w:t>作为电解质更有优势。</w:t>
      </w:r>
      <w:r>
        <w:rPr>
          <w:rFonts w:eastAsia="楷体" w:hint="eastAsia"/>
          <w:b/>
          <w:bCs/>
          <w:color w:val="auto"/>
          <w:sz w:val="24"/>
          <w:lang w:val="en-US" w:eastAsia="zh-CN"/>
        </w:rPr>
        <w:t>因此，开展碱激发材料作为超级电容器电解质的研究不仅能够突破传统水泥基材料离子传输效率的瓶颈，更可通过其高孔隙离子浓度的特性实现电解质导电率的大幅提升。</w:t>
      </w:r>
    </w:p>
    <w:p>
      <w:pPr>
        <w:keepNext w:val="0"/>
        <w:keepLines w:val="0"/>
        <w:pageBreakBefore w:val="0"/>
        <w:widowControl w:val="0"/>
        <w:kinsoku/>
        <w:overflowPunct/>
        <w:topLinePunct w:val="0"/>
        <w:autoSpaceDE/>
        <w:autoSpaceDN/>
        <w:bidi w:val="0"/>
        <w:adjustRightInd/>
        <w:snapToGrid/>
        <w:spacing w:line="440" w:lineRule="exact"/>
        <w:ind w:firstLine="480" w:leftChars="0" w:firstLineChars="200"/>
        <w:textAlignment w:val="auto"/>
        <w:rPr>
          <w:rFonts w:ascii="Times New Roman" w:eastAsia="楷体" w:hAnsi="Times New Roman" w:cs="Times New Roman" w:hint="eastAsia"/>
          <w:b/>
          <w:bCs/>
          <w:color w:val="auto"/>
          <w:sz w:val="24"/>
          <w:szCs w:val="24"/>
          <w:lang w:val="en-US" w:eastAsia="zh-CN"/>
        </w:rPr>
      </w:pPr>
      <w:r>
        <w:rPr>
          <w:rFonts w:eastAsia="楷体" w:cs="Times New Roman" w:hint="eastAsia"/>
          <w:b/>
          <w:bCs/>
          <w:color w:val="auto"/>
          <w:sz w:val="24"/>
          <w:szCs w:val="24"/>
          <w:lang w:val="en-US" w:eastAsia="zh-CN"/>
        </w:rPr>
        <w:t>（3）</w:t>
      </w:r>
      <w:r>
        <w:rPr>
          <w:rFonts w:ascii="Times New Roman" w:eastAsia="楷体" w:hAnsi="Times New Roman" w:cs="Times New Roman" w:hint="eastAsia"/>
          <w:b/>
          <w:bCs/>
          <w:color w:val="auto"/>
          <w:sz w:val="24"/>
          <w:szCs w:val="24"/>
          <w:lang w:val="en-US" w:eastAsia="zh-CN"/>
        </w:rPr>
        <w:t>结构超级电容器</w:t>
      </w:r>
      <w:r>
        <w:rPr>
          <w:rFonts w:eastAsia="楷体" w:cs="Times New Roman" w:hint="eastAsia"/>
          <w:b/>
          <w:bCs/>
          <w:color w:val="auto"/>
          <w:sz w:val="24"/>
          <w:szCs w:val="24"/>
          <w:lang w:val="en-US" w:eastAsia="zh-CN"/>
        </w:rPr>
        <w:t>优化</w:t>
      </w:r>
      <w:r>
        <w:rPr>
          <w:rFonts w:ascii="Times New Roman" w:eastAsia="楷体" w:hAnsi="Times New Roman" w:cs="Times New Roman" w:hint="eastAsia"/>
          <w:b/>
          <w:bCs/>
          <w:color w:val="auto"/>
          <w:sz w:val="24"/>
          <w:szCs w:val="24"/>
          <w:lang w:val="en-US" w:eastAsia="zh-CN"/>
        </w:rPr>
        <w:t>策略研究现状</w:t>
      </w:r>
    </w:p>
    <w:p>
      <w:pPr>
        <w:keepNext w:val="0"/>
        <w:keepLines w:val="0"/>
        <w:pageBreakBefore w:val="0"/>
        <w:widowControl w:val="0"/>
        <w:kinsoku/>
        <w:overflowPunct/>
        <w:topLinePunct w:val="0"/>
        <w:autoSpaceDE/>
        <w:autoSpaceDN/>
        <w:bidi w:val="0"/>
        <w:adjustRightInd/>
        <w:snapToGrid/>
        <w:spacing w:line="440" w:lineRule="exact"/>
        <w:ind w:firstLine="480" w:leftChars="0" w:firstLineChars="200"/>
        <w:textAlignment w:val="auto"/>
        <w:rPr>
          <w:rFonts w:ascii="Times New Roman" w:eastAsia="楷体" w:hAnsi="Times New Roman" w:cs="Times New Roman" w:hint="default"/>
          <w:color w:val="auto"/>
          <w:sz w:val="24"/>
          <w:szCs w:val="24"/>
          <w:lang w:val="en-US" w:eastAsia="zh-CN"/>
        </w:rPr>
      </w:pPr>
      <w:r>
        <w:rPr>
          <w:rFonts w:ascii="Times New Roman" w:eastAsia="楷体" w:hAnsi="Times New Roman" w:cs="Times New Roman" w:hint="default"/>
          <w:color w:val="auto"/>
          <w:sz w:val="24"/>
          <w:szCs w:val="24"/>
          <w:lang w:val="en-US" w:eastAsia="zh-CN"/>
        </w:rPr>
        <w:t>通过选择特定的盐和适当的浓度，可以实现增加电解质电势窗的目的。Becker等</w:t>
      </w:r>
      <w:r>
        <w:rPr>
          <w:rFonts w:eastAsia="楷体" w:cs="Times New Roman" w:hint="default"/>
          <w:color w:val="0000FF"/>
          <w:sz w:val="24"/>
          <w:szCs w:val="24"/>
          <w:vertAlign w:val="superscript"/>
          <w:lang w:val="en-US" w:eastAsia="zh-CN"/>
        </w:rPr>
        <w:t>[</w:t>
      </w:r>
      <w:r>
        <w:rPr>
          <w:rFonts w:eastAsia="楷体" w:cs="Times New Roman" w:hint="eastAsia"/>
          <w:color w:val="0000FF"/>
          <w:sz w:val="24"/>
          <w:szCs w:val="24"/>
          <w:vertAlign w:val="superscript"/>
          <w:lang w:val="en-US" w:eastAsia="zh-CN"/>
        </w:rPr>
        <w:t>22</w:t>
      </w:r>
      <w:r>
        <w:rPr>
          <w:rFonts w:eastAsia="楷体" w:cs="Times New Roman" w:hint="default"/>
          <w:color w:val="0000FF"/>
          <w:sz w:val="24"/>
          <w:szCs w:val="24"/>
          <w:vertAlign w:val="superscript"/>
          <w:lang w:val="en-US" w:eastAsia="zh-CN"/>
        </w:rPr>
        <w:t>]</w:t>
      </w:r>
      <w:r>
        <w:rPr>
          <w:rFonts w:ascii="Times New Roman" w:eastAsia="楷体" w:hAnsi="Times New Roman" w:cs="Times New Roman" w:hint="default"/>
          <w:color w:val="auto"/>
          <w:sz w:val="24"/>
          <w:szCs w:val="24"/>
          <w:lang w:val="en-US" w:eastAsia="zh-CN"/>
        </w:rPr>
        <w:t>将双三氟甲烷磺酰亚胺锂溶解在水中，开发出一种</w:t>
      </w:r>
      <w:r>
        <w:rPr>
          <w:rFonts w:ascii="楷体" w:eastAsia="楷体" w:hAnsi="楷体" w:cs="楷体" w:hint="eastAsia"/>
          <w:color w:val="auto"/>
          <w:sz w:val="24"/>
          <w:szCs w:val="24"/>
          <w:lang w:val="en-US" w:eastAsia="zh-CN"/>
        </w:rPr>
        <w:t>“盐包水”</w:t>
      </w:r>
      <w:r>
        <w:rPr>
          <w:rFonts w:ascii="Times New Roman" w:eastAsia="楷体" w:hAnsi="Times New Roman" w:cs="Times New Roman" w:hint="default"/>
          <w:color w:val="auto"/>
          <w:sz w:val="24"/>
          <w:szCs w:val="24"/>
          <w:lang w:val="en-US" w:eastAsia="zh-CN"/>
        </w:rPr>
        <w:t>水溶液电解质，其电位窗口达到3V。</w:t>
      </w:r>
      <w:r>
        <w:rPr>
          <w:rFonts w:eastAsia="楷体" w:cs="Times New Roman" w:hint="eastAsia"/>
          <w:color w:val="auto"/>
          <w:sz w:val="24"/>
          <w:szCs w:val="24"/>
          <w:lang w:val="en-US" w:eastAsia="zh-CN"/>
        </w:rPr>
        <w:t>Ran等</w:t>
      </w:r>
      <w:r>
        <w:rPr>
          <w:rFonts w:eastAsia="楷体" w:cs="Times New Roman" w:hint="eastAsia"/>
          <w:color w:val="0000FF"/>
          <w:sz w:val="24"/>
          <w:szCs w:val="24"/>
          <w:vertAlign w:val="superscript"/>
          <w:lang w:val="en-US" w:eastAsia="zh-CN"/>
        </w:rPr>
        <w:t>[23]</w:t>
      </w:r>
      <w:r>
        <w:rPr>
          <w:rFonts w:ascii="Times New Roman" w:eastAsia="楷体" w:hAnsi="Times New Roman" w:cs="Times New Roman" w:hint="eastAsia"/>
          <w:color w:val="auto"/>
          <w:sz w:val="24"/>
          <w:szCs w:val="24"/>
          <w:lang w:val="en-US" w:eastAsia="zh-CN"/>
        </w:rPr>
        <w:t>将</w:t>
      </w:r>
      <w:r>
        <w:rPr>
          <w:rFonts w:eastAsia="楷体" w:cs="Times New Roman" w:hint="eastAsia"/>
          <w:color w:val="auto"/>
          <w:sz w:val="24"/>
          <w:szCs w:val="24"/>
          <w:lang w:val="en-US" w:eastAsia="zh-CN"/>
        </w:rPr>
        <w:t>聚丙烯酰胺掺入碱</w:t>
      </w:r>
      <w:r>
        <w:rPr>
          <w:rFonts w:ascii="Times New Roman" w:eastAsia="楷体" w:hAnsi="Times New Roman" w:cs="Times New Roman" w:hint="default"/>
          <w:color w:val="auto"/>
          <w:sz w:val="24"/>
          <w:szCs w:val="24"/>
          <w:lang w:val="en-US" w:eastAsia="zh-CN"/>
        </w:rPr>
        <w:t>激发矿渣体系中，使用两个rGO电极组装的结构超级电容器展现出卓越的储能性能，在1 mA/cm²的电流密度下具有最高的比电容285.35 F/g、2.48 Wh/kg的能量密度和59.54 W/kg的功率密度，并且在长期循环中具有良好的可逆性。</w:t>
      </w:r>
      <w:r>
        <w:rPr>
          <w:rFonts w:ascii="Times New Roman" w:eastAsia="楷体" w:hAnsi="Times New Roman" w:cs="Times New Roman" w:hint="eastAsia"/>
          <w:color w:val="auto"/>
          <w:sz w:val="24"/>
          <w:szCs w:val="24"/>
          <w:lang w:val="en-US" w:eastAsia="zh-CN"/>
        </w:rPr>
        <w:t>Hu等</w:t>
      </w:r>
      <w:r>
        <w:rPr>
          <w:rFonts w:eastAsia="楷体" w:cs="Times New Roman" w:hint="eastAsia"/>
          <w:color w:val="0000FF"/>
          <w:sz w:val="24"/>
          <w:szCs w:val="24"/>
          <w:vertAlign w:val="superscript"/>
          <w:lang w:val="en-US" w:eastAsia="zh-CN"/>
        </w:rPr>
        <w:t>[24]</w:t>
      </w:r>
      <w:r>
        <w:rPr>
          <w:rFonts w:ascii="Times New Roman" w:eastAsia="楷体" w:hAnsi="Times New Roman" w:cs="Times New Roman" w:hint="eastAsia"/>
          <w:color w:val="auto"/>
          <w:sz w:val="24"/>
          <w:szCs w:val="24"/>
          <w:lang w:val="en-US" w:eastAsia="zh-CN"/>
        </w:rPr>
        <w:t>将电容性纳米复合材料涂覆在可压缩、可拉伸的聚丙烯酸水凝胶电解质的两侧，可实现60%的应变能力，且不影响其电化学性能，能承受高达150%的拉伸应变，能有效为LED灯泡供电。李建栋等</w:t>
      </w:r>
      <w:r>
        <w:rPr>
          <w:rFonts w:eastAsia="楷体" w:cs="Times New Roman" w:hint="eastAsia"/>
          <w:color w:val="0000FF"/>
          <w:sz w:val="24"/>
          <w:szCs w:val="24"/>
          <w:vertAlign w:val="superscript"/>
          <w:lang w:val="en-US" w:eastAsia="zh-CN"/>
        </w:rPr>
        <w:t>[25]</w:t>
      </w:r>
      <w:r>
        <w:rPr>
          <w:rFonts w:ascii="Times New Roman" w:eastAsia="楷体" w:hAnsi="Times New Roman" w:cs="Times New Roman" w:hint="eastAsia"/>
          <w:color w:val="auto"/>
          <w:sz w:val="24"/>
          <w:szCs w:val="24"/>
          <w:lang w:val="en-US" w:eastAsia="zh-CN"/>
        </w:rPr>
        <w:t>选用1-丁基-3-甲基米唑溴化物</w:t>
      </w:r>
      <w:r>
        <w:rPr>
          <w:rFonts w:eastAsia="楷体" w:cs="Times New Roman" w:hint="eastAsia"/>
          <w:color w:val="auto"/>
          <w:sz w:val="24"/>
          <w:szCs w:val="24"/>
          <w:lang w:val="en-US" w:eastAsia="zh-CN"/>
        </w:rPr>
        <w:t>作为氧化还原活性添加剂，获得了高离子电导率的</w:t>
      </w:r>
      <w:r>
        <w:rPr>
          <w:rFonts w:ascii="Times New Roman" w:eastAsia="楷体" w:hAnsi="Times New Roman" w:cs="Times New Roman" w:hint="eastAsia"/>
          <w:color w:val="auto"/>
          <w:sz w:val="24"/>
          <w:szCs w:val="24"/>
          <w:lang w:val="en-US" w:eastAsia="zh-CN"/>
        </w:rPr>
        <w:t>水泥基电解质，当电流密度为</w:t>
      </w:r>
      <w:r>
        <w:rPr>
          <w:rFonts w:eastAsia="楷体" w:cs="Times New Roman" w:hint="eastAsia"/>
          <w:color w:val="auto"/>
          <w:sz w:val="24"/>
          <w:szCs w:val="24"/>
          <w:lang w:val="en-US" w:eastAsia="zh-CN"/>
        </w:rPr>
        <w:t xml:space="preserve">0.05 </w:t>
      </w:r>
      <w:r>
        <w:rPr>
          <w:rFonts w:ascii="Times New Roman" w:eastAsia="楷体" w:hAnsi="Times New Roman" w:cs="Times New Roman" w:hint="eastAsia"/>
          <w:color w:val="auto"/>
          <w:sz w:val="24"/>
          <w:szCs w:val="24"/>
          <w:lang w:val="en-US" w:eastAsia="zh-CN"/>
        </w:rPr>
        <w:t>A</w:t>
      </w:r>
      <w:r>
        <w:rPr>
          <w:rFonts w:ascii="Times New Roman" w:eastAsia="楷体" w:hAnsi="Times New Roman" w:cs="Times New Roman" w:hint="default"/>
          <w:color w:val="auto"/>
          <w:sz w:val="24"/>
          <w:szCs w:val="24"/>
          <w:lang w:val="en-US" w:eastAsia="zh-CN"/>
        </w:rPr>
        <w:t>·</w:t>
      </w:r>
      <w:r>
        <w:rPr>
          <w:rFonts w:ascii="Times New Roman" w:eastAsia="楷体" w:hAnsi="Times New Roman" w:cs="Times New Roman" w:hint="eastAsia"/>
          <w:color w:val="auto"/>
          <w:sz w:val="24"/>
          <w:szCs w:val="24"/>
          <w:lang w:val="en-US" w:eastAsia="zh-CN"/>
        </w:rPr>
        <w:t>g</w:t>
      </w:r>
      <w:r>
        <w:rPr>
          <w:rFonts w:eastAsia="楷体" w:cs="Times New Roman" w:hint="eastAsia"/>
          <w:color w:val="auto"/>
          <w:sz w:val="24"/>
          <w:szCs w:val="24"/>
          <w:vertAlign w:val="superscript"/>
          <w:lang w:val="en-US" w:eastAsia="zh-CN"/>
        </w:rPr>
        <w:t>-</w:t>
      </w:r>
      <w:r>
        <w:rPr>
          <w:rFonts w:ascii="Times New Roman" w:eastAsia="楷体" w:hAnsi="Times New Roman" w:cs="Times New Roman" w:hint="eastAsia"/>
          <w:color w:val="auto"/>
          <w:sz w:val="24"/>
          <w:szCs w:val="24"/>
          <w:vertAlign w:val="superscript"/>
          <w:lang w:val="en-US" w:eastAsia="zh-CN"/>
        </w:rPr>
        <w:t>1</w:t>
      </w:r>
      <w:r>
        <w:rPr>
          <w:rFonts w:ascii="Times New Roman" w:eastAsia="楷体" w:hAnsi="Times New Roman" w:cs="Times New Roman" w:hint="eastAsia"/>
          <w:color w:val="auto"/>
          <w:sz w:val="24"/>
          <w:szCs w:val="24"/>
          <w:lang w:val="en-US" w:eastAsia="zh-CN"/>
        </w:rPr>
        <w:t>时，结构超级电容器具有</w:t>
      </w:r>
      <w:r>
        <w:rPr>
          <w:rFonts w:ascii="Times New Roman" w:eastAsia="楷体" w:hAnsi="Times New Roman" w:cs="Times New Roman" w:hint="default"/>
          <w:color w:val="auto"/>
          <w:sz w:val="24"/>
          <w:szCs w:val="24"/>
          <w:lang w:val="en-US" w:eastAsia="zh-CN"/>
        </w:rPr>
        <w:t>20</w:t>
      </w:r>
      <w:r>
        <w:rPr>
          <w:rFonts w:ascii="Times New Roman" w:eastAsia="楷体" w:hAnsi="Times New Roman" w:cs="Times New Roman" w:hint="eastAsia"/>
          <w:color w:val="auto"/>
          <w:sz w:val="24"/>
          <w:szCs w:val="24"/>
          <w:lang w:val="en-US" w:eastAsia="zh-CN"/>
        </w:rPr>
        <w:t>.0</w:t>
      </w:r>
      <w:r>
        <w:rPr>
          <w:rFonts w:ascii="Times New Roman" w:eastAsia="楷体" w:hAnsi="Times New Roman" w:cs="Times New Roman" w:hint="default"/>
          <w:color w:val="auto"/>
          <w:sz w:val="24"/>
          <w:szCs w:val="24"/>
          <w:lang w:val="en-US" w:eastAsia="zh-CN"/>
        </w:rPr>
        <w:t>7 F·g</w:t>
      </w:r>
      <w:r>
        <w:rPr>
          <w:rFonts w:ascii="Times New Roman" w:eastAsia="楷体" w:hAnsi="Times New Roman" w:cs="Times New Roman" w:hint="default"/>
          <w:color w:val="auto"/>
          <w:sz w:val="24"/>
          <w:szCs w:val="24"/>
          <w:vertAlign w:val="superscript"/>
          <w:lang w:val="en-US" w:eastAsia="zh-CN"/>
        </w:rPr>
        <w:t>-1</w:t>
      </w:r>
      <w:r>
        <w:rPr>
          <w:rFonts w:ascii="Times New Roman" w:eastAsia="楷体" w:hAnsi="Times New Roman" w:cs="Times New Roman" w:hint="default"/>
          <w:color w:val="auto"/>
          <w:sz w:val="24"/>
          <w:szCs w:val="24"/>
          <w:lang w:val="en-US" w:eastAsia="zh-CN"/>
        </w:rPr>
        <w:t>的高比电容。恒定电流充放电循环1000次</w:t>
      </w:r>
      <w:r>
        <w:rPr>
          <w:rFonts w:eastAsia="楷体" w:cs="Times New Roman" w:hint="eastAsia"/>
          <w:color w:val="auto"/>
          <w:sz w:val="24"/>
          <w:szCs w:val="24"/>
          <w:lang w:val="en-US" w:eastAsia="zh-CN"/>
        </w:rPr>
        <w:t>后，电容保持率达到83.6%，库伦效率为97.56%，展现了良好的循环寿命。</w:t>
      </w:r>
      <w:r>
        <w:rPr>
          <w:rFonts w:eastAsia="楷体"/>
          <w:color w:val="auto"/>
          <w:sz w:val="24"/>
          <w:szCs w:val="24"/>
        </w:rPr>
        <w:t>Gunday</w:t>
      </w:r>
      <w:r>
        <w:rPr>
          <w:rFonts w:eastAsia="楷体" w:hint="eastAsia"/>
          <w:color w:val="auto"/>
          <w:sz w:val="24"/>
          <w:szCs w:val="24"/>
        </w:rPr>
        <w:t>等</w:t>
      </w:r>
      <w:r>
        <w:rPr>
          <w:rFonts w:eastAsia="楷体" w:cs="Times New Roman" w:hint="eastAsia"/>
          <w:color w:val="0000FF"/>
          <w:sz w:val="24"/>
          <w:szCs w:val="24"/>
          <w:vertAlign w:val="superscript"/>
          <w:lang w:val="en-US" w:eastAsia="zh-CN"/>
        </w:rPr>
        <w:t>[26]</w:t>
      </w:r>
      <w:r>
        <w:rPr>
          <w:rFonts w:eastAsia="楷体" w:hint="eastAsia"/>
          <w:color w:val="auto"/>
          <w:sz w:val="24"/>
          <w:szCs w:val="24"/>
        </w:rPr>
        <w:t>通过掺杂磷酸和离子液体制备的无水凝胶电解质显著提高了75</w:t>
      </w:r>
      <w:r>
        <w:rPr>
          <w:rFonts w:ascii="Times New Roman" w:eastAsia="楷体" w:hAnsi="Times New Roman" w:cs="Times New Roman" w:hint="default"/>
          <w:color w:val="auto"/>
          <w:sz w:val="24"/>
          <w:szCs w:val="24"/>
        </w:rPr>
        <w:t>℃</w:t>
      </w:r>
      <w:r>
        <w:rPr>
          <w:rFonts w:eastAsia="楷体" w:hint="eastAsia"/>
          <w:color w:val="auto"/>
          <w:sz w:val="24"/>
          <w:szCs w:val="24"/>
        </w:rPr>
        <w:t>以下超级电容器的电化学性能，在1A/g下具有271F/g的比电容，同时在2300次充放电循环后仍有90%的电容保持率</w:t>
      </w:r>
      <w:r>
        <w:rPr>
          <w:rFonts w:eastAsia="楷体" w:hint="eastAsia"/>
          <w:color w:val="auto"/>
          <w:sz w:val="24"/>
          <w:szCs w:val="24"/>
          <w:lang w:eastAsia="zh-CN"/>
        </w:rPr>
        <w:t>。</w:t>
      </w:r>
      <w:r>
        <w:rPr>
          <w:rFonts w:eastAsia="楷体" w:cs="Times New Roman" w:hint="eastAsia"/>
          <w:color w:val="auto"/>
          <w:sz w:val="24"/>
          <w:szCs w:val="24"/>
          <w:lang w:val="en-US" w:eastAsia="zh-CN"/>
        </w:rPr>
        <w:t>碳-水泥水化反应会产生一种类似分形的电子导电碳网络，其高倍率性能表现出自相似性，碳-水泥超级电容器的可用性、多功能性和可扩展性为设计多功能结构开辟了新领域</w:t>
      </w:r>
      <w:r>
        <w:rPr>
          <w:rFonts w:eastAsia="楷体" w:cs="Times New Roman" w:hint="eastAsia"/>
          <w:color w:val="0000FF"/>
          <w:sz w:val="24"/>
          <w:szCs w:val="24"/>
          <w:vertAlign w:val="superscript"/>
          <w:lang w:val="en-US" w:eastAsia="zh-CN"/>
        </w:rPr>
        <w:t>[27]</w:t>
      </w:r>
      <w:r>
        <w:rPr>
          <w:rFonts w:eastAsia="楷体" w:cs="Times New Roman" w:hint="eastAsia"/>
          <w:color w:val="auto"/>
          <w:sz w:val="24"/>
          <w:szCs w:val="24"/>
          <w:lang w:val="en-US" w:eastAsia="zh-CN"/>
        </w:rPr>
        <w:t>。Liu等</w:t>
      </w:r>
      <w:r>
        <w:rPr>
          <w:rFonts w:eastAsia="楷体" w:cs="Times New Roman" w:hint="eastAsia"/>
          <w:color w:val="0000FF"/>
          <w:sz w:val="24"/>
          <w:szCs w:val="24"/>
          <w:vertAlign w:val="superscript"/>
          <w:lang w:val="en-US" w:eastAsia="zh-CN"/>
        </w:rPr>
        <w:t>[17]</w:t>
      </w:r>
      <w:r>
        <w:rPr>
          <w:rFonts w:eastAsia="楷体" w:cs="Times New Roman" w:hint="eastAsia"/>
          <w:color w:val="auto"/>
          <w:sz w:val="24"/>
          <w:szCs w:val="24"/>
          <w:lang w:val="en-US" w:eastAsia="zh-CN"/>
        </w:rPr>
        <w:t>通过引入空气并利用ZnSO</w:t>
      </w:r>
      <w:r>
        <w:rPr>
          <w:rFonts w:eastAsia="楷体" w:cs="Times New Roman" w:hint="eastAsia"/>
          <w:color w:val="auto"/>
          <w:sz w:val="24"/>
          <w:szCs w:val="24"/>
          <w:vertAlign w:val="subscript"/>
          <w:lang w:val="en-US" w:eastAsia="zh-CN"/>
        </w:rPr>
        <w:t>4</w:t>
      </w:r>
      <w:r>
        <w:rPr>
          <w:rFonts w:eastAsia="楷体" w:cs="Times New Roman" w:hint="eastAsia"/>
          <w:color w:val="auto"/>
          <w:sz w:val="24"/>
          <w:szCs w:val="24"/>
          <w:lang w:val="en-US" w:eastAsia="zh-CN"/>
        </w:rPr>
        <w:t>电解质的副反应，设计出一种多尺度孔结构的气泡水泥砂浆，增强了离子导电性。</w:t>
      </w:r>
      <w:r>
        <w:rPr>
          <w:rFonts w:eastAsia="楷体" w:hint="eastAsia"/>
          <w:color w:val="auto"/>
          <w:sz w:val="24"/>
          <w:szCs w:val="24"/>
        </w:rPr>
        <w:t>超级电容器的工作电压取决于电解液在高电位作用下在电极表面的分解。电解液的电压范围越宽，超级电容器可以工作的电压范围就越大，而超级电容器的工作电压对其能量密度和功率密度具有显著影响。通过用有机电解质代替水性电解质，超级电容器的工作电压可以得到有效提高</w:t>
      </w:r>
      <w:r>
        <w:rPr>
          <w:rFonts w:eastAsia="楷体" w:cs="Times New Roman" w:hint="eastAsia"/>
          <w:color w:val="0000FF"/>
          <w:sz w:val="24"/>
          <w:szCs w:val="24"/>
          <w:vertAlign w:val="superscript"/>
          <w:lang w:val="en-US" w:eastAsia="zh-CN"/>
        </w:rPr>
        <w:t>[28]</w:t>
      </w:r>
      <w:r>
        <w:rPr>
          <w:rFonts w:eastAsia="楷体" w:hint="eastAsia"/>
          <w:sz w:val="24"/>
          <w:szCs w:val="24"/>
          <w:lang w:val="en-US" w:eastAsia="zh-CN"/>
        </w:rPr>
        <w:t>。</w:t>
      </w:r>
    </w:p>
    <w:p>
      <w:pPr>
        <w:keepNext w:val="0"/>
        <w:keepLines w:val="0"/>
        <w:pageBreakBefore w:val="0"/>
        <w:widowControl w:val="0"/>
        <w:kinsoku/>
        <w:overflowPunct/>
        <w:topLinePunct w:val="0"/>
        <w:autoSpaceDE/>
        <w:autoSpaceDN/>
        <w:bidi w:val="0"/>
        <w:adjustRightInd/>
        <w:snapToGrid/>
        <w:spacing w:line="440" w:lineRule="exact"/>
        <w:ind w:firstLine="480" w:leftChars="0" w:firstLineChars="200"/>
        <w:textAlignment w:val="auto"/>
        <w:rPr>
          <w:rFonts w:ascii="Times New Roman" w:eastAsia="楷体" w:hAnsi="Times New Roman" w:cs="Times New Roman" w:hint="default"/>
          <w:b w:val="0"/>
          <w:bCs w:val="0"/>
          <w:color w:val="auto"/>
          <w:sz w:val="24"/>
          <w:szCs w:val="24"/>
          <w:lang w:val="en-US" w:eastAsia="zh-CN"/>
        </w:rPr>
      </w:pPr>
      <w:r>
        <w:rPr>
          <w:rFonts w:eastAsia="楷体" w:cs="Times New Roman" w:hint="eastAsia"/>
          <w:color w:val="auto"/>
          <w:sz w:val="24"/>
          <w:szCs w:val="24"/>
          <w:lang w:val="en-US" w:eastAsia="zh-CN"/>
        </w:rPr>
        <w:t>综上所述：在提升结构超级电容器的性能方面，主要提升策略有五种：电解质材料优化、电极材料改进、结构设计创新、温度环境及引入导电材料</w:t>
      </w:r>
      <w:r>
        <w:rPr>
          <w:rFonts w:eastAsia="楷体" w:cs="Times New Roman" w:hint="eastAsia"/>
          <w:b w:val="0"/>
          <w:bCs w:val="0"/>
          <w:color w:val="auto"/>
          <w:sz w:val="24"/>
          <w:szCs w:val="24"/>
          <w:lang w:val="en-US" w:eastAsia="zh-CN"/>
        </w:rPr>
        <w:t>，更多的研究集中在添加导电材料。碱激发材料作为电解质体系的优化尚处于探索阶段。水、离子、孔隙结构、凝胶相等均影响碱激发材料的导电性能，因此，</w:t>
      </w:r>
      <w:r>
        <w:rPr>
          <w:rFonts w:eastAsia="楷体" w:cs="Times New Roman" w:hint="eastAsia"/>
          <w:b/>
          <w:bCs/>
          <w:color w:val="auto"/>
          <w:sz w:val="24"/>
          <w:szCs w:val="24"/>
          <w:lang w:val="en-US" w:eastAsia="zh-CN"/>
        </w:rPr>
        <w:t>厘清各因素对碱激发材料导电、离子传输和稳定性的影响，建立碱激发材料“组分-结构-性能”的定量关系模型，对提升碱激发材料超级电容器性能具有重要意义</w:t>
      </w:r>
      <w:r>
        <w:rPr>
          <w:rFonts w:eastAsia="楷体" w:cs="Times New Roman" w:hint="eastAsia"/>
          <w:b w:val="0"/>
          <w:bCs w:val="0"/>
          <w:color w:val="auto"/>
          <w:sz w:val="24"/>
          <w:szCs w:val="24"/>
          <w:lang w:val="en-US" w:eastAsia="zh-CN"/>
        </w:rPr>
        <w:t>。</w:t>
      </w:r>
    </w:p>
    <w:p>
      <w:pPr>
        <w:keepNext w:val="0"/>
        <w:keepLines w:val="0"/>
        <w:pageBreakBefore w:val="0"/>
        <w:widowControl w:val="0"/>
        <w:kinsoku/>
        <w:overflowPunct/>
        <w:topLinePunct w:val="0"/>
        <w:autoSpaceDE/>
        <w:autoSpaceDN/>
        <w:bidi w:val="0"/>
        <w:adjustRightInd/>
        <w:snapToGrid/>
        <w:spacing w:line="440" w:lineRule="exact"/>
        <w:ind w:firstLine="480" w:leftChars="0" w:firstLineChars="200"/>
        <w:textAlignment w:val="auto"/>
        <w:rPr>
          <w:rFonts w:ascii="Times New Roman" w:eastAsia="楷体" w:hAnsi="Times New Roman" w:cs="Times New Roman" w:hint="default"/>
          <w:color w:val="auto"/>
          <w:sz w:val="24"/>
          <w:szCs w:val="24"/>
          <w:lang w:val="en-US" w:eastAsia="zh-CN"/>
        </w:rPr>
      </w:pPr>
      <w:r>
        <w:rPr>
          <w:rFonts w:eastAsia="楷体" w:cs="Times New Roman" w:hint="eastAsia"/>
          <w:b/>
          <w:bCs/>
          <w:color w:val="auto"/>
          <w:sz w:val="24"/>
          <w:szCs w:val="24"/>
          <w:lang w:val="en-US" w:eastAsia="zh-CN"/>
        </w:rPr>
        <w:t>1.2当前研究存在的主要问题</w:t>
      </w:r>
    </w:p>
    <w:p>
      <w:pPr>
        <w:keepNext w:val="0"/>
        <w:keepLines w:val="0"/>
        <w:pageBreakBefore w:val="0"/>
        <w:widowControl w:val="0"/>
        <w:kinsoku/>
        <w:overflowPunct/>
        <w:topLinePunct w:val="0"/>
        <w:autoSpaceDE/>
        <w:autoSpaceDN/>
        <w:bidi w:val="0"/>
        <w:adjustRightInd/>
        <w:snapToGrid/>
        <w:spacing w:line="440" w:lineRule="exact"/>
        <w:ind w:firstLine="480" w:leftChars="0" w:firstLineChars="200"/>
        <w:textAlignment w:val="auto"/>
        <w:rPr>
          <w:rFonts w:ascii="Times New Roman" w:eastAsia="楷体" w:hAnsi="Times New Roman" w:cs="Times New Roman" w:hint="default"/>
          <w:color w:val="auto"/>
          <w:sz w:val="24"/>
          <w:szCs w:val="24"/>
          <w:lang w:val="en-US" w:eastAsia="zh-CN"/>
        </w:rPr>
      </w:pPr>
      <w:r>
        <w:rPr>
          <w:rFonts w:eastAsia="楷体" w:cs="Times New Roman" w:hint="eastAsia"/>
          <w:color w:val="auto"/>
          <w:sz w:val="24"/>
          <w:szCs w:val="24"/>
          <w:lang w:val="en-US" w:eastAsia="zh-CN"/>
        </w:rPr>
        <w:t>关于碱激发材料导电性能、结构超级电容器的研究，已取得了一些研究成果，但整体研究比较有限，存在以下主要问题：</w:t>
      </w:r>
    </w:p>
    <w:p>
      <w:pPr>
        <w:keepNext w:val="0"/>
        <w:keepLines w:val="0"/>
        <w:pageBreakBefore w:val="0"/>
        <w:widowControl w:val="0"/>
        <w:kinsoku/>
        <w:overflowPunct/>
        <w:topLinePunct w:val="0"/>
        <w:autoSpaceDE/>
        <w:autoSpaceDN/>
        <w:bidi w:val="0"/>
        <w:adjustRightInd/>
        <w:snapToGrid/>
        <w:spacing w:line="440" w:lineRule="exact"/>
        <w:ind w:firstLine="480" w:leftChars="0" w:firstLineChars="200"/>
        <w:textAlignment w:val="auto"/>
        <w:rPr>
          <w:rFonts w:ascii="Times New Roman" w:eastAsia="楷体" w:hAnsi="Times New Roman" w:cs="Times New Roman" w:hint="default"/>
          <w:color w:val="auto"/>
          <w:sz w:val="24"/>
          <w:szCs w:val="24"/>
          <w:lang w:val="en-US" w:eastAsia="zh-CN"/>
        </w:rPr>
      </w:pPr>
      <w:r>
        <w:rPr>
          <w:rFonts w:ascii="Times New Roman" w:eastAsia="楷体" w:hAnsi="Times New Roman" w:cs="Times New Roman" w:hint="default"/>
          <w:color w:val="auto"/>
          <w:sz w:val="24"/>
          <w:szCs w:val="24"/>
          <w:lang w:val="en-US" w:eastAsia="zh-CN"/>
        </w:rPr>
        <w:t>（1）</w:t>
      </w:r>
      <w:bookmarkStart w:id="67" w:name="OLE_LINK33"/>
      <w:r>
        <w:rPr>
          <w:rFonts w:ascii="Times New Roman" w:eastAsia="楷体" w:hAnsi="Times New Roman" w:cs="Times New Roman" w:hint="default"/>
          <w:color w:val="auto"/>
          <w:sz w:val="24"/>
          <w:szCs w:val="24"/>
          <w:lang w:val="en-US" w:eastAsia="zh-CN"/>
        </w:rPr>
        <w:t>与</w:t>
      </w:r>
      <w:r>
        <w:rPr>
          <w:rFonts w:eastAsia="楷体" w:cs="Times New Roman" w:hint="eastAsia"/>
          <w:color w:val="auto"/>
          <w:sz w:val="24"/>
          <w:szCs w:val="24"/>
          <w:lang w:val="en-US" w:eastAsia="zh-CN"/>
        </w:rPr>
        <w:t>传统</w:t>
      </w:r>
      <w:r>
        <w:rPr>
          <w:rFonts w:ascii="Times New Roman" w:eastAsia="楷体" w:hAnsi="Times New Roman" w:cs="Times New Roman" w:hint="default"/>
          <w:color w:val="auto"/>
          <w:sz w:val="24"/>
          <w:szCs w:val="24"/>
          <w:lang w:val="en-US" w:eastAsia="zh-CN"/>
        </w:rPr>
        <w:t>电池电解质</w:t>
      </w:r>
      <w:r>
        <w:rPr>
          <w:rFonts w:eastAsia="楷体" w:cs="Times New Roman" w:hint="eastAsia"/>
          <w:color w:val="auto"/>
          <w:sz w:val="24"/>
          <w:szCs w:val="24"/>
          <w:lang w:val="en-US" w:eastAsia="zh-CN"/>
        </w:rPr>
        <w:t>相比</w:t>
      </w:r>
      <w:r>
        <w:rPr>
          <w:rFonts w:ascii="Times New Roman" w:eastAsia="楷体" w:hAnsi="Times New Roman" w:cs="Times New Roman" w:hint="default"/>
          <w:color w:val="auto"/>
          <w:sz w:val="24"/>
          <w:szCs w:val="24"/>
          <w:lang w:val="en-US" w:eastAsia="zh-CN"/>
        </w:rPr>
        <w:t>，碱激发材料</w:t>
      </w:r>
      <w:r>
        <w:rPr>
          <w:rFonts w:eastAsia="楷体" w:cs="Times New Roman" w:hint="eastAsia"/>
          <w:color w:val="auto"/>
          <w:sz w:val="24"/>
          <w:szCs w:val="24"/>
          <w:lang w:val="en-US" w:eastAsia="zh-CN"/>
        </w:rPr>
        <w:t>作为电解质的性能</w:t>
      </w:r>
      <w:r>
        <w:rPr>
          <w:rFonts w:ascii="Times New Roman" w:eastAsia="楷体" w:hAnsi="Times New Roman" w:cs="Times New Roman" w:hint="default"/>
          <w:color w:val="auto"/>
          <w:sz w:val="24"/>
          <w:szCs w:val="24"/>
          <w:lang w:val="en-US" w:eastAsia="zh-CN"/>
        </w:rPr>
        <w:t>受养护龄期和环境作用的</w:t>
      </w:r>
      <w:r>
        <w:rPr>
          <w:rFonts w:eastAsia="楷体" w:cs="Times New Roman" w:hint="eastAsia"/>
          <w:color w:val="auto"/>
          <w:sz w:val="24"/>
          <w:szCs w:val="24"/>
          <w:lang w:val="en-US" w:eastAsia="zh-CN"/>
        </w:rPr>
        <w:t>调控更显著</w:t>
      </w:r>
      <w:r>
        <w:rPr>
          <w:rFonts w:ascii="Times New Roman" w:eastAsia="楷体" w:hAnsi="Times New Roman" w:cs="Times New Roman" w:hint="default"/>
          <w:color w:val="auto"/>
          <w:sz w:val="24"/>
          <w:szCs w:val="24"/>
          <w:lang w:val="en-US" w:eastAsia="zh-CN"/>
        </w:rPr>
        <w:t>，</w:t>
      </w:r>
      <w:r>
        <w:rPr>
          <w:rFonts w:eastAsia="楷体" w:cs="Times New Roman" w:hint="eastAsia"/>
          <w:color w:val="auto"/>
          <w:sz w:val="24"/>
          <w:szCs w:val="24"/>
          <w:lang w:val="en-US" w:eastAsia="zh-CN"/>
        </w:rPr>
        <w:t>其</w:t>
      </w:r>
      <w:r>
        <w:rPr>
          <w:rFonts w:ascii="Times New Roman" w:eastAsia="楷体" w:hAnsi="Times New Roman" w:cs="Times New Roman" w:hint="default"/>
          <w:color w:val="auto"/>
          <w:sz w:val="24"/>
          <w:szCs w:val="24"/>
          <w:lang w:val="en-US" w:eastAsia="zh-CN"/>
        </w:rPr>
        <w:t>水化产物</w:t>
      </w:r>
      <w:r>
        <w:rPr>
          <w:rFonts w:eastAsia="楷体" w:cs="Times New Roman" w:hint="eastAsia"/>
          <w:color w:val="auto"/>
          <w:sz w:val="24"/>
          <w:szCs w:val="24"/>
          <w:lang w:val="en-US" w:eastAsia="zh-CN"/>
        </w:rPr>
        <w:t>的组成</w:t>
      </w:r>
      <w:r>
        <w:rPr>
          <w:rFonts w:ascii="Times New Roman" w:eastAsia="楷体" w:hAnsi="Times New Roman" w:cs="Times New Roman" w:hint="default"/>
          <w:color w:val="auto"/>
          <w:sz w:val="24"/>
          <w:szCs w:val="24"/>
          <w:lang w:val="en-US" w:eastAsia="zh-CN"/>
        </w:rPr>
        <w:t>、</w:t>
      </w:r>
      <w:r>
        <w:rPr>
          <w:rFonts w:eastAsia="楷体" w:cs="Times New Roman" w:hint="eastAsia"/>
          <w:color w:val="auto"/>
          <w:sz w:val="24"/>
          <w:szCs w:val="24"/>
          <w:lang w:val="en-US" w:eastAsia="zh-CN"/>
        </w:rPr>
        <w:t>多尺度</w:t>
      </w:r>
      <w:r>
        <w:rPr>
          <w:rFonts w:ascii="Times New Roman" w:eastAsia="楷体" w:hAnsi="Times New Roman" w:cs="Times New Roman" w:hint="default"/>
          <w:color w:val="auto"/>
          <w:sz w:val="24"/>
          <w:szCs w:val="24"/>
          <w:lang w:val="en-US" w:eastAsia="zh-CN"/>
        </w:rPr>
        <w:t>孔隙结构</w:t>
      </w:r>
      <w:r>
        <w:rPr>
          <w:rFonts w:eastAsia="楷体" w:cs="Times New Roman" w:hint="eastAsia"/>
          <w:color w:val="auto"/>
          <w:sz w:val="24"/>
          <w:szCs w:val="24"/>
          <w:lang w:val="en-US" w:eastAsia="zh-CN"/>
        </w:rPr>
        <w:t>的演化以及</w:t>
      </w:r>
      <w:r>
        <w:rPr>
          <w:rFonts w:ascii="Times New Roman" w:eastAsia="楷体" w:hAnsi="Times New Roman" w:cs="Times New Roman" w:hint="default"/>
          <w:color w:val="auto"/>
          <w:sz w:val="24"/>
          <w:szCs w:val="24"/>
          <w:lang w:val="en-US" w:eastAsia="zh-CN"/>
        </w:rPr>
        <w:t>水-离子浓度等</w:t>
      </w:r>
      <w:r>
        <w:rPr>
          <w:rFonts w:eastAsia="楷体" w:cs="Times New Roman" w:hint="eastAsia"/>
          <w:color w:val="auto"/>
          <w:sz w:val="24"/>
          <w:szCs w:val="24"/>
          <w:lang w:val="en-US" w:eastAsia="zh-CN"/>
        </w:rPr>
        <w:t>均发生复杂变化</w:t>
      </w:r>
      <w:r>
        <w:rPr>
          <w:rFonts w:ascii="Times New Roman" w:eastAsia="楷体" w:hAnsi="Times New Roman" w:cs="Times New Roman" w:hint="default"/>
          <w:color w:val="auto"/>
          <w:sz w:val="24"/>
          <w:szCs w:val="24"/>
          <w:lang w:val="en-US" w:eastAsia="zh-CN"/>
        </w:rPr>
        <w:t>。</w:t>
      </w:r>
      <w:r>
        <w:rPr>
          <w:rFonts w:ascii="Times New Roman" w:eastAsia="楷体" w:hAnsi="Times New Roman" w:cs="Times New Roman" w:hint="default"/>
          <w:b/>
          <w:bCs/>
          <w:color w:val="auto"/>
          <w:sz w:val="24"/>
          <w:szCs w:val="24"/>
          <w:lang w:val="en-US" w:eastAsia="zh-CN"/>
        </w:rPr>
        <w:t>所以，系统开展水量分配、离子浓度、多尺度孔隙结构特征和凝胶相类型等对碱激发材料超级电容器储能特性的影响</w:t>
      </w:r>
      <w:r>
        <w:rPr>
          <w:rFonts w:eastAsia="楷体" w:cs="Times New Roman" w:hint="eastAsia"/>
          <w:b/>
          <w:bCs/>
          <w:color w:val="auto"/>
          <w:sz w:val="24"/>
          <w:szCs w:val="24"/>
          <w:lang w:val="en-US" w:eastAsia="zh-CN"/>
        </w:rPr>
        <w:t>研究</w:t>
      </w:r>
      <w:r>
        <w:rPr>
          <w:rFonts w:ascii="Times New Roman" w:eastAsia="楷体" w:hAnsi="Times New Roman" w:cs="Times New Roman" w:hint="default"/>
          <w:b/>
          <w:bCs/>
          <w:color w:val="auto"/>
          <w:sz w:val="24"/>
          <w:szCs w:val="24"/>
          <w:lang w:val="en-US" w:eastAsia="zh-CN"/>
        </w:rPr>
        <w:t>，对提升</w:t>
      </w:r>
      <w:r>
        <w:rPr>
          <w:rFonts w:eastAsia="楷体" w:cs="Times New Roman" w:hint="eastAsia"/>
          <w:b/>
          <w:bCs/>
          <w:color w:val="auto"/>
          <w:sz w:val="24"/>
          <w:szCs w:val="24"/>
          <w:lang w:val="en-US" w:eastAsia="zh-CN"/>
        </w:rPr>
        <w:t>碱激发材料电解质性能</w:t>
      </w:r>
      <w:r>
        <w:rPr>
          <w:rFonts w:ascii="Times New Roman" w:eastAsia="楷体" w:hAnsi="Times New Roman" w:cs="Times New Roman" w:hint="default"/>
          <w:b/>
          <w:bCs/>
          <w:color w:val="auto"/>
          <w:sz w:val="24"/>
          <w:szCs w:val="24"/>
          <w:lang w:val="en-US" w:eastAsia="zh-CN"/>
        </w:rPr>
        <w:t>具有重要指导意义。</w:t>
      </w:r>
      <w:bookmarkEnd w:id="67"/>
    </w:p>
    <w:p>
      <w:pPr>
        <w:keepNext w:val="0"/>
        <w:keepLines w:val="0"/>
        <w:pageBreakBefore w:val="0"/>
        <w:widowControl w:val="0"/>
        <w:numPr>
          <w:ilvl w:val="0"/>
          <w:numId w:val="0"/>
        </w:numPr>
        <w:kinsoku/>
        <w:overflowPunct/>
        <w:topLinePunct w:val="0"/>
        <w:autoSpaceDE/>
        <w:autoSpaceDN/>
        <w:bidi w:val="0"/>
        <w:adjustRightInd/>
        <w:snapToGrid/>
        <w:spacing w:line="440" w:lineRule="exact"/>
        <w:ind w:firstLine="480" w:leftChars="0" w:firstLineChars="200"/>
        <w:textAlignment w:val="auto"/>
        <w:rPr>
          <w:rFonts w:ascii="Times New Roman" w:eastAsia="楷体" w:hAnsi="Times New Roman" w:cs="Times New Roman" w:hint="default"/>
          <w:color w:val="auto"/>
          <w:sz w:val="24"/>
          <w:szCs w:val="24"/>
          <w:lang w:val="en-US" w:eastAsia="zh-CN"/>
        </w:rPr>
      </w:pPr>
      <w:r>
        <w:rPr>
          <w:rFonts w:eastAsia="楷体" w:cs="Times New Roman" w:hint="eastAsia"/>
          <w:color w:val="auto"/>
          <w:sz w:val="24"/>
          <w:szCs w:val="24"/>
          <w:lang w:val="en-US" w:eastAsia="zh-CN"/>
        </w:rPr>
        <w:t>（2）</w:t>
      </w:r>
      <w:r>
        <w:rPr>
          <w:rFonts w:ascii="Times New Roman" w:eastAsia="楷体" w:hAnsi="Times New Roman" w:cs="Times New Roman" w:hint="default"/>
          <w:color w:val="auto"/>
          <w:sz w:val="24"/>
          <w:szCs w:val="24"/>
          <w:lang w:val="en-US" w:eastAsia="zh-CN"/>
        </w:rPr>
        <w:t>水泥基全固态结构电解质无法快速为电极提供足够的离子传导相，储能能力</w:t>
      </w:r>
      <w:r>
        <w:rPr>
          <w:rFonts w:eastAsia="楷体" w:cs="Times New Roman" w:hint="eastAsia"/>
          <w:color w:val="auto"/>
          <w:sz w:val="24"/>
          <w:szCs w:val="24"/>
          <w:lang w:val="en-US" w:eastAsia="zh-CN"/>
        </w:rPr>
        <w:t>很弱</w:t>
      </w:r>
      <w:r>
        <w:rPr>
          <w:rFonts w:ascii="Times New Roman" w:eastAsia="楷体" w:hAnsi="Times New Roman" w:cs="Times New Roman" w:hint="default"/>
          <w:color w:val="auto"/>
          <w:sz w:val="24"/>
          <w:szCs w:val="24"/>
          <w:lang w:val="en-US" w:eastAsia="zh-CN"/>
        </w:rPr>
        <w:t>。然而，碱激发材料制备过程掺入额外的</w:t>
      </w:r>
      <w:r>
        <w:rPr>
          <w:rFonts w:eastAsia="楷体" w:cs="Times New Roman" w:hint="eastAsia"/>
          <w:color w:val="auto"/>
          <w:sz w:val="24"/>
          <w:szCs w:val="24"/>
          <w:lang w:val="en-US" w:eastAsia="zh-CN"/>
        </w:rPr>
        <w:t>强碱或弱碱盐</w:t>
      </w:r>
      <w:r>
        <w:rPr>
          <w:rFonts w:ascii="Times New Roman" w:eastAsia="楷体" w:hAnsi="Times New Roman" w:cs="Times New Roman" w:hint="default"/>
          <w:color w:val="auto"/>
          <w:sz w:val="24"/>
          <w:szCs w:val="24"/>
          <w:lang w:val="en-US" w:eastAsia="zh-CN"/>
        </w:rPr>
        <w:t>，溶液自身为水溶性离子导电相。</w:t>
      </w:r>
      <w:r>
        <w:rPr>
          <w:rFonts w:eastAsia="楷体" w:cs="Times New Roman" w:hint="eastAsia"/>
          <w:color w:val="auto"/>
          <w:sz w:val="24"/>
          <w:szCs w:val="24"/>
          <w:lang w:val="en-US" w:eastAsia="zh-CN"/>
        </w:rPr>
        <w:t>理论上，碱激发材料更适宜作电解质材料，近两年才引起学界关注</w:t>
      </w:r>
      <w:r>
        <w:rPr>
          <w:rFonts w:ascii="Times New Roman" w:eastAsia="楷体" w:hAnsi="Times New Roman" w:cs="Times New Roman" w:hint="default"/>
          <w:color w:val="auto"/>
          <w:sz w:val="24"/>
          <w:szCs w:val="24"/>
          <w:lang w:val="en-US" w:eastAsia="zh-CN"/>
        </w:rPr>
        <w:t>。</w:t>
      </w:r>
      <w:r>
        <w:rPr>
          <w:rFonts w:ascii="Times New Roman" w:eastAsia="楷体" w:hAnsi="Times New Roman" w:cs="Times New Roman" w:hint="default"/>
          <w:b/>
          <w:bCs/>
          <w:color w:val="auto"/>
          <w:sz w:val="24"/>
          <w:szCs w:val="24"/>
          <w:lang w:val="en-US" w:eastAsia="zh-CN"/>
        </w:rPr>
        <w:t>所以，系统开展碱激发材料超级电容器制备和储能</w:t>
      </w:r>
      <w:r>
        <w:rPr>
          <w:rFonts w:eastAsia="楷体" w:cs="Times New Roman" w:hint="eastAsia"/>
          <w:b/>
          <w:bCs/>
          <w:color w:val="auto"/>
          <w:sz w:val="24"/>
          <w:szCs w:val="24"/>
          <w:lang w:val="en-US" w:eastAsia="zh-CN"/>
        </w:rPr>
        <w:t>性能的</w:t>
      </w:r>
      <w:r>
        <w:rPr>
          <w:rFonts w:ascii="Times New Roman" w:eastAsia="楷体" w:hAnsi="Times New Roman" w:cs="Times New Roman" w:hint="default"/>
          <w:b/>
          <w:bCs/>
          <w:color w:val="auto"/>
          <w:sz w:val="24"/>
          <w:szCs w:val="24"/>
          <w:lang w:val="en-US" w:eastAsia="zh-CN"/>
        </w:rPr>
        <w:t>研究</w:t>
      </w:r>
      <w:r>
        <w:rPr>
          <w:rFonts w:eastAsia="楷体" w:cs="Times New Roman" w:hint="eastAsia"/>
          <w:b/>
          <w:bCs/>
          <w:color w:val="auto"/>
          <w:sz w:val="24"/>
          <w:szCs w:val="24"/>
          <w:lang w:val="en-US" w:eastAsia="zh-CN"/>
        </w:rPr>
        <w:t>，对拓展碱激发材料作为储能材料应用领域</w:t>
      </w:r>
      <w:r>
        <w:rPr>
          <w:rFonts w:ascii="Times New Roman" w:eastAsia="楷体" w:hAnsi="Times New Roman" w:cs="Times New Roman" w:hint="default"/>
          <w:b/>
          <w:bCs/>
          <w:color w:val="auto"/>
          <w:sz w:val="24"/>
          <w:szCs w:val="24"/>
          <w:lang w:val="en-US" w:eastAsia="zh-CN"/>
        </w:rPr>
        <w:t>具有重要意义。</w:t>
      </w:r>
    </w:p>
    <w:p>
      <w:pPr>
        <w:keepNext w:val="0"/>
        <w:keepLines w:val="0"/>
        <w:pageBreakBefore w:val="0"/>
        <w:widowControl w:val="0"/>
        <w:numPr>
          <w:ilvl w:val="0"/>
          <w:numId w:val="0"/>
        </w:numPr>
        <w:kinsoku/>
        <w:overflowPunct/>
        <w:topLinePunct w:val="0"/>
        <w:autoSpaceDE/>
        <w:autoSpaceDN/>
        <w:bidi w:val="0"/>
        <w:adjustRightInd/>
        <w:snapToGrid/>
        <w:spacing w:line="440" w:lineRule="exact"/>
        <w:ind w:firstLine="480" w:leftChars="0" w:firstLineChars="200"/>
        <w:textAlignment w:val="auto"/>
        <w:rPr>
          <w:rFonts w:ascii="Times New Roman" w:eastAsia="楷体" w:hAnsi="Times New Roman" w:cs="Times New Roman" w:hint="default"/>
          <w:color w:val="auto"/>
          <w:sz w:val="24"/>
          <w:szCs w:val="24"/>
          <w:lang w:val="en-US" w:eastAsia="zh-CN"/>
        </w:rPr>
      </w:pPr>
      <w:r>
        <w:rPr>
          <w:rFonts w:eastAsia="楷体" w:cs="Times New Roman" w:hint="eastAsia"/>
          <w:color w:val="auto"/>
          <w:sz w:val="24"/>
          <w:szCs w:val="24"/>
          <w:lang w:val="en-US" w:eastAsia="zh-CN"/>
        </w:rPr>
        <w:t>（3）</w:t>
      </w:r>
      <w:bookmarkStart w:id="68" w:name="OLE_LINK31"/>
      <w:r>
        <w:rPr>
          <w:rFonts w:ascii="Times New Roman" w:eastAsia="楷体" w:hAnsi="Times New Roman" w:cs="Times New Roman" w:hint="default"/>
          <w:color w:val="auto"/>
          <w:sz w:val="24"/>
          <w:szCs w:val="24"/>
          <w:lang w:val="en-US" w:eastAsia="zh-CN"/>
        </w:rPr>
        <w:t>碱激发材料的实际使用过程处于受荷载状态，受荷会导致碱激发材料内部的微观结构发生变化，从而影响离子传导通道的形成和离子的迁移速率</w:t>
      </w:r>
      <w:r>
        <w:rPr>
          <w:rFonts w:eastAsia="楷体" w:cs="Times New Roman" w:hint="eastAsia"/>
          <w:color w:val="auto"/>
          <w:sz w:val="24"/>
          <w:szCs w:val="24"/>
          <w:lang w:val="en-US" w:eastAsia="zh-CN"/>
        </w:rPr>
        <w:t>，</w:t>
      </w:r>
      <w:r>
        <w:rPr>
          <w:rFonts w:ascii="Times New Roman" w:eastAsia="楷体" w:hAnsi="Times New Roman" w:cs="Times New Roman" w:hint="default"/>
          <w:color w:val="auto"/>
          <w:sz w:val="24"/>
          <w:szCs w:val="24"/>
          <w:lang w:val="en-US" w:eastAsia="zh-CN"/>
        </w:rPr>
        <w:t>将直接影响超级电容器的电荷存储和释放能力。</w:t>
      </w:r>
      <w:r>
        <w:rPr>
          <w:rFonts w:ascii="Times New Roman" w:eastAsia="楷体" w:hAnsi="Times New Roman" w:cs="Times New Roman" w:hint="default"/>
          <w:b/>
          <w:bCs/>
          <w:color w:val="auto"/>
          <w:sz w:val="24"/>
          <w:szCs w:val="24"/>
          <w:lang w:val="en-US" w:eastAsia="zh-CN"/>
        </w:rPr>
        <w:t>所以，研究受荷状态下碱激发超级电容器的性能表现，评价其结构稳定性和性能变化，对指导碱激发材料超级电容器在不同领域的受力场景具有重要意义。</w:t>
      </w:r>
      <w:bookmarkEnd w:id="68"/>
    </w:p>
    <w:p>
      <w:pPr>
        <w:keepNext w:val="0"/>
        <w:keepLines w:val="0"/>
        <w:pageBreakBefore w:val="0"/>
        <w:widowControl w:val="0"/>
        <w:numPr>
          <w:ilvl w:val="0"/>
          <w:numId w:val="0"/>
        </w:numPr>
        <w:kinsoku/>
        <w:overflowPunct/>
        <w:topLinePunct w:val="0"/>
        <w:autoSpaceDE/>
        <w:autoSpaceDN/>
        <w:bidi w:val="0"/>
        <w:adjustRightInd/>
        <w:snapToGrid/>
        <w:spacing w:line="440" w:lineRule="exact"/>
        <w:ind w:firstLine="480" w:leftChars="0" w:firstLineChars="200"/>
        <w:textAlignment w:val="auto"/>
        <w:rPr>
          <w:rFonts w:hint="default"/>
          <w:b/>
          <w:bCs/>
          <w:color w:val="auto"/>
          <w:lang w:val="en-US"/>
        </w:rPr>
      </w:pPr>
      <w:r>
        <w:rPr>
          <w:rFonts w:eastAsia="楷体" w:cs="Times New Roman" w:hint="eastAsia"/>
          <w:color w:val="auto"/>
          <w:sz w:val="24"/>
          <w:szCs w:val="24"/>
          <w:lang w:val="en-US" w:eastAsia="zh-CN"/>
        </w:rPr>
        <w:t>（4）</w:t>
      </w:r>
      <w:bookmarkStart w:id="69" w:name="OLE_LINK32"/>
      <w:r>
        <w:rPr>
          <w:rFonts w:eastAsia="楷体" w:cs="Times New Roman" w:hint="eastAsia"/>
          <w:color w:val="auto"/>
          <w:sz w:val="24"/>
          <w:szCs w:val="24"/>
          <w:lang w:val="en-US" w:eastAsia="zh-CN"/>
        </w:rPr>
        <w:t>碱激发材料作为承重或非承重结构，服役周期长，</w:t>
      </w:r>
      <w:bookmarkEnd w:id="69"/>
      <w:r>
        <w:rPr>
          <w:rFonts w:eastAsia="楷体" w:cs="Times New Roman" w:hint="eastAsia"/>
          <w:color w:val="auto"/>
          <w:sz w:val="24"/>
          <w:szCs w:val="24"/>
          <w:lang w:val="en-US" w:eastAsia="zh-CN"/>
        </w:rPr>
        <w:t>建筑结构的难以替换性使得碱激发材料电解质性能衰减成为制约工程化应用的关键瓶颈，这对内置超级电容器的电化学性能稳定性提出了严苛要求。</w:t>
      </w:r>
      <w:r>
        <w:rPr>
          <w:rFonts w:eastAsia="楷体" w:cs="Times New Roman" w:hint="eastAsia"/>
          <w:b/>
          <w:bCs/>
          <w:color w:val="auto"/>
          <w:sz w:val="24"/>
          <w:szCs w:val="24"/>
          <w:lang w:val="en-US" w:eastAsia="zh-CN"/>
        </w:rPr>
        <w:t>所以，开展碱激发材料超级电容器的长期稳定性研究，揭示其长时间充放电衰减机理，提升电化学持久稳定具有重要意义。</w:t>
      </w:r>
    </w:p>
    <w:p>
      <w:pPr>
        <w:keepNext w:val="0"/>
        <w:keepLines w:val="0"/>
        <w:pageBreakBefore w:val="0"/>
        <w:widowControl w:val="0"/>
        <w:kinsoku/>
        <w:wordWrap w:val="0"/>
        <w:overflowPunct/>
        <w:topLinePunct w:val="0"/>
        <w:autoSpaceDE/>
        <w:autoSpaceDN/>
        <w:bidi w:val="0"/>
        <w:adjustRightInd/>
        <w:snapToGrid/>
        <w:spacing w:line="440" w:lineRule="exact"/>
        <w:ind w:firstLine="480" w:leftChars="0" w:firstLineChars="200"/>
        <w:textAlignment w:val="auto"/>
        <w:rPr>
          <w:rFonts w:ascii="楷体" w:eastAsia="楷体" w:hAnsi="楷体" w:cs="楷体"/>
          <w:color w:val="auto"/>
        </w:rPr>
      </w:pPr>
      <w:r>
        <w:rPr>
          <w:rFonts w:eastAsia="楷体" w:cs="Times New Roman" w:hint="eastAsia"/>
          <w:color w:val="auto"/>
          <w:sz w:val="24"/>
          <w:szCs w:val="24"/>
          <w:lang w:val="en-US" w:eastAsia="zh-CN"/>
        </w:rPr>
        <w:t>针对以上研究存在的问题，以现有的研究进展状态为起点，结合常规和先进试验测试技术、理论和机理分析、模型建立等研究方法，系统开展碱激发粉煤灰-矿渣电解质材料导电性能研究；制备碱激发材料超级电容器，开展碱激发材料超级电容器电化学性能评价和长期稳定性研究，深入揭示碱激发电容器的储能机理和长期充放电失效机理</w:t>
      </w:r>
      <w:r>
        <w:rPr>
          <w:rFonts w:eastAsia="楷体" w:cs="Times New Roman" w:hint="eastAsia"/>
          <w:i w:val="0"/>
          <w:iCs w:val="0"/>
          <w:caps w:val="0"/>
          <w:color w:val="auto"/>
          <w:spacing w:val="0"/>
          <w:sz w:val="24"/>
          <w:szCs w:val="24"/>
          <w:shd w:val="clear" w:color="auto" w:fill="FFFFFF"/>
          <w:lang w:val="en-US" w:eastAsia="zh-CN"/>
        </w:rPr>
        <w:t>。系统给出提升碱激发材料超级电容器性能的优化方案。</w:t>
      </w:r>
      <w:bookmarkStart w:id="70" w:name="OLE_LINK30"/>
      <w:r>
        <w:rPr>
          <w:rFonts w:eastAsia="楷体" w:hint="eastAsia"/>
          <w:b/>
          <w:bCs/>
          <w:color w:val="auto"/>
          <w:sz w:val="24"/>
          <w:lang w:val="en-US" w:eastAsia="zh-CN"/>
        </w:rPr>
        <w:t>本研究属于土木工程材料与材料科学和化学交叉研究前沿课题，</w:t>
      </w:r>
      <w:r>
        <w:rPr>
          <w:rFonts w:eastAsia="楷体" w:cs="Times New Roman" w:hint="eastAsia"/>
          <w:b/>
          <w:bCs/>
          <w:i w:val="0"/>
          <w:iCs w:val="0"/>
          <w:caps w:val="0"/>
          <w:color w:val="auto"/>
          <w:spacing w:val="0"/>
          <w:sz w:val="24"/>
          <w:szCs w:val="24"/>
          <w:shd w:val="clear" w:color="auto" w:fill="FFFFFF"/>
          <w:lang w:val="en-US" w:eastAsia="zh-CN"/>
        </w:rPr>
        <w:t>创新性地将碱激发材料拓展至电化学储能领域，</w:t>
      </w:r>
      <w:r>
        <w:rPr>
          <w:rFonts w:eastAsia="楷体" w:hint="eastAsia"/>
          <w:b/>
          <w:bCs/>
          <w:color w:val="auto"/>
          <w:sz w:val="24"/>
          <w:lang w:val="en-US" w:eastAsia="zh-CN"/>
        </w:rPr>
        <w:t>研究成果不仅</w:t>
      </w:r>
      <w:r>
        <w:rPr>
          <w:rFonts w:eastAsia="楷体"/>
          <w:b/>
          <w:bCs/>
          <w:color w:val="auto"/>
          <w:sz w:val="24"/>
        </w:rPr>
        <w:t>为其作为</w:t>
      </w:r>
      <w:r>
        <w:rPr>
          <w:rFonts w:eastAsia="楷体" w:hint="eastAsia"/>
          <w:b/>
          <w:bCs/>
          <w:color w:val="auto"/>
          <w:sz w:val="24"/>
          <w:lang w:val="en-US" w:eastAsia="zh-CN"/>
        </w:rPr>
        <w:t>储能</w:t>
      </w:r>
      <w:r>
        <w:rPr>
          <w:rFonts w:eastAsia="楷体"/>
          <w:b/>
          <w:bCs/>
          <w:color w:val="auto"/>
          <w:sz w:val="24"/>
        </w:rPr>
        <w:t>材料</w:t>
      </w:r>
      <w:r>
        <w:rPr>
          <w:rFonts w:eastAsia="楷体" w:hint="eastAsia"/>
          <w:b/>
          <w:bCs/>
          <w:color w:val="auto"/>
          <w:sz w:val="24"/>
          <w:lang w:eastAsia="zh-CN"/>
        </w:rPr>
        <w:t>的</w:t>
      </w:r>
      <w:r>
        <w:rPr>
          <w:rFonts w:eastAsia="楷体"/>
          <w:b/>
          <w:bCs/>
          <w:color w:val="auto"/>
          <w:sz w:val="24"/>
        </w:rPr>
        <w:t>工程</w:t>
      </w:r>
      <w:r>
        <w:rPr>
          <w:rFonts w:eastAsia="楷体" w:hint="eastAsia"/>
          <w:b/>
          <w:bCs/>
          <w:color w:val="auto"/>
          <w:sz w:val="24"/>
          <w:lang w:val="en-US" w:eastAsia="zh-CN"/>
        </w:rPr>
        <w:t>化</w:t>
      </w:r>
      <w:r>
        <w:rPr>
          <w:rFonts w:eastAsia="楷体"/>
          <w:b/>
          <w:bCs/>
          <w:color w:val="auto"/>
          <w:sz w:val="24"/>
        </w:rPr>
        <w:t>应用提供理论</w:t>
      </w:r>
      <w:r>
        <w:rPr>
          <w:rFonts w:eastAsia="楷体" w:hint="eastAsia"/>
          <w:b/>
          <w:bCs/>
          <w:color w:val="auto"/>
          <w:sz w:val="24"/>
          <w:lang w:val="en-US" w:eastAsia="zh-CN"/>
        </w:rPr>
        <w:t>支撑</w:t>
      </w:r>
      <w:r>
        <w:rPr>
          <w:rFonts w:eastAsia="楷体" w:hint="eastAsia"/>
          <w:b/>
          <w:bCs/>
          <w:color w:val="auto"/>
          <w:sz w:val="24"/>
          <w:lang w:eastAsia="zh-CN"/>
        </w:rPr>
        <w:t>，</w:t>
      </w:r>
      <w:r>
        <w:rPr>
          <w:rFonts w:eastAsia="楷体" w:hint="eastAsia"/>
          <w:b/>
          <w:bCs/>
          <w:color w:val="auto"/>
          <w:sz w:val="24"/>
          <w:lang w:val="en-US" w:eastAsia="zh-CN"/>
        </w:rPr>
        <w:t>同时也为促进碱激发材料的跨领域创新应用开辟新视角。</w:t>
      </w:r>
      <w:bookmarkEnd w:id="70"/>
    </w:p>
    <w:p>
      <w:pPr>
        <w:numPr>
          <w:ilvl w:val="255"/>
          <w:numId w:val="0"/>
        </w:numPr>
        <w:wordWrap w:val="0"/>
        <w:spacing w:line="440" w:lineRule="exact"/>
        <w:ind w:firstLine="560" w:firstLineChars="200"/>
        <w:rPr>
          <w:rFonts w:ascii="楷体" w:eastAsia="楷体" w:hAnsi="楷体" w:cs="楷体"/>
          <w:color w:val="auto"/>
        </w:rPr>
      </w:pPr>
      <w:r>
        <w:rPr>
          <w:rFonts w:ascii="楷体" w:eastAsia="楷体" w:hAnsi="楷体" w:cs="楷体" w:hint="eastAsia"/>
          <w:color w:val="auto"/>
        </w:rPr>
        <w:t>2.本项目的研究意义（需结合科学研究发展趋势来论述科学意义；或结合国民经济和社会发展中迫切需要解决的关键科技问题来论述其应用前景）</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ascii="Times New Roman" w:eastAsia="楷体" w:hAnsi="Times New Roman" w:cs="Times New Roman" w:hint="default"/>
          <w:color w:val="auto"/>
          <w:sz w:val="24"/>
          <w:szCs w:val="24"/>
          <w:lang w:val="en-US" w:eastAsia="zh-CN"/>
        </w:rPr>
      </w:pPr>
      <w:bookmarkStart w:id="71" w:name="OLE_LINK6"/>
      <w:r>
        <w:rPr>
          <w:rFonts w:eastAsia="楷体" w:cs="Times New Roman" w:hint="eastAsia"/>
          <w:color w:val="auto"/>
          <w:sz w:val="24"/>
          <w:szCs w:val="24"/>
          <w:lang w:val="en-US" w:eastAsia="zh-CN"/>
        </w:rPr>
        <w:t>2024年，中共中央、国务院印发《关于加快经济社会发展全面绿色转型的意见》，明确提到大力发展绿色低碳产业、稳妥推进能源绿色低碳转型、大力发展绿色低碳建筑。</w:t>
      </w:r>
      <w:r>
        <w:rPr>
          <w:rFonts w:eastAsia="楷体" w:cs="Times New Roman" w:hint="eastAsia"/>
          <w:b w:val="0"/>
          <w:bCs w:val="0"/>
          <w:color w:val="auto"/>
          <w:sz w:val="24"/>
          <w:szCs w:val="24"/>
          <w:lang w:val="en-US" w:eastAsia="zh-CN"/>
        </w:rPr>
        <w:t>2025年两会期间，李强总理在政府报告中强调推动建设安全、舒适、绿色、智慧的“好房子”，发展数字化、智能化基础设施。</w:t>
      </w:r>
      <w:r>
        <w:rPr>
          <w:rFonts w:eastAsia="楷体"/>
          <w:color w:val="auto"/>
          <w:sz w:val="24"/>
        </w:rPr>
        <w:t>绿色低碳</w:t>
      </w:r>
      <w:r>
        <w:rPr>
          <w:rFonts w:eastAsia="楷体" w:hint="eastAsia"/>
          <w:color w:val="auto"/>
          <w:sz w:val="24"/>
          <w:lang w:val="en-US" w:eastAsia="zh-CN"/>
        </w:rPr>
        <w:t>发展是我国坚定不移推行的国家</w:t>
      </w:r>
      <w:r>
        <w:rPr>
          <w:rFonts w:eastAsia="楷体"/>
          <w:color w:val="auto"/>
          <w:sz w:val="24"/>
        </w:rPr>
        <w:t>战略，发展并应用绿色低碳技术，</w:t>
      </w:r>
      <w:r>
        <w:rPr>
          <w:rFonts w:eastAsia="楷体"/>
          <w:b/>
          <w:bCs/>
          <w:color w:val="auto"/>
          <w:sz w:val="24"/>
        </w:rPr>
        <w:t>关乎人类命运</w:t>
      </w:r>
      <w:r>
        <w:rPr>
          <w:rFonts w:eastAsia="楷体"/>
          <w:color w:val="auto"/>
          <w:sz w:val="24"/>
        </w:rPr>
        <w:t>。</w:t>
      </w:r>
      <w:r>
        <w:rPr>
          <w:rFonts w:eastAsia="楷体" w:hint="eastAsia"/>
          <w:color w:val="auto"/>
          <w:sz w:val="24"/>
          <w:lang w:val="en-US" w:eastAsia="zh-CN"/>
        </w:rPr>
        <w:t>河北省是全国最早推广被动式超低能耗建筑的省份，近些年多次印发关于支持被动式超低能耗建筑产业发展的政策。</w:t>
      </w:r>
      <w:r>
        <w:rPr>
          <w:rFonts w:eastAsia="楷体"/>
          <w:color w:val="auto"/>
          <w:sz w:val="24"/>
        </w:rPr>
        <w:t>我国土木工程领域实现</w:t>
      </w:r>
      <w:r>
        <w:rPr>
          <w:rFonts w:ascii="楷体" w:eastAsia="楷体" w:hAnsi="楷体" w:cs="楷体" w:hint="eastAsia"/>
          <w:color w:val="auto"/>
          <w:sz w:val="24"/>
        </w:rPr>
        <w:t>“</w:t>
      </w:r>
      <w:r>
        <w:rPr>
          <w:rFonts w:eastAsia="楷体"/>
          <w:color w:val="auto"/>
          <w:sz w:val="24"/>
        </w:rPr>
        <w:t>双碳</w:t>
      </w:r>
      <w:r>
        <w:rPr>
          <w:rFonts w:ascii="楷体" w:eastAsia="楷体" w:hAnsi="楷体" w:cs="楷体" w:hint="eastAsia"/>
          <w:color w:val="auto"/>
          <w:sz w:val="24"/>
        </w:rPr>
        <w:t>”</w:t>
      </w:r>
      <w:r>
        <w:rPr>
          <w:rFonts w:eastAsia="楷体"/>
          <w:color w:val="auto"/>
          <w:sz w:val="24"/>
        </w:rPr>
        <w:t>目标，</w:t>
      </w:r>
      <w:r>
        <w:rPr>
          <w:rFonts w:eastAsia="楷体"/>
          <w:b/>
          <w:bCs/>
          <w:color w:val="auto"/>
          <w:sz w:val="24"/>
        </w:rPr>
        <w:t>绿色建材是关键</w:t>
      </w:r>
      <w:r>
        <w:rPr>
          <w:rFonts w:eastAsia="楷体"/>
          <w:color w:val="auto"/>
          <w:sz w:val="24"/>
        </w:rPr>
        <w:t>。碱激发材料因其能耗低、绿色-高强、耐久性能好等优势，已成为可持续建筑材料行业的重要组成部分</w:t>
      </w:r>
      <w:r>
        <w:rPr>
          <w:rFonts w:eastAsia="楷体" w:hint="eastAsia"/>
          <w:color w:val="auto"/>
          <w:sz w:val="24"/>
          <w:lang w:eastAsia="zh-CN"/>
        </w:rPr>
        <w:t>，</w:t>
      </w:r>
      <w:r>
        <w:rPr>
          <w:rFonts w:eastAsia="楷体" w:hint="eastAsia"/>
          <w:color w:val="auto"/>
          <w:sz w:val="24"/>
          <w:lang w:val="en-US" w:eastAsia="zh-CN"/>
        </w:rPr>
        <w:t>也是最有望替代水泥的胶结材料</w:t>
      </w:r>
      <w:r>
        <w:rPr>
          <w:rFonts w:eastAsia="楷体" w:hint="eastAsia"/>
          <w:color w:val="0000FF"/>
          <w:sz w:val="24"/>
          <w:vertAlign w:val="superscript"/>
          <w:lang w:val="en-US" w:eastAsia="zh-CN"/>
        </w:rPr>
        <w:t>[29]</w:t>
      </w:r>
      <w:r>
        <w:rPr>
          <w:rFonts w:eastAsia="楷体"/>
          <w:color w:val="auto"/>
          <w:sz w:val="24"/>
        </w:rPr>
        <w:t>。</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ascii="Times New Roman" w:eastAsia="楷体" w:hAnsi="Times New Roman" w:cs="Times New Roman" w:hint="default"/>
          <w:color w:val="auto"/>
          <w:sz w:val="24"/>
          <w:szCs w:val="24"/>
          <w:lang w:val="en-US" w:eastAsia="zh-CN"/>
        </w:rPr>
      </w:pPr>
      <w:r>
        <w:rPr>
          <w:rFonts w:ascii="Times New Roman" w:eastAsia="楷体" w:hAnsi="Times New Roman" w:cs="Times New Roman" w:hint="default"/>
          <w:color w:val="auto"/>
          <w:sz w:val="24"/>
          <w:szCs w:val="24"/>
          <w:lang w:val="en-US" w:eastAsia="zh-CN"/>
        </w:rPr>
        <w:t>智能建造和城市的愿景已经从未来主义概念</w:t>
      </w:r>
      <w:r>
        <w:rPr>
          <w:rFonts w:ascii="Times New Roman" w:eastAsia="楷体" w:hAnsi="Times New Roman" w:cs="Times New Roman" w:hint="eastAsia"/>
          <w:color w:val="auto"/>
          <w:sz w:val="24"/>
          <w:szCs w:val="24"/>
          <w:lang w:val="en-US" w:eastAsia="zh-CN"/>
        </w:rPr>
        <w:t>逐渐</w:t>
      </w:r>
      <w:r>
        <w:rPr>
          <w:rFonts w:ascii="Times New Roman" w:eastAsia="楷体" w:hAnsi="Times New Roman" w:cs="Times New Roman" w:hint="default"/>
          <w:color w:val="auto"/>
          <w:sz w:val="24"/>
          <w:szCs w:val="24"/>
          <w:lang w:val="en-US" w:eastAsia="zh-CN"/>
        </w:rPr>
        <w:t>转变为切实可行的现实</w:t>
      </w:r>
      <w:r>
        <w:rPr>
          <w:rFonts w:ascii="Times New Roman" w:eastAsia="楷体" w:hAnsi="Times New Roman" w:cs="Times New Roman" w:hint="eastAsia"/>
          <w:color w:val="auto"/>
          <w:sz w:val="24"/>
          <w:szCs w:val="24"/>
          <w:lang w:val="en-US" w:eastAsia="zh-CN"/>
        </w:rPr>
        <w:t>。</w:t>
      </w:r>
      <w:r>
        <w:rPr>
          <w:rFonts w:ascii="Times New Roman" w:eastAsia="楷体" w:hAnsi="Times New Roman" w:cs="Times New Roman" w:hint="default"/>
          <w:b/>
          <w:bCs/>
          <w:color w:val="auto"/>
          <w:sz w:val="24"/>
          <w:szCs w:val="24"/>
          <w:lang w:val="en-US" w:eastAsia="zh-CN"/>
        </w:rPr>
        <w:t>净零能耗建筑被认为是未来的建筑目标，</w:t>
      </w:r>
      <w:r>
        <w:rPr>
          <w:rFonts w:eastAsia="楷体" w:cs="Times New Roman" w:hint="eastAsia"/>
          <w:b/>
          <w:bCs/>
          <w:color w:val="auto"/>
          <w:sz w:val="24"/>
          <w:szCs w:val="24"/>
          <w:lang w:val="en-US" w:eastAsia="zh-CN"/>
        </w:rPr>
        <w:t>储能装置是实现这一目标的关键技术之一</w:t>
      </w:r>
      <w:r>
        <w:rPr>
          <w:rFonts w:eastAsia="楷体" w:hint="eastAsia"/>
          <w:color w:val="0000FF"/>
          <w:sz w:val="24"/>
          <w:vertAlign w:val="superscript"/>
          <w:lang w:val="en-US" w:eastAsia="zh-CN"/>
        </w:rPr>
        <w:t>[30]</w:t>
      </w:r>
      <w:r>
        <w:rPr>
          <w:rFonts w:eastAsia="楷体" w:cs="Times New Roman" w:hint="eastAsia"/>
          <w:color w:val="auto"/>
          <w:sz w:val="24"/>
          <w:szCs w:val="24"/>
          <w:lang w:val="en-US" w:eastAsia="zh-CN"/>
        </w:rPr>
        <w:t>。</w:t>
      </w:r>
      <w:r>
        <w:rPr>
          <w:rFonts w:ascii="Times New Roman" w:eastAsia="楷体" w:hAnsi="Times New Roman" w:cs="Times New Roman" w:hint="default"/>
          <w:color w:val="auto"/>
          <w:sz w:val="24"/>
          <w:szCs w:val="24"/>
          <w:lang w:val="en-US" w:eastAsia="zh-CN"/>
        </w:rPr>
        <w:t>通过使用太阳能来抵消建筑物的能耗，此时替代储能装置的电池和超级电容器要有广泛的适用性。如果储能设施的寿命太短，后期的维护或更换成本将大大增加，制备能量密度高且长循环寿命的超级电容器是未来净零能耗建筑开发的重要研究方向。</w:t>
      </w:r>
      <w:bookmarkStart w:id="72" w:name="OLE_LINK29"/>
      <w:r>
        <w:rPr>
          <w:rFonts w:eastAsia="楷体" w:cs="Times New Roman" w:hint="eastAsia"/>
          <w:color w:val="auto"/>
          <w:sz w:val="24"/>
          <w:szCs w:val="24"/>
          <w:lang w:val="en-US" w:eastAsia="zh-CN"/>
        </w:rPr>
        <w:t>将建筑材料开发成大型电化学储能装置是实现建筑物自供电和绿色可持续发展的重要途径</w:t>
      </w:r>
      <w:bookmarkEnd w:id="72"/>
      <w:r>
        <w:rPr>
          <w:rFonts w:eastAsia="楷体" w:cs="Times New Roman" w:hint="eastAsia"/>
          <w:color w:val="auto"/>
          <w:sz w:val="24"/>
          <w:szCs w:val="24"/>
          <w:lang w:val="en-US" w:eastAsia="zh-CN"/>
        </w:rPr>
        <w:t>。更重要的是，它们在承受荷载的同时提供储能能力，符合</w:t>
      </w:r>
      <w:r>
        <w:rPr>
          <w:rFonts w:ascii="Times New Roman" w:eastAsia="楷体" w:hAnsi="Times New Roman" w:cs="Times New Roman" w:hint="default"/>
          <w:b w:val="0"/>
          <w:bCs w:val="0"/>
          <w:color w:val="auto"/>
          <w:sz w:val="24"/>
          <w:szCs w:val="24"/>
          <w:lang w:val="en-US" w:eastAsia="zh-CN"/>
        </w:rPr>
        <w:t>净零能耗建筑</w:t>
      </w:r>
      <w:r>
        <w:rPr>
          <w:rFonts w:eastAsia="楷体" w:cs="Times New Roman" w:hint="eastAsia"/>
          <w:b w:val="0"/>
          <w:bCs w:val="0"/>
          <w:color w:val="auto"/>
          <w:sz w:val="24"/>
          <w:szCs w:val="24"/>
          <w:lang w:val="en-US" w:eastAsia="zh-CN"/>
        </w:rPr>
        <w:t>的发展要求。</w:t>
      </w:r>
      <w:r>
        <w:rPr>
          <w:rFonts w:ascii="Times New Roman" w:eastAsia="楷体" w:hAnsi="Times New Roman" w:cs="Times New Roman" w:hint="default"/>
          <w:color w:val="auto"/>
          <w:sz w:val="24"/>
          <w:szCs w:val="24"/>
          <w:lang w:val="en-US" w:eastAsia="zh-CN"/>
        </w:rPr>
        <w:t>碱激发材料是通过碱性溶液激发硅铝钙原料合成，具有抗压强度高、耐热和耐化学性能好等优势</w:t>
      </w:r>
      <w:r>
        <w:rPr>
          <w:rFonts w:eastAsia="楷体" w:cs="Times New Roman" w:hint="eastAsia"/>
          <w:color w:val="auto"/>
          <w:sz w:val="24"/>
          <w:szCs w:val="24"/>
          <w:lang w:val="en-US" w:eastAsia="zh-CN"/>
        </w:rPr>
        <w:t>。碱激发材料在</w:t>
      </w:r>
      <w:r>
        <w:rPr>
          <w:rFonts w:ascii="Times New Roman" w:eastAsia="楷体" w:hAnsi="Times New Roman" w:cs="Times New Roman" w:hint="default"/>
          <w:color w:val="auto"/>
          <w:sz w:val="24"/>
          <w:szCs w:val="24"/>
          <w:lang w:val="en-US" w:eastAsia="zh-CN"/>
        </w:rPr>
        <w:t>制备过程</w:t>
      </w:r>
      <w:r>
        <w:rPr>
          <w:rFonts w:ascii="Times New Roman" w:eastAsia="楷体" w:hAnsi="Times New Roman" w:cs="Times New Roman" w:hint="default"/>
          <w:color w:val="auto"/>
          <w:sz w:val="24"/>
          <w:szCs w:val="24"/>
        </w:rPr>
        <w:t>额外掺加的OH</w:t>
      </w:r>
      <w:r>
        <w:rPr>
          <w:rFonts w:ascii="Times New Roman" w:eastAsia="楷体" w:hAnsi="Times New Roman" w:cs="Times New Roman" w:hint="default"/>
          <w:color w:val="auto"/>
          <w:sz w:val="24"/>
          <w:szCs w:val="24"/>
          <w:vertAlign w:val="superscript"/>
        </w:rPr>
        <w:t>-</w:t>
      </w:r>
      <w:r>
        <w:rPr>
          <w:rFonts w:ascii="Times New Roman" w:eastAsia="楷体" w:hAnsi="Times New Roman" w:cs="Times New Roman" w:hint="default"/>
          <w:color w:val="auto"/>
          <w:sz w:val="24"/>
          <w:szCs w:val="24"/>
        </w:rPr>
        <w:t>、SiO</w:t>
      </w:r>
      <w:r>
        <w:rPr>
          <w:rFonts w:ascii="Times New Roman" w:eastAsia="楷体" w:hAnsi="Times New Roman" w:cs="Times New Roman" w:hint="default"/>
          <w:color w:val="auto"/>
          <w:sz w:val="24"/>
          <w:szCs w:val="24"/>
          <w:vertAlign w:val="subscript"/>
        </w:rPr>
        <w:t>3</w:t>
      </w:r>
      <w:r>
        <w:rPr>
          <w:rFonts w:ascii="Times New Roman" w:eastAsia="楷体" w:hAnsi="Times New Roman" w:cs="Times New Roman" w:hint="default"/>
          <w:color w:val="auto"/>
          <w:sz w:val="24"/>
          <w:szCs w:val="24"/>
          <w:vertAlign w:val="superscript"/>
        </w:rPr>
        <w:t>2-</w:t>
      </w:r>
      <w:r>
        <w:rPr>
          <w:rFonts w:ascii="Times New Roman" w:eastAsia="楷体" w:hAnsi="Times New Roman" w:cs="Times New Roman" w:hint="default"/>
          <w:color w:val="auto"/>
          <w:sz w:val="24"/>
          <w:szCs w:val="24"/>
        </w:rPr>
        <w:t>、Na</w:t>
      </w:r>
      <w:r>
        <w:rPr>
          <w:rFonts w:ascii="Times New Roman" w:eastAsia="楷体" w:hAnsi="Times New Roman" w:cs="Times New Roman" w:hint="default"/>
          <w:color w:val="auto"/>
          <w:sz w:val="24"/>
          <w:szCs w:val="24"/>
          <w:vertAlign w:val="superscript"/>
        </w:rPr>
        <w:t>+</w:t>
      </w:r>
      <w:r>
        <w:rPr>
          <w:rFonts w:ascii="Times New Roman" w:eastAsia="楷体" w:hAnsi="Times New Roman" w:cs="Times New Roman" w:hint="default"/>
          <w:color w:val="auto"/>
          <w:sz w:val="24"/>
          <w:szCs w:val="24"/>
        </w:rPr>
        <w:t>或K</w:t>
      </w:r>
      <w:r>
        <w:rPr>
          <w:rFonts w:ascii="Times New Roman" w:eastAsia="楷体" w:hAnsi="Times New Roman" w:cs="Times New Roman" w:hint="default"/>
          <w:color w:val="auto"/>
          <w:sz w:val="24"/>
          <w:szCs w:val="24"/>
          <w:vertAlign w:val="superscript"/>
        </w:rPr>
        <w:t>+</w:t>
      </w:r>
      <w:r>
        <w:rPr>
          <w:rFonts w:ascii="Times New Roman" w:eastAsia="楷体" w:hAnsi="Times New Roman" w:cs="Times New Roman" w:hint="default"/>
          <w:color w:val="auto"/>
          <w:sz w:val="24"/>
          <w:szCs w:val="24"/>
        </w:rPr>
        <w:t>以及聚合反应过程产生的Ca</w:t>
      </w:r>
      <w:r>
        <w:rPr>
          <w:rFonts w:ascii="Times New Roman" w:eastAsia="楷体" w:hAnsi="Times New Roman" w:cs="Times New Roman" w:hint="default"/>
          <w:color w:val="auto"/>
          <w:sz w:val="24"/>
          <w:szCs w:val="24"/>
          <w:vertAlign w:val="superscript"/>
        </w:rPr>
        <w:t>2+</w:t>
      </w:r>
      <w:r>
        <w:rPr>
          <w:rFonts w:ascii="Times New Roman" w:eastAsia="楷体" w:hAnsi="Times New Roman" w:cs="Times New Roman" w:hint="default"/>
          <w:color w:val="auto"/>
          <w:sz w:val="24"/>
          <w:szCs w:val="24"/>
        </w:rPr>
        <w:t>和Mg</w:t>
      </w:r>
      <w:r>
        <w:rPr>
          <w:rFonts w:ascii="Times New Roman" w:eastAsia="楷体" w:hAnsi="Times New Roman" w:cs="Times New Roman" w:hint="default"/>
          <w:color w:val="auto"/>
          <w:sz w:val="24"/>
          <w:szCs w:val="24"/>
          <w:vertAlign w:val="superscript"/>
        </w:rPr>
        <w:t>2+</w:t>
      </w:r>
      <w:r>
        <w:rPr>
          <w:rFonts w:eastAsia="楷体" w:cs="Times New Roman" w:hint="eastAsia"/>
          <w:color w:val="auto"/>
          <w:sz w:val="24"/>
          <w:szCs w:val="24"/>
          <w:vertAlign w:val="baseline"/>
          <w:lang w:val="en-US" w:eastAsia="zh-CN"/>
        </w:rPr>
        <w:t>等离子</w:t>
      </w:r>
      <w:r>
        <w:rPr>
          <w:rFonts w:ascii="Times New Roman" w:eastAsia="楷体" w:hAnsi="Times New Roman" w:cs="Times New Roman" w:hint="default"/>
          <w:color w:val="auto"/>
          <w:sz w:val="24"/>
          <w:szCs w:val="24"/>
        </w:rPr>
        <w:t>赋予了其在导电</w:t>
      </w:r>
      <w:r>
        <w:rPr>
          <w:rFonts w:ascii="Times New Roman" w:eastAsia="楷体" w:hAnsi="Times New Roman" w:cs="Times New Roman" w:hint="default"/>
          <w:color w:val="auto"/>
          <w:sz w:val="24"/>
          <w:szCs w:val="24"/>
          <w:lang w:val="en-US" w:eastAsia="zh-CN"/>
        </w:rPr>
        <w:t>性能</w:t>
      </w:r>
      <w:r>
        <w:rPr>
          <w:rFonts w:ascii="Times New Roman" w:eastAsia="楷体" w:hAnsi="Times New Roman" w:cs="Times New Roman" w:hint="default"/>
          <w:color w:val="auto"/>
          <w:sz w:val="24"/>
          <w:szCs w:val="24"/>
        </w:rPr>
        <w:t>方面的优势</w:t>
      </w:r>
      <w:r>
        <w:rPr>
          <w:rFonts w:ascii="Times New Roman" w:eastAsia="楷体" w:hAnsi="Times New Roman" w:cs="Times New Roman" w:hint="default"/>
          <w:color w:val="auto"/>
          <w:sz w:val="24"/>
          <w:szCs w:val="24"/>
          <w:lang w:eastAsia="zh-CN"/>
        </w:rPr>
        <w:t>。</w:t>
      </w:r>
      <w:r>
        <w:rPr>
          <w:rFonts w:ascii="Times New Roman" w:eastAsia="楷体" w:hAnsi="Times New Roman" w:cs="Times New Roman" w:hint="default"/>
          <w:color w:val="auto"/>
          <w:sz w:val="24"/>
          <w:szCs w:val="24"/>
          <w:lang w:val="en-US" w:eastAsia="zh-CN"/>
        </w:rPr>
        <w:t>碱激发材料作为一种多孔材料（孔隙率多为10%-30%），是离子液体的良好载体，多孔结构为离子传输提供了大量通道。</w:t>
      </w:r>
      <w:r>
        <w:rPr>
          <w:rFonts w:eastAsia="楷体" w:cs="Times New Roman" w:hint="eastAsia"/>
          <w:b/>
          <w:bCs/>
          <w:color w:val="auto"/>
          <w:sz w:val="24"/>
          <w:szCs w:val="24"/>
          <w:lang w:val="en-US" w:eastAsia="zh-CN"/>
        </w:rPr>
        <w:t>碱激发材料的这些优势使其在储能领域具有巨大的潜力。</w:t>
      </w:r>
    </w:p>
    <w:p>
      <w:pPr>
        <w:keepNext w:val="0"/>
        <w:keepLines w:val="0"/>
        <w:pageBreakBefore w:val="0"/>
        <w:widowControl w:val="0"/>
        <w:numPr>
          <w:ilvl w:val="255"/>
          <w:numId w:val="0"/>
        </w:numPr>
        <w:kinsoku/>
        <w:wordWrap w:val="0"/>
        <w:overflowPunct/>
        <w:topLinePunct w:val="0"/>
        <w:autoSpaceDE/>
        <w:autoSpaceDN/>
        <w:bidi w:val="0"/>
        <w:adjustRightInd/>
        <w:snapToGrid/>
        <w:spacing w:line="440" w:lineRule="exact"/>
        <w:ind w:firstLine="480" w:firstLineChars="200"/>
        <w:textAlignment w:val="auto"/>
        <w:rPr>
          <w:rFonts w:ascii="楷体" w:eastAsia="楷体" w:hAnsi="楷体" w:cs="楷体" w:hint="default"/>
          <w:lang w:val="en-US" w:eastAsia="zh-CN"/>
        </w:rPr>
      </w:pPr>
      <w:r>
        <w:rPr>
          <w:rFonts w:eastAsia="楷体" w:cs="Times New Roman" w:hint="eastAsia"/>
          <w:b/>
          <w:bCs/>
          <w:color w:val="auto"/>
          <w:sz w:val="24"/>
          <w:szCs w:val="24"/>
          <w:lang w:val="en-US" w:eastAsia="zh-CN"/>
        </w:rPr>
        <w:t>本项目响应国家土木工程智能化发展战略对绿色-智能建筑材料的重大需求，立足河北省智能建造和超低能耗建筑发展的实践需求，聚焦将碱激发材料作为一种新型功能性储电材料开展系统研究。</w:t>
      </w:r>
      <w:bookmarkStart w:id="73" w:name="OLE_LINK24"/>
      <w:r>
        <w:rPr>
          <w:rFonts w:eastAsia="楷体" w:cs="Times New Roman" w:hint="eastAsia"/>
          <w:color w:val="auto"/>
          <w:sz w:val="24"/>
          <w:szCs w:val="24"/>
          <w:lang w:val="en-US" w:eastAsia="zh-CN"/>
        </w:rPr>
        <w:t>本</w:t>
      </w:r>
      <w:bookmarkStart w:id="74" w:name="OLE_LINK19"/>
      <w:r>
        <w:rPr>
          <w:rFonts w:eastAsia="楷体" w:cs="Times New Roman" w:hint="eastAsia"/>
          <w:color w:val="auto"/>
          <w:sz w:val="24"/>
          <w:szCs w:val="24"/>
          <w:lang w:val="en-US" w:eastAsia="zh-CN"/>
        </w:rPr>
        <w:t>研究将推动碱激发材料超级电容器为光传感器供电到支持5G基站，充当智能和智慧城市的储能单元，服务于结构健康监测系统，甚至满足日常电力需求。</w:t>
      </w:r>
      <w:r>
        <w:rPr>
          <w:rFonts w:eastAsia="楷体" w:cs="Times New Roman" w:hint="eastAsia"/>
          <w:b/>
          <w:bCs/>
          <w:color w:val="auto"/>
          <w:sz w:val="24"/>
          <w:szCs w:val="24"/>
          <w:lang w:val="en-US" w:eastAsia="zh-CN"/>
        </w:rPr>
        <w:t>推动土木工程材料从“能源消耗体”向“能源产储体”转型，</w:t>
      </w:r>
      <w:bookmarkStart w:id="75" w:name="OLE_LINK39"/>
      <w:r>
        <w:rPr>
          <w:rFonts w:eastAsia="楷体" w:cs="Times New Roman" w:hint="eastAsia"/>
          <w:b/>
          <w:bCs/>
          <w:color w:val="auto"/>
          <w:sz w:val="24"/>
          <w:szCs w:val="24"/>
          <w:lang w:val="en-US" w:eastAsia="zh-CN"/>
        </w:rPr>
        <w:t>为拓展碱激发材料的应用领域提供科学依据和理论支撑</w:t>
      </w:r>
      <w:bookmarkEnd w:id="75"/>
      <w:r>
        <w:rPr>
          <w:rFonts w:eastAsia="楷体" w:cs="Times New Roman" w:hint="eastAsia"/>
          <w:b/>
          <w:bCs/>
          <w:color w:val="auto"/>
          <w:sz w:val="24"/>
          <w:szCs w:val="24"/>
          <w:lang w:val="en-US" w:eastAsia="zh-CN"/>
        </w:rPr>
        <w:t>。</w:t>
      </w:r>
      <w:bookmarkEnd w:id="73"/>
      <w:bookmarkEnd w:id="74"/>
    </w:p>
    <w:bookmarkEnd w:id="71"/>
    <w:p>
      <w:pPr>
        <w:wordWrap w:val="0"/>
        <w:spacing w:line="440" w:lineRule="exact"/>
        <w:ind w:firstLine="560" w:firstLineChars="200"/>
        <w:rPr>
          <w:rFonts w:ascii="楷体" w:eastAsia="楷体" w:hAnsi="楷体" w:cs="楷体"/>
        </w:rPr>
      </w:pPr>
      <w:r>
        <w:rPr>
          <w:rFonts w:ascii="楷体" w:eastAsia="楷体" w:hAnsi="楷体" w:cs="楷体" w:hint="eastAsia"/>
        </w:rPr>
        <w:t>3.主要参考文献目录（参考文献格式应符合学术期刊投稿要求，并应在立论依据正文中标注）</w:t>
      </w:r>
    </w:p>
    <w:p>
      <w:pPr>
        <w:pStyle w:val="CommentText"/>
        <w:keepNext w:val="0"/>
        <w:keepLines w:val="0"/>
        <w:pageBreakBefore w:val="0"/>
        <w:kinsoku/>
        <w:wordWrap/>
        <w:overflowPunct/>
        <w:topLinePunct w:val="0"/>
        <w:autoSpaceDE/>
        <w:autoSpaceDN/>
        <w:bidi w:val="0"/>
        <w:adjustRightInd/>
        <w:snapToGrid/>
        <w:spacing w:line="440" w:lineRule="exact"/>
        <w:ind w:firstLine="0" w:firstLineChars="0"/>
        <w:jc w:val="both"/>
        <w:textAlignment w:val="auto"/>
        <w:rPr>
          <w:rFonts w:ascii="Times New Roman" w:eastAsia="楷体" w:hAnsi="Times New Roman" w:cs="Times New Roman" w:hint="default"/>
          <w:b w:val="0"/>
          <w:bCs w:val="0"/>
          <w:color w:val="auto"/>
          <w:kern w:val="2"/>
          <w:sz w:val="24"/>
          <w:szCs w:val="24"/>
          <w:lang w:val="en-US" w:eastAsia="zh-CN" w:bidi="ar-SA"/>
        </w:rPr>
      </w:pPr>
      <w:r>
        <w:rPr>
          <w:rFonts w:ascii="Times New Roman" w:eastAsia="楷体" w:hAnsi="Times New Roman" w:cs="Times New Roman" w:hint="default"/>
          <w:b w:val="0"/>
          <w:bCs w:val="0"/>
          <w:color w:val="auto"/>
          <w:kern w:val="2"/>
          <w:sz w:val="24"/>
          <w:szCs w:val="24"/>
          <w:lang w:val="en-US" w:eastAsia="zh-CN" w:bidi="ar-SA"/>
        </w:rPr>
        <w:t>[1] 施惠生, 夏明, 郭晓潞. 粉煤灰基地聚合物反应机理及各组分作用的研究进展[J]. 硅酸盐学报, 2013, 41</w:t>
      </w:r>
      <w:r>
        <w:rPr>
          <w:rFonts w:ascii="Times New Roman" w:eastAsia="楷体" w:hAnsi="Times New Roman" w:cs="Times New Roman" w:hint="eastAsia"/>
          <w:b w:val="0"/>
          <w:bCs w:val="0"/>
          <w:color w:val="auto"/>
          <w:kern w:val="2"/>
          <w:sz w:val="24"/>
          <w:szCs w:val="24"/>
          <w:lang w:val="en-US" w:eastAsia="zh-CN" w:bidi="ar-SA"/>
        </w:rPr>
        <w:t>(</w:t>
      </w:r>
      <w:r>
        <w:rPr>
          <w:rFonts w:ascii="Times New Roman" w:eastAsia="楷体" w:hAnsi="Times New Roman" w:cs="Times New Roman" w:hint="default"/>
          <w:b w:val="0"/>
          <w:bCs w:val="0"/>
          <w:color w:val="auto"/>
          <w:kern w:val="2"/>
          <w:sz w:val="24"/>
          <w:szCs w:val="24"/>
          <w:lang w:val="en-US" w:eastAsia="zh-CN" w:bidi="ar-SA"/>
        </w:rPr>
        <w:t>07</w:t>
      </w:r>
      <w:r>
        <w:rPr>
          <w:rFonts w:ascii="Times New Roman" w:eastAsia="楷体" w:hAnsi="Times New Roman" w:cs="Times New Roman" w:hint="eastAsia"/>
          <w:b w:val="0"/>
          <w:bCs w:val="0"/>
          <w:color w:val="auto"/>
          <w:kern w:val="2"/>
          <w:sz w:val="24"/>
          <w:szCs w:val="24"/>
          <w:lang w:val="en-US" w:eastAsia="zh-CN" w:bidi="ar-SA"/>
        </w:rPr>
        <w:t>),</w:t>
      </w:r>
      <w:r>
        <w:rPr>
          <w:rFonts w:ascii="Times New Roman" w:eastAsia="楷体" w:hAnsi="Times New Roman" w:cs="Times New Roman" w:hint="default"/>
          <w:b w:val="0"/>
          <w:bCs w:val="0"/>
          <w:color w:val="auto"/>
          <w:kern w:val="2"/>
          <w:sz w:val="24"/>
          <w:szCs w:val="24"/>
          <w:lang w:val="en-US" w:eastAsia="zh-CN" w:bidi="ar-SA"/>
        </w:rPr>
        <w:t xml:space="preserve"> 972-980.</w:t>
      </w:r>
    </w:p>
    <w:p>
      <w:pPr>
        <w:pStyle w:val="CommentText"/>
        <w:keepNext w:val="0"/>
        <w:keepLines w:val="0"/>
        <w:pageBreakBefore w:val="0"/>
        <w:kinsoku/>
        <w:wordWrap/>
        <w:overflowPunct/>
        <w:topLinePunct w:val="0"/>
        <w:autoSpaceDE/>
        <w:autoSpaceDN/>
        <w:bidi w:val="0"/>
        <w:adjustRightInd/>
        <w:snapToGrid/>
        <w:spacing w:line="440" w:lineRule="exact"/>
        <w:ind w:firstLine="0" w:firstLineChars="0"/>
        <w:jc w:val="both"/>
        <w:textAlignment w:val="auto"/>
        <w:rPr>
          <w:rFonts w:ascii="Times New Roman" w:eastAsia="楷体" w:hAnsi="Times New Roman" w:cs="Times New Roman" w:hint="default"/>
          <w:b w:val="0"/>
          <w:bCs w:val="0"/>
          <w:color w:val="auto"/>
          <w:kern w:val="2"/>
          <w:sz w:val="24"/>
          <w:szCs w:val="24"/>
          <w:lang w:val="en-US" w:eastAsia="zh-CN" w:bidi="ar-SA"/>
        </w:rPr>
      </w:pPr>
      <w:r>
        <w:rPr>
          <w:rFonts w:ascii="Times New Roman" w:eastAsia="楷体" w:hAnsi="Times New Roman" w:cs="Times New Roman" w:hint="default"/>
          <w:b w:val="0"/>
          <w:bCs w:val="0"/>
          <w:color w:val="auto"/>
          <w:kern w:val="2"/>
          <w:sz w:val="24"/>
          <w:szCs w:val="24"/>
          <w:lang w:val="en-US" w:eastAsia="zh-CN" w:bidi="ar-SA"/>
        </w:rPr>
        <w:t>[2] 安强, 潘慧敏, 赵庆新,</w:t>
      </w:r>
      <w:r>
        <w:rPr>
          <w:rFonts w:ascii="Times New Roman" w:eastAsia="楷体" w:hAnsi="Times New Roman" w:cs="Times New Roman" w:hint="eastAsia"/>
          <w:b w:val="0"/>
          <w:bCs w:val="0"/>
          <w:color w:val="auto"/>
          <w:kern w:val="2"/>
          <w:sz w:val="24"/>
          <w:szCs w:val="24"/>
          <w:lang w:val="en-US" w:eastAsia="zh-CN" w:bidi="ar-SA"/>
        </w:rPr>
        <w:t xml:space="preserve"> 石雨轩</w:t>
      </w:r>
      <w:r>
        <w:rPr>
          <w:rFonts w:ascii="Times New Roman" w:eastAsia="楷体" w:hAnsi="Times New Roman" w:cs="Times New Roman" w:hint="default"/>
          <w:b w:val="0"/>
          <w:bCs w:val="0"/>
          <w:color w:val="auto"/>
          <w:kern w:val="2"/>
          <w:sz w:val="24"/>
          <w:szCs w:val="24"/>
          <w:lang w:val="en-US" w:eastAsia="zh-CN" w:bidi="ar-SA"/>
        </w:rPr>
        <w:t>. 碱激发赤泥-粉煤灰-电石渣复合材料性能研究[J]. 建筑材料学报, 2023, 26</w:t>
      </w:r>
      <w:r>
        <w:rPr>
          <w:rFonts w:ascii="Times New Roman" w:eastAsia="楷体" w:hAnsi="Times New Roman" w:cs="Times New Roman" w:hint="eastAsia"/>
          <w:b w:val="0"/>
          <w:bCs w:val="0"/>
          <w:color w:val="auto"/>
          <w:kern w:val="2"/>
          <w:sz w:val="24"/>
          <w:szCs w:val="24"/>
          <w:lang w:val="en-US" w:eastAsia="zh-CN" w:bidi="ar-SA"/>
        </w:rPr>
        <w:t>(</w:t>
      </w:r>
      <w:r>
        <w:rPr>
          <w:rFonts w:ascii="Times New Roman" w:eastAsia="楷体" w:hAnsi="Times New Roman" w:cs="Times New Roman" w:hint="default"/>
          <w:b w:val="0"/>
          <w:bCs w:val="0"/>
          <w:color w:val="auto"/>
          <w:kern w:val="2"/>
          <w:sz w:val="24"/>
          <w:szCs w:val="24"/>
          <w:lang w:val="en-US" w:eastAsia="zh-CN" w:bidi="ar-SA"/>
        </w:rPr>
        <w:t>1</w:t>
      </w:r>
      <w:r>
        <w:rPr>
          <w:rFonts w:ascii="Times New Roman" w:eastAsia="楷体" w:hAnsi="Times New Roman" w:cs="Times New Roman" w:hint="eastAsia"/>
          <w:b w:val="0"/>
          <w:bCs w:val="0"/>
          <w:color w:val="auto"/>
          <w:kern w:val="2"/>
          <w:sz w:val="24"/>
          <w:szCs w:val="24"/>
          <w:lang w:val="en-US" w:eastAsia="zh-CN" w:bidi="ar-SA"/>
        </w:rPr>
        <w:t>),</w:t>
      </w:r>
      <w:r>
        <w:rPr>
          <w:rFonts w:ascii="Times New Roman" w:eastAsia="楷体" w:hAnsi="Times New Roman" w:cs="Times New Roman" w:hint="default"/>
          <w:b w:val="0"/>
          <w:bCs w:val="0"/>
          <w:color w:val="auto"/>
          <w:kern w:val="2"/>
          <w:sz w:val="24"/>
          <w:szCs w:val="24"/>
          <w:lang w:val="en-US" w:eastAsia="zh-CN" w:bidi="ar-SA"/>
        </w:rPr>
        <w:t xml:space="preserve"> 14-20.</w:t>
      </w:r>
    </w:p>
    <w:p>
      <w:pPr>
        <w:pStyle w:val="CommentText"/>
        <w:keepNext w:val="0"/>
        <w:keepLines w:val="0"/>
        <w:pageBreakBefore w:val="0"/>
        <w:kinsoku/>
        <w:wordWrap/>
        <w:overflowPunct/>
        <w:topLinePunct w:val="0"/>
        <w:autoSpaceDE/>
        <w:autoSpaceDN/>
        <w:bidi w:val="0"/>
        <w:adjustRightInd/>
        <w:snapToGrid/>
        <w:spacing w:line="440" w:lineRule="exact"/>
        <w:ind w:firstLine="0" w:firstLineChars="0"/>
        <w:jc w:val="both"/>
        <w:textAlignment w:val="auto"/>
        <w:rPr>
          <w:rFonts w:ascii="Times New Roman" w:eastAsia="楷体" w:hAnsi="Times New Roman" w:cs="Times New Roman" w:hint="default"/>
          <w:b w:val="0"/>
          <w:bCs w:val="0"/>
          <w:color w:val="auto"/>
          <w:kern w:val="2"/>
          <w:sz w:val="24"/>
          <w:szCs w:val="24"/>
          <w:lang w:val="en-US" w:eastAsia="zh-CN" w:bidi="ar-SA"/>
        </w:rPr>
      </w:pPr>
      <w:r>
        <w:rPr>
          <w:rFonts w:ascii="Times New Roman" w:eastAsia="楷体" w:hAnsi="Times New Roman" w:cs="Times New Roman" w:hint="default"/>
          <w:b w:val="0"/>
          <w:bCs w:val="0"/>
          <w:color w:val="auto"/>
          <w:kern w:val="2"/>
          <w:sz w:val="24"/>
          <w:szCs w:val="24"/>
          <w:lang w:val="en-US" w:eastAsia="zh-CN" w:bidi="ar-SA"/>
        </w:rPr>
        <w:t xml:space="preserve">[3] 周浩雪, 马倩敏, 郭荣鑫, </w:t>
      </w:r>
      <w:r>
        <w:rPr>
          <w:rFonts w:ascii="Times New Roman" w:eastAsia="楷体" w:hAnsi="Times New Roman" w:cs="Times New Roman" w:hint="eastAsia"/>
          <w:b w:val="0"/>
          <w:bCs w:val="0"/>
          <w:color w:val="auto"/>
          <w:kern w:val="2"/>
          <w:sz w:val="24"/>
          <w:szCs w:val="24"/>
          <w:lang w:val="en-US" w:eastAsia="zh-CN" w:bidi="ar-SA"/>
        </w:rPr>
        <w:t>刘卓, 张淼, 陈洋</w:t>
      </w:r>
      <w:r>
        <w:rPr>
          <w:rFonts w:ascii="Times New Roman" w:eastAsia="楷体" w:hAnsi="Times New Roman" w:cs="Times New Roman" w:hint="default"/>
          <w:b w:val="0"/>
          <w:bCs w:val="0"/>
          <w:color w:val="auto"/>
          <w:kern w:val="2"/>
          <w:sz w:val="24"/>
          <w:szCs w:val="24"/>
          <w:lang w:val="en-US" w:eastAsia="zh-CN" w:bidi="ar-SA"/>
        </w:rPr>
        <w:t>. 养护方式对碱激发矿渣/粉煤灰胶凝材料抗压强度影响研究[J]. 材料导报, 2024, 38</w:t>
      </w:r>
      <w:r>
        <w:rPr>
          <w:rFonts w:ascii="Times New Roman" w:eastAsia="楷体" w:hAnsi="Times New Roman" w:cs="Times New Roman" w:hint="eastAsia"/>
          <w:b w:val="0"/>
          <w:bCs w:val="0"/>
          <w:color w:val="auto"/>
          <w:kern w:val="2"/>
          <w:sz w:val="24"/>
          <w:szCs w:val="24"/>
          <w:lang w:val="en-US" w:eastAsia="zh-CN" w:bidi="ar-SA"/>
        </w:rPr>
        <w:t>(</w:t>
      </w:r>
      <w:r>
        <w:rPr>
          <w:rFonts w:ascii="Times New Roman" w:eastAsia="楷体" w:hAnsi="Times New Roman" w:cs="Times New Roman" w:hint="default"/>
          <w:b w:val="0"/>
          <w:bCs w:val="0"/>
          <w:color w:val="auto"/>
          <w:kern w:val="2"/>
          <w:sz w:val="24"/>
          <w:szCs w:val="24"/>
          <w:lang w:val="en-US" w:eastAsia="zh-CN" w:bidi="ar-SA"/>
        </w:rPr>
        <w:t>Z1</w:t>
      </w:r>
      <w:r>
        <w:rPr>
          <w:rFonts w:ascii="Times New Roman" w:eastAsia="楷体" w:hAnsi="Times New Roman" w:cs="Times New Roman" w:hint="eastAsia"/>
          <w:b w:val="0"/>
          <w:bCs w:val="0"/>
          <w:color w:val="auto"/>
          <w:kern w:val="2"/>
          <w:sz w:val="24"/>
          <w:szCs w:val="24"/>
          <w:lang w:val="en-US" w:eastAsia="zh-CN" w:bidi="ar-SA"/>
        </w:rPr>
        <w:t>)</w:t>
      </w:r>
      <w:r>
        <w:rPr>
          <w:rFonts w:ascii="Times New Roman" w:eastAsia="楷体" w:hAnsi="Times New Roman" w:cs="Times New Roman" w:hint="default"/>
          <w:b w:val="0"/>
          <w:bCs w:val="0"/>
          <w:color w:val="auto"/>
          <w:kern w:val="2"/>
          <w:sz w:val="24"/>
          <w:szCs w:val="24"/>
          <w:lang w:val="en-US" w:eastAsia="zh-CN" w:bidi="ar-SA"/>
        </w:rPr>
        <w:t>: 24010286.</w:t>
      </w:r>
    </w:p>
    <w:p>
      <w:pPr>
        <w:pStyle w:val="CommentText"/>
        <w:keepNext w:val="0"/>
        <w:keepLines w:val="0"/>
        <w:pageBreakBefore w:val="0"/>
        <w:kinsoku/>
        <w:wordWrap/>
        <w:overflowPunct/>
        <w:topLinePunct w:val="0"/>
        <w:autoSpaceDE/>
        <w:autoSpaceDN/>
        <w:bidi w:val="0"/>
        <w:adjustRightInd/>
        <w:snapToGrid/>
        <w:spacing w:line="440" w:lineRule="exact"/>
        <w:ind w:firstLine="0" w:firstLineChars="0"/>
        <w:jc w:val="both"/>
        <w:textAlignment w:val="auto"/>
        <w:rPr>
          <w:rFonts w:ascii="Times New Roman" w:eastAsia="楷体" w:hAnsi="Times New Roman" w:cs="Times New Roman" w:hint="default"/>
          <w:b w:val="0"/>
          <w:bCs w:val="0"/>
          <w:color w:val="auto"/>
          <w:sz w:val="24"/>
          <w:szCs w:val="24"/>
        </w:rPr>
      </w:pPr>
      <w:r>
        <w:rPr>
          <w:rFonts w:ascii="Times New Roman" w:eastAsia="楷体" w:hAnsi="Times New Roman" w:cs="Times New Roman" w:hint="default"/>
          <w:b w:val="0"/>
          <w:bCs w:val="0"/>
          <w:color w:val="auto"/>
          <w:sz w:val="24"/>
          <w:szCs w:val="24"/>
          <w:lang w:val="en-US" w:eastAsia="zh-CN"/>
        </w:rPr>
        <w:t xml:space="preserve">[4] </w:t>
      </w:r>
      <w:r>
        <w:rPr>
          <w:rFonts w:ascii="Times New Roman" w:eastAsia="楷体" w:hAnsi="Times New Roman" w:cs="Times New Roman" w:hint="default"/>
          <w:b w:val="0"/>
          <w:bCs w:val="0"/>
          <w:color w:val="auto"/>
          <w:sz w:val="24"/>
          <w:szCs w:val="24"/>
        </w:rPr>
        <w:t>Han B</w:t>
      </w:r>
      <w:r>
        <w:rPr>
          <w:rFonts w:ascii="Times New Roman" w:eastAsia="楷体" w:hAnsi="Times New Roman" w:cs="Times New Roman" w:hint="default"/>
          <w:b w:val="0"/>
          <w:bCs w:val="0"/>
          <w:color w:val="auto"/>
          <w:sz w:val="24"/>
          <w:szCs w:val="24"/>
          <w:lang w:val="en-US" w:eastAsia="zh-CN"/>
        </w:rPr>
        <w:t>.G.</w:t>
      </w:r>
      <w:r>
        <w:rPr>
          <w:rFonts w:ascii="Times New Roman" w:eastAsia="楷体" w:hAnsi="Times New Roman" w:cs="Times New Roman" w:hint="default"/>
          <w:b w:val="0"/>
          <w:bCs w:val="0"/>
          <w:color w:val="auto"/>
          <w:sz w:val="24"/>
          <w:szCs w:val="24"/>
        </w:rPr>
        <w:t>, Ding S</w:t>
      </w:r>
      <w:r>
        <w:rPr>
          <w:rFonts w:ascii="Times New Roman" w:eastAsia="楷体" w:hAnsi="Times New Roman" w:cs="Times New Roman" w:hint="default"/>
          <w:b w:val="0"/>
          <w:bCs w:val="0"/>
          <w:color w:val="auto"/>
          <w:sz w:val="24"/>
          <w:szCs w:val="24"/>
          <w:lang w:val="en-US" w:eastAsia="zh-CN"/>
        </w:rPr>
        <w:t>.Q.</w:t>
      </w:r>
      <w:r>
        <w:rPr>
          <w:rFonts w:ascii="Times New Roman" w:eastAsia="楷体" w:hAnsi="Times New Roman" w:cs="Times New Roman" w:hint="default"/>
          <w:b w:val="0"/>
          <w:bCs w:val="0"/>
          <w:color w:val="auto"/>
          <w:sz w:val="24"/>
          <w:szCs w:val="24"/>
        </w:rPr>
        <w:t>, Yu X</w:t>
      </w:r>
      <w:r>
        <w:rPr>
          <w:rFonts w:ascii="Times New Roman" w:eastAsia="楷体" w:hAnsi="Times New Roman" w:cs="Times New Roman" w:hint="default"/>
          <w:b w:val="0"/>
          <w:bCs w:val="0"/>
          <w:color w:val="auto"/>
          <w:sz w:val="24"/>
          <w:szCs w:val="24"/>
          <w:lang w:val="en-US" w:eastAsia="zh-CN"/>
        </w:rPr>
        <w:t>.</w:t>
      </w:r>
      <w:r>
        <w:rPr>
          <w:rFonts w:ascii="Times New Roman" w:eastAsia="楷体" w:hAnsi="Times New Roman" w:cs="Times New Roman" w:hint="default"/>
          <w:b w:val="0"/>
          <w:bCs w:val="0"/>
          <w:color w:val="auto"/>
          <w:sz w:val="24"/>
          <w:szCs w:val="24"/>
        </w:rPr>
        <w:t xml:space="preserve"> Intrinsic self-sensing concrete and structures: A review [J]. Measurement, 2015, 59, 110-128.</w:t>
      </w:r>
    </w:p>
    <w:p>
      <w:pPr>
        <w:pStyle w:val="CommentText"/>
        <w:keepNext w:val="0"/>
        <w:keepLines w:val="0"/>
        <w:pageBreakBefore w:val="0"/>
        <w:kinsoku/>
        <w:wordWrap/>
        <w:overflowPunct/>
        <w:topLinePunct w:val="0"/>
        <w:autoSpaceDE/>
        <w:autoSpaceDN/>
        <w:bidi w:val="0"/>
        <w:adjustRightInd/>
        <w:snapToGrid/>
        <w:spacing w:line="440" w:lineRule="exact"/>
        <w:ind w:firstLine="0" w:firstLineChars="0"/>
        <w:jc w:val="both"/>
        <w:textAlignment w:val="auto"/>
        <w:rPr>
          <w:rFonts w:ascii="Times New Roman" w:eastAsia="楷体" w:hAnsi="Times New Roman" w:cs="Times New Roman" w:hint="default"/>
          <w:b w:val="0"/>
          <w:bCs w:val="0"/>
          <w:color w:val="auto"/>
          <w:sz w:val="24"/>
          <w:szCs w:val="24"/>
        </w:rPr>
      </w:pPr>
      <w:r>
        <w:rPr>
          <w:rFonts w:ascii="Times New Roman" w:eastAsia="楷体" w:hAnsi="Times New Roman" w:cs="Times New Roman" w:hint="default"/>
          <w:b w:val="0"/>
          <w:bCs w:val="0"/>
          <w:color w:val="auto"/>
          <w:sz w:val="24"/>
          <w:szCs w:val="24"/>
          <w:lang w:val="en-US" w:eastAsia="zh-CN"/>
        </w:rPr>
        <w:t xml:space="preserve">[5] </w:t>
      </w:r>
      <w:r>
        <w:rPr>
          <w:rFonts w:ascii="Times New Roman" w:eastAsia="楷体" w:hAnsi="Times New Roman" w:cs="Times New Roman" w:hint="default"/>
          <w:b w:val="0"/>
          <w:bCs w:val="0"/>
          <w:color w:val="auto"/>
          <w:sz w:val="24"/>
          <w:szCs w:val="24"/>
        </w:rPr>
        <w:t>樊宇澄, 冯闯. 热电水泥基复合材料研究现状及展望[J]. 材料导报, 2023, 37</w:t>
      </w:r>
      <w:r>
        <w:rPr>
          <w:rFonts w:ascii="Times New Roman" w:eastAsia="楷体" w:hAnsi="Times New Roman" w:cs="Times New Roman" w:hint="eastAsia"/>
          <w:b w:val="0"/>
          <w:bCs w:val="0"/>
          <w:color w:val="auto"/>
          <w:sz w:val="24"/>
          <w:szCs w:val="24"/>
          <w:lang w:val="en-US" w:eastAsia="zh-CN"/>
        </w:rPr>
        <w:t>(</w:t>
      </w:r>
      <w:r>
        <w:rPr>
          <w:rFonts w:ascii="Times New Roman" w:eastAsia="楷体" w:hAnsi="Times New Roman" w:cs="Times New Roman" w:hint="default"/>
          <w:b w:val="0"/>
          <w:bCs w:val="0"/>
          <w:color w:val="auto"/>
          <w:sz w:val="24"/>
          <w:szCs w:val="24"/>
        </w:rPr>
        <w:t>17</w:t>
      </w:r>
      <w:r>
        <w:rPr>
          <w:rFonts w:ascii="Times New Roman" w:eastAsia="楷体" w:hAnsi="Times New Roman" w:cs="Times New Roman" w:hint="eastAsia"/>
          <w:b w:val="0"/>
          <w:bCs w:val="0"/>
          <w:color w:val="auto"/>
          <w:sz w:val="24"/>
          <w:szCs w:val="24"/>
          <w:lang w:val="en-US" w:eastAsia="zh-CN"/>
        </w:rPr>
        <w:t>)</w:t>
      </w:r>
      <w:r>
        <w:rPr>
          <w:rFonts w:ascii="Times New Roman" w:eastAsia="楷体" w:hAnsi="Times New Roman" w:cs="Times New Roman" w:hint="default"/>
          <w:b w:val="0"/>
          <w:bCs w:val="0"/>
          <w:color w:val="auto"/>
          <w:sz w:val="24"/>
          <w:szCs w:val="24"/>
        </w:rPr>
        <w:t>, 21110105.</w:t>
      </w:r>
    </w:p>
    <w:p>
      <w:pPr>
        <w:pStyle w:val="CommentText"/>
        <w:keepNext w:val="0"/>
        <w:keepLines w:val="0"/>
        <w:pageBreakBefore w:val="0"/>
        <w:kinsoku/>
        <w:wordWrap/>
        <w:overflowPunct/>
        <w:topLinePunct w:val="0"/>
        <w:autoSpaceDE/>
        <w:autoSpaceDN/>
        <w:bidi w:val="0"/>
        <w:adjustRightInd/>
        <w:snapToGrid/>
        <w:spacing w:line="440" w:lineRule="exact"/>
        <w:ind w:firstLine="0" w:firstLineChars="0"/>
        <w:jc w:val="both"/>
        <w:textAlignment w:val="auto"/>
        <w:rPr>
          <w:rFonts w:ascii="Times New Roman" w:eastAsia="楷体" w:hAnsi="Times New Roman" w:cs="Times New Roman" w:hint="default"/>
          <w:b w:val="0"/>
          <w:bCs w:val="0"/>
          <w:color w:val="auto"/>
          <w:sz w:val="24"/>
          <w:szCs w:val="24"/>
          <w:lang w:val="en-US" w:eastAsia="zh-CN"/>
        </w:rPr>
      </w:pPr>
      <w:r>
        <w:rPr>
          <w:rFonts w:ascii="Times New Roman" w:eastAsia="楷体" w:hAnsi="Times New Roman" w:cs="Times New Roman" w:hint="default"/>
          <w:b w:val="0"/>
          <w:bCs w:val="0"/>
          <w:color w:val="auto"/>
          <w:sz w:val="24"/>
          <w:szCs w:val="24"/>
          <w:lang w:val="en-US" w:eastAsia="zh-CN"/>
        </w:rPr>
        <w:t xml:space="preserve">[6] </w:t>
      </w:r>
      <w:r>
        <w:rPr>
          <w:rFonts w:ascii="Times New Roman" w:eastAsia="楷体" w:hAnsi="Times New Roman" w:cs="Times New Roman" w:hint="default"/>
          <w:b w:val="0"/>
          <w:bCs w:val="0"/>
          <w:color w:val="auto"/>
          <w:sz w:val="24"/>
          <w:szCs w:val="24"/>
        </w:rPr>
        <w:t>陆荟, 赵若红, 周新雨, 梅超. 不同基底材料与模数对碱激发胶凝材料导电性及抗压强度研究[J]. 混凝土, 2019, 362</w:t>
      </w:r>
      <w:r>
        <w:rPr>
          <w:rFonts w:ascii="Times New Roman" w:eastAsia="楷体" w:hAnsi="Times New Roman" w:cs="Times New Roman" w:hint="eastAsia"/>
          <w:b w:val="0"/>
          <w:bCs w:val="0"/>
          <w:color w:val="auto"/>
          <w:sz w:val="24"/>
          <w:szCs w:val="24"/>
          <w:lang w:val="en-US" w:eastAsia="zh-CN"/>
        </w:rPr>
        <w:t>(</w:t>
      </w:r>
      <w:r>
        <w:rPr>
          <w:rFonts w:ascii="Times New Roman" w:eastAsia="楷体" w:hAnsi="Times New Roman" w:cs="Times New Roman" w:hint="default"/>
          <w:b w:val="0"/>
          <w:bCs w:val="0"/>
          <w:color w:val="auto"/>
          <w:sz w:val="24"/>
          <w:szCs w:val="24"/>
        </w:rPr>
        <w:t>12</w:t>
      </w:r>
      <w:r>
        <w:rPr>
          <w:rFonts w:ascii="Times New Roman" w:eastAsia="楷体" w:hAnsi="Times New Roman" w:cs="Times New Roman" w:hint="eastAsia"/>
          <w:b w:val="0"/>
          <w:bCs w:val="0"/>
          <w:color w:val="auto"/>
          <w:sz w:val="24"/>
          <w:szCs w:val="24"/>
          <w:lang w:val="en-US" w:eastAsia="zh-CN"/>
        </w:rPr>
        <w:t>)</w:t>
      </w:r>
      <w:r>
        <w:rPr>
          <w:rFonts w:ascii="Times New Roman" w:eastAsia="楷体" w:hAnsi="Times New Roman" w:cs="Times New Roman" w:hint="default"/>
          <w:b w:val="0"/>
          <w:bCs w:val="0"/>
          <w:color w:val="auto"/>
          <w:sz w:val="24"/>
          <w:szCs w:val="24"/>
          <w:lang w:val="en-US" w:eastAsia="zh-CN"/>
        </w:rPr>
        <w:t>,</w:t>
      </w:r>
      <w:r>
        <w:rPr>
          <w:rFonts w:ascii="Times New Roman" w:eastAsia="楷体" w:hAnsi="Times New Roman" w:cs="Times New Roman" w:hint="default"/>
          <w:b w:val="0"/>
          <w:bCs w:val="0"/>
          <w:color w:val="auto"/>
          <w:sz w:val="24"/>
          <w:szCs w:val="24"/>
        </w:rPr>
        <w:t xml:space="preserve"> 11-17.</w:t>
      </w:r>
    </w:p>
    <w:p>
      <w:pPr>
        <w:pStyle w:val="CommentText"/>
        <w:keepNext w:val="0"/>
        <w:keepLines w:val="0"/>
        <w:pageBreakBefore w:val="0"/>
        <w:kinsoku/>
        <w:wordWrap/>
        <w:overflowPunct/>
        <w:topLinePunct w:val="0"/>
        <w:autoSpaceDE/>
        <w:autoSpaceDN/>
        <w:bidi w:val="0"/>
        <w:adjustRightInd/>
        <w:snapToGrid/>
        <w:spacing w:line="440" w:lineRule="exact"/>
        <w:ind w:firstLine="0" w:firstLineChars="0"/>
        <w:jc w:val="both"/>
        <w:textAlignment w:val="auto"/>
        <w:rPr>
          <w:rFonts w:ascii="Times New Roman" w:eastAsia="楷体" w:hAnsi="Times New Roman" w:cs="Times New Roman" w:hint="default"/>
          <w:b w:val="0"/>
          <w:bCs w:val="0"/>
          <w:color w:val="auto"/>
          <w:sz w:val="24"/>
          <w:szCs w:val="24"/>
        </w:rPr>
      </w:pPr>
      <w:r>
        <w:rPr>
          <w:rFonts w:ascii="Times New Roman" w:eastAsia="楷体" w:hAnsi="Times New Roman" w:cs="Times New Roman" w:hint="default"/>
          <w:b w:val="0"/>
          <w:bCs w:val="0"/>
          <w:color w:val="auto"/>
          <w:sz w:val="24"/>
          <w:szCs w:val="24"/>
          <w:lang w:val="en-US" w:eastAsia="zh-CN"/>
        </w:rPr>
        <w:t xml:space="preserve">[7] </w:t>
      </w:r>
      <w:r>
        <w:rPr>
          <w:rFonts w:ascii="Times New Roman" w:eastAsia="楷体" w:hAnsi="Times New Roman" w:cs="Times New Roman" w:hint="default"/>
          <w:b w:val="0"/>
          <w:bCs w:val="0"/>
          <w:color w:val="auto"/>
          <w:sz w:val="24"/>
          <w:szCs w:val="24"/>
        </w:rPr>
        <w:t>Liu K</w:t>
      </w:r>
      <w:r>
        <w:rPr>
          <w:rFonts w:ascii="Times New Roman" w:eastAsia="楷体" w:hAnsi="Times New Roman" w:cs="Times New Roman" w:hint="default"/>
          <w:b w:val="0"/>
          <w:bCs w:val="0"/>
          <w:color w:val="auto"/>
          <w:sz w:val="24"/>
          <w:szCs w:val="24"/>
          <w:lang w:val="en-US" w:eastAsia="zh-CN"/>
        </w:rPr>
        <w:t>.Q.</w:t>
      </w:r>
      <w:r>
        <w:rPr>
          <w:rFonts w:ascii="Times New Roman" w:eastAsia="楷体" w:hAnsi="Times New Roman" w:cs="Times New Roman" w:hint="default"/>
          <w:b w:val="0"/>
          <w:bCs w:val="0"/>
          <w:color w:val="auto"/>
          <w:sz w:val="24"/>
          <w:szCs w:val="24"/>
        </w:rPr>
        <w:t>, Cheng X</w:t>
      </w:r>
      <w:r>
        <w:rPr>
          <w:rFonts w:ascii="Times New Roman" w:eastAsia="楷体" w:hAnsi="Times New Roman" w:cs="Times New Roman" w:hint="default"/>
          <w:b w:val="0"/>
          <w:bCs w:val="0"/>
          <w:color w:val="auto"/>
          <w:sz w:val="24"/>
          <w:szCs w:val="24"/>
          <w:lang w:val="en-US" w:eastAsia="zh-CN"/>
        </w:rPr>
        <w:t>.W.</w:t>
      </w:r>
      <w:r>
        <w:rPr>
          <w:rFonts w:ascii="Times New Roman" w:eastAsia="楷体" w:hAnsi="Times New Roman" w:cs="Times New Roman" w:hint="default"/>
          <w:b w:val="0"/>
          <w:bCs w:val="0"/>
          <w:color w:val="auto"/>
          <w:sz w:val="24"/>
          <w:szCs w:val="24"/>
        </w:rPr>
        <w:t>, Li J</w:t>
      </w:r>
      <w:r>
        <w:rPr>
          <w:rFonts w:ascii="Times New Roman" w:eastAsia="楷体" w:hAnsi="Times New Roman" w:cs="Times New Roman" w:hint="default"/>
          <w:b w:val="0"/>
          <w:bCs w:val="0"/>
          <w:color w:val="auto"/>
          <w:sz w:val="24"/>
          <w:szCs w:val="24"/>
          <w:lang w:val="en-US" w:eastAsia="zh-CN"/>
        </w:rPr>
        <w:t>.X.</w:t>
      </w:r>
      <w:r>
        <w:rPr>
          <w:rFonts w:ascii="Times New Roman" w:eastAsia="楷体" w:hAnsi="Times New Roman" w:cs="Times New Roman" w:hint="default"/>
          <w:b w:val="0"/>
          <w:bCs w:val="0"/>
          <w:color w:val="auto"/>
          <w:sz w:val="24"/>
          <w:szCs w:val="24"/>
        </w:rPr>
        <w:t>, Gao X</w:t>
      </w:r>
      <w:r>
        <w:rPr>
          <w:rFonts w:ascii="Times New Roman" w:eastAsia="楷体" w:hAnsi="Times New Roman" w:cs="Times New Roman" w:hint="default"/>
          <w:b w:val="0"/>
          <w:bCs w:val="0"/>
          <w:color w:val="auto"/>
          <w:sz w:val="24"/>
          <w:szCs w:val="24"/>
          <w:lang w:val="en-US" w:eastAsia="zh-CN"/>
        </w:rPr>
        <w:t>.S.</w:t>
      </w:r>
      <w:r>
        <w:rPr>
          <w:rFonts w:ascii="Times New Roman" w:eastAsia="楷体" w:hAnsi="Times New Roman" w:cs="Times New Roman" w:hint="default"/>
          <w:b w:val="0"/>
          <w:bCs w:val="0"/>
          <w:color w:val="auto"/>
          <w:sz w:val="24"/>
          <w:szCs w:val="24"/>
        </w:rPr>
        <w:t>, Cao Y</w:t>
      </w:r>
      <w:r>
        <w:rPr>
          <w:rFonts w:ascii="Times New Roman" w:eastAsia="楷体" w:hAnsi="Times New Roman" w:cs="Times New Roman" w:hint="default"/>
          <w:b w:val="0"/>
          <w:bCs w:val="0"/>
          <w:color w:val="auto"/>
          <w:sz w:val="24"/>
          <w:szCs w:val="24"/>
          <w:lang w:val="en-US" w:eastAsia="zh-CN"/>
        </w:rPr>
        <w:t>.</w:t>
      </w:r>
      <w:r>
        <w:rPr>
          <w:rFonts w:ascii="Times New Roman" w:eastAsia="楷体" w:hAnsi="Times New Roman" w:cs="Times New Roman" w:hint="default"/>
          <w:b w:val="0"/>
          <w:bCs w:val="0"/>
          <w:color w:val="auto"/>
          <w:sz w:val="24"/>
          <w:szCs w:val="24"/>
        </w:rPr>
        <w:t>, Guo X</w:t>
      </w:r>
      <w:r>
        <w:rPr>
          <w:rFonts w:ascii="Times New Roman" w:eastAsia="楷体" w:hAnsi="Times New Roman" w:cs="Times New Roman" w:hint="default"/>
          <w:b w:val="0"/>
          <w:bCs w:val="0"/>
          <w:color w:val="auto"/>
          <w:sz w:val="24"/>
          <w:szCs w:val="24"/>
          <w:lang w:val="en-US" w:eastAsia="zh-CN"/>
        </w:rPr>
        <w:t>.Y.</w:t>
      </w:r>
      <w:r>
        <w:rPr>
          <w:rFonts w:ascii="Times New Roman" w:eastAsia="楷体" w:hAnsi="Times New Roman" w:cs="Times New Roman" w:hint="default"/>
          <w:b w:val="0"/>
          <w:bCs w:val="0"/>
          <w:color w:val="auto"/>
          <w:sz w:val="24"/>
          <w:szCs w:val="24"/>
        </w:rPr>
        <w:t>, Zhuang J</w:t>
      </w:r>
      <w:r>
        <w:rPr>
          <w:rFonts w:ascii="Times New Roman" w:eastAsia="楷体" w:hAnsi="Times New Roman" w:cs="Times New Roman" w:hint="default"/>
          <w:b w:val="0"/>
          <w:bCs w:val="0"/>
          <w:color w:val="auto"/>
          <w:sz w:val="24"/>
          <w:szCs w:val="24"/>
          <w:lang w:val="en-US" w:eastAsia="zh-CN"/>
        </w:rPr>
        <w:t>.</w:t>
      </w:r>
      <w:r>
        <w:rPr>
          <w:rFonts w:ascii="Times New Roman" w:eastAsia="楷体" w:hAnsi="Times New Roman" w:cs="Times New Roman" w:hint="default"/>
          <w:b w:val="0"/>
          <w:bCs w:val="0"/>
          <w:color w:val="auto"/>
          <w:sz w:val="24"/>
          <w:szCs w:val="24"/>
        </w:rPr>
        <w:t>, Zhang C</w:t>
      </w:r>
      <w:r>
        <w:rPr>
          <w:rFonts w:ascii="Times New Roman" w:eastAsia="楷体" w:hAnsi="Times New Roman" w:cs="Times New Roman" w:hint="default"/>
          <w:b w:val="0"/>
          <w:bCs w:val="0"/>
          <w:color w:val="auto"/>
          <w:sz w:val="24"/>
          <w:szCs w:val="24"/>
          <w:lang w:val="en-US" w:eastAsia="zh-CN"/>
        </w:rPr>
        <w:t>.M</w:t>
      </w:r>
      <w:r>
        <w:rPr>
          <w:rFonts w:ascii="Times New Roman" w:eastAsia="楷体" w:hAnsi="Times New Roman" w:cs="Times New Roman" w:hint="default"/>
          <w:b w:val="0"/>
          <w:bCs w:val="0"/>
          <w:color w:val="auto"/>
          <w:sz w:val="24"/>
          <w:szCs w:val="24"/>
        </w:rPr>
        <w:t>. Effects of microstructure and pore water on electrical conductivity of cement slurry during early hydration [J]. Composites Part B: Engineering, 2019, 177, 107435.</w:t>
      </w:r>
    </w:p>
    <w:p>
      <w:pPr>
        <w:pStyle w:val="CommentText"/>
        <w:keepNext w:val="0"/>
        <w:keepLines w:val="0"/>
        <w:pageBreakBefore w:val="0"/>
        <w:kinsoku/>
        <w:wordWrap/>
        <w:overflowPunct/>
        <w:topLinePunct w:val="0"/>
        <w:autoSpaceDE/>
        <w:autoSpaceDN/>
        <w:bidi w:val="0"/>
        <w:adjustRightInd/>
        <w:snapToGrid/>
        <w:spacing w:line="440" w:lineRule="exact"/>
        <w:ind w:firstLine="0" w:firstLineChars="0"/>
        <w:jc w:val="both"/>
        <w:textAlignment w:val="auto"/>
        <w:rPr>
          <w:rFonts w:ascii="Times New Roman" w:eastAsia="楷体" w:hAnsi="Times New Roman" w:cs="Times New Roman" w:hint="default"/>
          <w:b w:val="0"/>
          <w:bCs w:val="0"/>
          <w:color w:val="auto"/>
          <w:sz w:val="24"/>
          <w:szCs w:val="24"/>
        </w:rPr>
      </w:pPr>
      <w:r>
        <w:rPr>
          <w:rFonts w:ascii="Times New Roman" w:eastAsia="楷体" w:hAnsi="Times New Roman" w:cs="Times New Roman" w:hint="default"/>
          <w:b w:val="0"/>
          <w:bCs w:val="0"/>
          <w:color w:val="auto"/>
          <w:sz w:val="24"/>
          <w:szCs w:val="24"/>
          <w:lang w:val="en-US" w:eastAsia="zh-CN"/>
        </w:rPr>
        <w:t xml:space="preserve">[8] </w:t>
      </w:r>
      <w:r>
        <w:rPr>
          <w:rFonts w:ascii="Times New Roman" w:eastAsia="楷体" w:hAnsi="Times New Roman" w:cs="Times New Roman" w:hint="default"/>
          <w:b w:val="0"/>
          <w:bCs w:val="0"/>
          <w:color w:val="auto"/>
          <w:sz w:val="24"/>
          <w:szCs w:val="24"/>
        </w:rPr>
        <w:t>Liu Z</w:t>
      </w:r>
      <w:r>
        <w:rPr>
          <w:rFonts w:ascii="Times New Roman" w:eastAsia="楷体" w:hAnsi="Times New Roman" w:cs="Times New Roman" w:hint="default"/>
          <w:b w:val="0"/>
          <w:bCs w:val="0"/>
          <w:color w:val="auto"/>
          <w:sz w:val="24"/>
          <w:szCs w:val="24"/>
          <w:lang w:val="en-US" w:eastAsia="zh-CN"/>
        </w:rPr>
        <w:t>.Y.</w:t>
      </w:r>
      <w:r>
        <w:rPr>
          <w:rFonts w:ascii="Times New Roman" w:eastAsia="楷体" w:hAnsi="Times New Roman" w:cs="Times New Roman" w:hint="default"/>
          <w:b w:val="0"/>
          <w:bCs w:val="0"/>
          <w:color w:val="auto"/>
          <w:sz w:val="24"/>
          <w:szCs w:val="24"/>
        </w:rPr>
        <w:t>, Zhang Y</w:t>
      </w:r>
      <w:r>
        <w:rPr>
          <w:rFonts w:ascii="Times New Roman" w:eastAsia="楷体" w:hAnsi="Times New Roman" w:cs="Times New Roman" w:hint="default"/>
          <w:b w:val="0"/>
          <w:bCs w:val="0"/>
          <w:color w:val="auto"/>
          <w:sz w:val="24"/>
          <w:szCs w:val="24"/>
          <w:lang w:val="en-US" w:eastAsia="zh-CN"/>
        </w:rPr>
        <w:t>.S.</w:t>
      </w:r>
      <w:r>
        <w:rPr>
          <w:rFonts w:ascii="Times New Roman" w:eastAsia="楷体" w:hAnsi="Times New Roman" w:cs="Times New Roman" w:hint="default"/>
          <w:b w:val="0"/>
          <w:bCs w:val="0"/>
          <w:color w:val="auto"/>
          <w:sz w:val="24"/>
          <w:szCs w:val="24"/>
        </w:rPr>
        <w:t>, Jiang Q. Continuous tracking of the relationship between resistivity and pore structure of cement pastes [J]. Construction and Building Materials, 2014, 53, 26-31.</w:t>
      </w:r>
    </w:p>
    <w:p>
      <w:pPr>
        <w:pStyle w:val="CommentText"/>
        <w:keepNext w:val="0"/>
        <w:keepLines w:val="0"/>
        <w:pageBreakBefore w:val="0"/>
        <w:kinsoku/>
        <w:wordWrap/>
        <w:overflowPunct/>
        <w:topLinePunct w:val="0"/>
        <w:autoSpaceDE/>
        <w:autoSpaceDN/>
        <w:bidi w:val="0"/>
        <w:adjustRightInd/>
        <w:snapToGrid/>
        <w:spacing w:line="440" w:lineRule="exact"/>
        <w:ind w:firstLine="0" w:firstLineChars="0"/>
        <w:jc w:val="both"/>
        <w:textAlignment w:val="auto"/>
        <w:rPr>
          <w:rFonts w:ascii="Times New Roman" w:eastAsia="楷体" w:hAnsi="Times New Roman" w:cs="Times New Roman" w:hint="default"/>
          <w:b w:val="0"/>
          <w:bCs w:val="0"/>
          <w:color w:val="auto"/>
          <w:sz w:val="24"/>
          <w:szCs w:val="24"/>
        </w:rPr>
      </w:pPr>
      <w:r>
        <w:rPr>
          <w:rFonts w:ascii="Times New Roman" w:eastAsia="楷体" w:hAnsi="Times New Roman" w:cs="Times New Roman" w:hint="default"/>
          <w:b w:val="0"/>
          <w:bCs w:val="0"/>
          <w:color w:val="auto"/>
          <w:sz w:val="24"/>
          <w:szCs w:val="24"/>
          <w:lang w:val="en-US" w:eastAsia="zh-CN"/>
        </w:rPr>
        <w:t xml:space="preserve">[9] </w:t>
      </w:r>
      <w:r>
        <w:rPr>
          <w:rFonts w:ascii="Times New Roman" w:eastAsia="楷体" w:hAnsi="Times New Roman" w:cs="Times New Roman" w:hint="default"/>
          <w:b w:val="0"/>
          <w:bCs w:val="0"/>
          <w:color w:val="auto"/>
          <w:sz w:val="24"/>
          <w:szCs w:val="24"/>
        </w:rPr>
        <w:t>Ghosh K</w:t>
      </w:r>
      <w:r>
        <w:rPr>
          <w:rFonts w:ascii="Times New Roman" w:eastAsia="楷体" w:hAnsi="Times New Roman" w:cs="Times New Roman" w:hint="default"/>
          <w:b w:val="0"/>
          <w:bCs w:val="0"/>
          <w:color w:val="auto"/>
          <w:sz w:val="24"/>
          <w:szCs w:val="24"/>
          <w:lang w:val="en-US" w:eastAsia="zh-CN"/>
        </w:rPr>
        <w:t>.</w:t>
      </w:r>
      <w:r>
        <w:rPr>
          <w:rFonts w:ascii="Times New Roman" w:eastAsia="楷体" w:hAnsi="Times New Roman" w:cs="Times New Roman" w:hint="default"/>
          <w:b w:val="0"/>
          <w:bCs w:val="0"/>
          <w:color w:val="auto"/>
          <w:sz w:val="24"/>
          <w:szCs w:val="24"/>
        </w:rPr>
        <w:t xml:space="preserve">, Ghosh </w:t>
      </w:r>
      <w:r>
        <w:rPr>
          <w:rFonts w:ascii="Times New Roman" w:eastAsia="楷体" w:hAnsi="Times New Roman" w:cs="Times New Roman" w:hint="default"/>
          <w:b w:val="0"/>
          <w:bCs w:val="0"/>
          <w:color w:val="auto"/>
          <w:sz w:val="24"/>
          <w:szCs w:val="24"/>
          <w:lang w:val="en-US" w:eastAsia="zh-CN"/>
        </w:rPr>
        <w:t>P</w:t>
      </w:r>
      <w:r>
        <w:rPr>
          <w:rFonts w:ascii="Times New Roman" w:eastAsia="楷体" w:hAnsi="Times New Roman" w:cs="Times New Roman" w:hint="default"/>
          <w:b w:val="0"/>
          <w:bCs w:val="0"/>
          <w:color w:val="auto"/>
          <w:sz w:val="24"/>
          <w:szCs w:val="24"/>
        </w:rPr>
        <w:t>. Effect of alkali concentration on mechanical properties, microstructure, zeta potential and electrical conductivity of thermally cured fly ash blast furnace slag based blended geopolymer composites [J]. Oriental Journal of Chemistry, 2018, 34</w:t>
      </w:r>
      <w:r>
        <w:rPr>
          <w:rFonts w:ascii="Times New Roman" w:eastAsia="楷体" w:hAnsi="Times New Roman" w:cs="Times New Roman" w:hint="eastAsia"/>
          <w:b w:val="0"/>
          <w:bCs w:val="0"/>
          <w:color w:val="auto"/>
          <w:sz w:val="24"/>
          <w:szCs w:val="24"/>
          <w:lang w:val="en-US" w:eastAsia="zh-CN"/>
        </w:rPr>
        <w:t>(</w:t>
      </w:r>
      <w:r>
        <w:rPr>
          <w:rFonts w:ascii="Times New Roman" w:eastAsia="楷体" w:hAnsi="Times New Roman" w:cs="Times New Roman" w:hint="default"/>
          <w:b w:val="0"/>
          <w:bCs w:val="0"/>
          <w:color w:val="auto"/>
          <w:sz w:val="24"/>
          <w:szCs w:val="24"/>
        </w:rPr>
        <w:t>2</w:t>
      </w:r>
      <w:r>
        <w:rPr>
          <w:rFonts w:ascii="Times New Roman" w:eastAsia="楷体" w:hAnsi="Times New Roman" w:cs="Times New Roman" w:hint="eastAsia"/>
          <w:b w:val="0"/>
          <w:bCs w:val="0"/>
          <w:color w:val="auto"/>
          <w:sz w:val="24"/>
          <w:szCs w:val="24"/>
          <w:lang w:val="en-US" w:eastAsia="zh-CN"/>
        </w:rPr>
        <w:t>)</w:t>
      </w:r>
      <w:r>
        <w:rPr>
          <w:rFonts w:ascii="Times New Roman" w:eastAsia="楷体" w:hAnsi="Times New Roman" w:cs="Times New Roman" w:hint="default"/>
          <w:b w:val="0"/>
          <w:bCs w:val="0"/>
          <w:color w:val="auto"/>
          <w:sz w:val="24"/>
          <w:szCs w:val="24"/>
        </w:rPr>
        <w:t>, 704-715.</w:t>
      </w:r>
    </w:p>
    <w:p>
      <w:pPr>
        <w:pStyle w:val="CommentText"/>
        <w:keepNext w:val="0"/>
        <w:keepLines w:val="0"/>
        <w:pageBreakBefore w:val="0"/>
        <w:kinsoku/>
        <w:wordWrap/>
        <w:overflowPunct/>
        <w:topLinePunct w:val="0"/>
        <w:autoSpaceDE/>
        <w:autoSpaceDN/>
        <w:bidi w:val="0"/>
        <w:adjustRightInd/>
        <w:snapToGrid/>
        <w:spacing w:line="440" w:lineRule="exact"/>
        <w:ind w:firstLine="0" w:firstLineChars="0"/>
        <w:jc w:val="both"/>
        <w:textAlignment w:val="auto"/>
        <w:rPr>
          <w:rFonts w:ascii="Times New Roman" w:eastAsia="楷体" w:hAnsi="Times New Roman" w:cs="Times New Roman" w:hint="default"/>
          <w:b w:val="0"/>
          <w:bCs w:val="0"/>
          <w:color w:val="auto"/>
          <w:sz w:val="24"/>
          <w:szCs w:val="24"/>
        </w:rPr>
      </w:pPr>
      <w:r>
        <w:rPr>
          <w:rFonts w:ascii="Times New Roman" w:eastAsia="楷体" w:hAnsi="Times New Roman" w:cs="Times New Roman" w:hint="default"/>
          <w:b w:val="0"/>
          <w:bCs w:val="0"/>
          <w:color w:val="auto"/>
          <w:sz w:val="24"/>
          <w:szCs w:val="24"/>
          <w:lang w:val="en-US" w:eastAsia="zh-CN"/>
        </w:rPr>
        <w:t xml:space="preserve">[10] </w:t>
      </w:r>
      <w:r>
        <w:rPr>
          <w:rFonts w:ascii="Times New Roman" w:eastAsia="楷体" w:hAnsi="Times New Roman" w:cs="Times New Roman" w:hint="default"/>
          <w:b w:val="0"/>
          <w:bCs w:val="0"/>
          <w:color w:val="auto"/>
          <w:sz w:val="24"/>
          <w:szCs w:val="24"/>
        </w:rPr>
        <w:t>Ma Y</w:t>
      </w:r>
      <w:r>
        <w:rPr>
          <w:rFonts w:ascii="Times New Roman" w:eastAsia="楷体" w:hAnsi="Times New Roman" w:cs="Times New Roman" w:hint="default"/>
          <w:b w:val="0"/>
          <w:bCs w:val="0"/>
          <w:color w:val="auto"/>
          <w:sz w:val="24"/>
          <w:szCs w:val="24"/>
          <w:lang w:val="en-US" w:eastAsia="zh-CN"/>
        </w:rPr>
        <w:t>.W.</w:t>
      </w:r>
      <w:r>
        <w:rPr>
          <w:rFonts w:ascii="Times New Roman" w:eastAsia="楷体" w:hAnsi="Times New Roman" w:cs="Times New Roman" w:hint="default"/>
          <w:b w:val="0"/>
          <w:bCs w:val="0"/>
          <w:color w:val="auto"/>
          <w:sz w:val="24"/>
          <w:szCs w:val="24"/>
        </w:rPr>
        <w:t>, Li F</w:t>
      </w:r>
      <w:r>
        <w:rPr>
          <w:rFonts w:ascii="Times New Roman" w:eastAsia="楷体" w:hAnsi="Times New Roman" w:cs="Times New Roman" w:hint="default"/>
          <w:b w:val="0"/>
          <w:bCs w:val="0"/>
          <w:color w:val="auto"/>
          <w:sz w:val="24"/>
          <w:szCs w:val="24"/>
          <w:lang w:val="en-US" w:eastAsia="zh-CN"/>
        </w:rPr>
        <w:t>.J.</w:t>
      </w:r>
      <w:r>
        <w:rPr>
          <w:rFonts w:ascii="Times New Roman" w:eastAsia="楷体" w:hAnsi="Times New Roman" w:cs="Times New Roman" w:hint="default"/>
          <w:b w:val="0"/>
          <w:bCs w:val="0"/>
          <w:color w:val="auto"/>
          <w:sz w:val="24"/>
          <w:szCs w:val="24"/>
        </w:rPr>
        <w:t>, Xie H</w:t>
      </w:r>
      <w:r>
        <w:rPr>
          <w:rFonts w:ascii="Times New Roman" w:eastAsia="楷体" w:hAnsi="Times New Roman" w:cs="Times New Roman" w:hint="default"/>
          <w:b w:val="0"/>
          <w:bCs w:val="0"/>
          <w:color w:val="auto"/>
          <w:sz w:val="24"/>
          <w:szCs w:val="24"/>
          <w:lang w:val="en-US" w:eastAsia="zh-CN"/>
        </w:rPr>
        <w:t>.J.</w:t>
      </w:r>
      <w:r>
        <w:rPr>
          <w:rFonts w:ascii="Times New Roman" w:eastAsia="楷体" w:hAnsi="Times New Roman" w:cs="Times New Roman" w:hint="default"/>
          <w:b w:val="0"/>
          <w:bCs w:val="0"/>
          <w:color w:val="auto"/>
          <w:sz w:val="24"/>
          <w:szCs w:val="24"/>
        </w:rPr>
        <w:t>, Liu W</w:t>
      </w:r>
      <w:r>
        <w:rPr>
          <w:rFonts w:ascii="Times New Roman" w:eastAsia="楷体" w:hAnsi="Times New Roman" w:cs="Times New Roman" w:hint="default"/>
          <w:b w:val="0"/>
          <w:bCs w:val="0"/>
          <w:color w:val="auto"/>
          <w:sz w:val="24"/>
          <w:szCs w:val="24"/>
          <w:lang w:val="en-US" w:eastAsia="zh-CN"/>
        </w:rPr>
        <w:t>.S.</w:t>
      </w:r>
      <w:r>
        <w:rPr>
          <w:rFonts w:ascii="Times New Roman" w:eastAsia="楷体" w:hAnsi="Times New Roman" w:cs="Times New Roman" w:hint="default"/>
          <w:b w:val="0"/>
          <w:bCs w:val="0"/>
          <w:color w:val="auto"/>
          <w:sz w:val="24"/>
          <w:szCs w:val="24"/>
        </w:rPr>
        <w:t>, Ouyang X</w:t>
      </w:r>
      <w:r>
        <w:rPr>
          <w:rFonts w:ascii="Times New Roman" w:eastAsia="楷体" w:hAnsi="Times New Roman" w:cs="Times New Roman" w:hint="default"/>
          <w:b w:val="0"/>
          <w:bCs w:val="0"/>
          <w:color w:val="auto"/>
          <w:sz w:val="24"/>
          <w:szCs w:val="24"/>
          <w:lang w:val="en-US" w:eastAsia="zh-CN"/>
        </w:rPr>
        <w:t>.W.</w:t>
      </w:r>
      <w:r>
        <w:rPr>
          <w:rFonts w:ascii="Times New Roman" w:eastAsia="楷体" w:hAnsi="Times New Roman" w:cs="Times New Roman" w:hint="default"/>
          <w:b w:val="0"/>
          <w:bCs w:val="0"/>
          <w:color w:val="auto"/>
          <w:sz w:val="24"/>
          <w:szCs w:val="24"/>
        </w:rPr>
        <w:t>, Fu J</w:t>
      </w:r>
      <w:r>
        <w:rPr>
          <w:rFonts w:ascii="Times New Roman" w:eastAsia="楷体" w:hAnsi="Times New Roman" w:cs="Times New Roman" w:hint="default"/>
          <w:b w:val="0"/>
          <w:bCs w:val="0"/>
          <w:color w:val="auto"/>
          <w:sz w:val="24"/>
          <w:szCs w:val="24"/>
          <w:lang w:val="en-US" w:eastAsia="zh-CN"/>
        </w:rPr>
        <w:t>.Y.</w:t>
      </w:r>
      <w:r>
        <w:rPr>
          <w:rFonts w:ascii="Times New Roman" w:eastAsia="楷体" w:hAnsi="Times New Roman" w:cs="Times New Roman" w:hint="default"/>
          <w:b w:val="0"/>
          <w:bCs w:val="0"/>
          <w:color w:val="auto"/>
          <w:sz w:val="24"/>
          <w:szCs w:val="24"/>
        </w:rPr>
        <w:t>, Wang H. Self-sensing properties of alkali-activated materials prepared with different precursors [J]. Construction and Building Materials, 2023. 409, 134201.</w:t>
      </w:r>
    </w:p>
    <w:p>
      <w:pPr>
        <w:pStyle w:val="CommentText"/>
        <w:keepNext w:val="0"/>
        <w:keepLines w:val="0"/>
        <w:pageBreakBefore w:val="0"/>
        <w:kinsoku/>
        <w:wordWrap/>
        <w:overflowPunct/>
        <w:topLinePunct w:val="0"/>
        <w:autoSpaceDE/>
        <w:autoSpaceDN/>
        <w:bidi w:val="0"/>
        <w:adjustRightInd/>
        <w:snapToGrid/>
        <w:spacing w:line="440" w:lineRule="exact"/>
        <w:ind w:firstLine="0" w:firstLineChars="0"/>
        <w:jc w:val="both"/>
        <w:textAlignment w:val="auto"/>
        <w:rPr>
          <w:rFonts w:ascii="Times New Roman" w:eastAsia="楷体" w:hAnsi="Times New Roman" w:cs="Times New Roman" w:hint="default"/>
          <w:b w:val="0"/>
          <w:bCs w:val="0"/>
          <w:color w:val="auto"/>
          <w:sz w:val="24"/>
          <w:szCs w:val="24"/>
        </w:rPr>
      </w:pPr>
      <w:r>
        <w:rPr>
          <w:rFonts w:ascii="Times New Roman" w:eastAsia="楷体" w:hAnsi="Times New Roman" w:cs="Times New Roman" w:hint="default"/>
          <w:b w:val="0"/>
          <w:bCs w:val="0"/>
          <w:color w:val="auto"/>
          <w:sz w:val="24"/>
          <w:szCs w:val="24"/>
          <w:lang w:val="en-US" w:eastAsia="zh-CN"/>
        </w:rPr>
        <w:t xml:space="preserve">[11] </w:t>
      </w:r>
      <w:r>
        <w:rPr>
          <w:rFonts w:ascii="Times New Roman" w:eastAsia="楷体" w:hAnsi="Times New Roman" w:cs="Times New Roman" w:hint="default"/>
          <w:b w:val="0"/>
          <w:bCs w:val="0"/>
          <w:color w:val="auto"/>
          <w:sz w:val="24"/>
          <w:szCs w:val="24"/>
        </w:rPr>
        <w:t>Yannick C.H.N</w:t>
      </w:r>
      <w:r>
        <w:rPr>
          <w:rFonts w:ascii="Times New Roman" w:eastAsia="楷体" w:hAnsi="Times New Roman" w:cs="Times New Roman" w:hint="default"/>
          <w:b w:val="0"/>
          <w:bCs w:val="0"/>
          <w:color w:val="auto"/>
          <w:sz w:val="24"/>
          <w:szCs w:val="24"/>
          <w:lang w:val="en-US" w:eastAsia="zh-CN"/>
        </w:rPr>
        <w:t>.</w:t>
      </w:r>
      <w:r>
        <w:rPr>
          <w:rFonts w:ascii="Times New Roman" w:eastAsia="楷体" w:hAnsi="Times New Roman" w:cs="Times New Roman" w:hint="default"/>
          <w:b w:val="0"/>
          <w:bCs w:val="0"/>
          <w:color w:val="auto"/>
          <w:sz w:val="24"/>
          <w:szCs w:val="24"/>
        </w:rPr>
        <w:t>, Hardy Y</w:t>
      </w:r>
      <w:r>
        <w:rPr>
          <w:rFonts w:ascii="Times New Roman" w:eastAsia="楷体" w:hAnsi="Times New Roman" w:cs="Times New Roman" w:hint="default"/>
          <w:b w:val="0"/>
          <w:bCs w:val="0"/>
          <w:color w:val="auto"/>
          <w:sz w:val="24"/>
          <w:szCs w:val="24"/>
          <w:lang w:val="en-US" w:eastAsia="zh-CN"/>
        </w:rPr>
        <w:t>.</w:t>
      </w:r>
      <w:r>
        <w:rPr>
          <w:rFonts w:ascii="Times New Roman" w:eastAsia="楷体" w:hAnsi="Times New Roman" w:cs="Times New Roman" w:hint="default"/>
          <w:b w:val="0"/>
          <w:bCs w:val="0"/>
          <w:color w:val="auto"/>
          <w:sz w:val="24"/>
          <w:szCs w:val="24"/>
        </w:rPr>
        <w:t>K</w:t>
      </w:r>
      <w:r>
        <w:rPr>
          <w:rFonts w:ascii="Times New Roman" w:eastAsia="楷体" w:hAnsi="Times New Roman" w:cs="Times New Roman" w:hint="default"/>
          <w:b w:val="0"/>
          <w:bCs w:val="0"/>
          <w:color w:val="auto"/>
          <w:sz w:val="24"/>
          <w:szCs w:val="24"/>
          <w:lang w:val="en-US" w:eastAsia="zh-CN"/>
        </w:rPr>
        <w:t>.</w:t>
      </w:r>
      <w:r>
        <w:rPr>
          <w:rFonts w:ascii="Times New Roman" w:eastAsia="楷体" w:hAnsi="Times New Roman" w:cs="Times New Roman" w:hint="default"/>
          <w:b w:val="0"/>
          <w:bCs w:val="0"/>
          <w:color w:val="auto"/>
          <w:sz w:val="24"/>
          <w:szCs w:val="24"/>
        </w:rPr>
        <w:t>, Hu X</w:t>
      </w:r>
      <w:r>
        <w:rPr>
          <w:rFonts w:ascii="Times New Roman" w:eastAsia="楷体" w:hAnsi="Times New Roman" w:cs="Times New Roman" w:hint="default"/>
          <w:b w:val="0"/>
          <w:bCs w:val="0"/>
          <w:color w:val="auto"/>
          <w:sz w:val="24"/>
          <w:szCs w:val="24"/>
          <w:lang w:val="en-US" w:eastAsia="zh-CN"/>
        </w:rPr>
        <w:t>.P.</w:t>
      </w:r>
      <w:r>
        <w:rPr>
          <w:rFonts w:ascii="Times New Roman" w:eastAsia="楷体" w:hAnsi="Times New Roman" w:cs="Times New Roman" w:hint="default"/>
          <w:b w:val="0"/>
          <w:bCs w:val="0"/>
          <w:color w:val="auto"/>
          <w:sz w:val="24"/>
          <w:szCs w:val="24"/>
        </w:rPr>
        <w:t>, Wong L</w:t>
      </w:r>
      <w:r>
        <w:rPr>
          <w:rFonts w:ascii="Times New Roman" w:eastAsia="楷体" w:hAnsi="Times New Roman" w:cs="Times New Roman" w:hint="default"/>
          <w:b w:val="0"/>
          <w:bCs w:val="0"/>
          <w:color w:val="auto"/>
          <w:sz w:val="24"/>
          <w:szCs w:val="24"/>
          <w:lang w:val="en-US" w:eastAsia="zh-CN"/>
        </w:rPr>
        <w:t>.</w:t>
      </w:r>
      <w:r>
        <w:rPr>
          <w:rFonts w:ascii="Times New Roman" w:eastAsia="楷体" w:hAnsi="Times New Roman" w:cs="Times New Roman" w:hint="default"/>
          <w:b w:val="0"/>
          <w:bCs w:val="0"/>
          <w:color w:val="auto"/>
          <w:sz w:val="24"/>
          <w:szCs w:val="24"/>
        </w:rPr>
        <w:t>N</w:t>
      </w:r>
      <w:r>
        <w:rPr>
          <w:rFonts w:ascii="Times New Roman" w:eastAsia="楷体" w:hAnsi="Times New Roman" w:cs="Times New Roman" w:hint="default"/>
          <w:b w:val="0"/>
          <w:bCs w:val="0"/>
          <w:color w:val="auto"/>
          <w:sz w:val="24"/>
          <w:szCs w:val="24"/>
          <w:lang w:val="en-US" w:eastAsia="zh-CN"/>
        </w:rPr>
        <w:t>.</w:t>
      </w:r>
      <w:r>
        <w:rPr>
          <w:rFonts w:ascii="Times New Roman" w:eastAsia="楷体" w:hAnsi="Times New Roman" w:cs="Times New Roman" w:hint="default"/>
          <w:b w:val="0"/>
          <w:bCs w:val="0"/>
          <w:color w:val="auto"/>
          <w:sz w:val="24"/>
          <w:szCs w:val="24"/>
        </w:rPr>
        <w:t>, Teo S</w:t>
      </w:r>
      <w:r>
        <w:rPr>
          <w:rFonts w:ascii="Times New Roman" w:eastAsia="楷体" w:hAnsi="Times New Roman" w:cs="Times New Roman" w:hint="default"/>
          <w:b w:val="0"/>
          <w:bCs w:val="0"/>
          <w:color w:val="auto"/>
          <w:sz w:val="24"/>
          <w:szCs w:val="24"/>
          <w:lang w:val="en-US" w:eastAsia="zh-CN"/>
        </w:rPr>
        <w:t>.</w:t>
      </w:r>
      <w:r>
        <w:rPr>
          <w:rFonts w:ascii="Times New Roman" w:eastAsia="楷体" w:hAnsi="Times New Roman" w:cs="Times New Roman" w:hint="default"/>
          <w:b w:val="0"/>
          <w:bCs w:val="0"/>
          <w:color w:val="auto"/>
          <w:sz w:val="24"/>
          <w:szCs w:val="24"/>
        </w:rPr>
        <w:t>, Ku T</w:t>
      </w:r>
      <w:r>
        <w:rPr>
          <w:rFonts w:ascii="Times New Roman" w:eastAsia="楷体" w:hAnsi="Times New Roman" w:cs="Times New Roman" w:hint="default"/>
          <w:b w:val="0"/>
          <w:bCs w:val="0"/>
          <w:color w:val="auto"/>
          <w:sz w:val="24"/>
          <w:szCs w:val="24"/>
          <w:lang w:val="en-US" w:eastAsia="zh-CN"/>
        </w:rPr>
        <w:t>.</w:t>
      </w:r>
      <w:r>
        <w:rPr>
          <w:rFonts w:ascii="Times New Roman" w:eastAsia="楷体" w:hAnsi="Times New Roman" w:cs="Times New Roman" w:hint="default"/>
          <w:b w:val="0"/>
          <w:bCs w:val="0"/>
          <w:color w:val="auto"/>
          <w:sz w:val="24"/>
          <w:szCs w:val="24"/>
        </w:rPr>
        <w:t>, Lee F</w:t>
      </w:r>
      <w:r>
        <w:rPr>
          <w:rFonts w:ascii="Times New Roman" w:eastAsia="楷体" w:hAnsi="Times New Roman" w:cs="Times New Roman" w:hint="default"/>
          <w:b w:val="0"/>
          <w:bCs w:val="0"/>
          <w:color w:val="auto"/>
          <w:sz w:val="24"/>
          <w:szCs w:val="24"/>
          <w:lang w:val="en-US" w:eastAsia="zh-CN"/>
        </w:rPr>
        <w:t>.</w:t>
      </w:r>
      <w:r>
        <w:rPr>
          <w:rFonts w:ascii="Times New Roman" w:eastAsia="楷体" w:hAnsi="Times New Roman" w:cs="Times New Roman" w:hint="default"/>
          <w:b w:val="0"/>
          <w:bCs w:val="0"/>
          <w:color w:val="auto"/>
          <w:sz w:val="24"/>
          <w:szCs w:val="24"/>
        </w:rPr>
        <w:t>H. An approach for characterising electrical conductivity of cement-admixed clays</w:t>
      </w:r>
      <w:r>
        <w:rPr>
          <w:rFonts w:ascii="Times New Roman" w:eastAsia="楷体" w:hAnsi="Times New Roman" w:cs="Times New Roman" w:hint="eastAsia"/>
          <w:b w:val="0"/>
          <w:bCs w:val="0"/>
          <w:color w:val="auto"/>
          <w:sz w:val="24"/>
          <w:szCs w:val="24"/>
          <w:lang w:val="en-US" w:eastAsia="zh-CN"/>
        </w:rPr>
        <w:t xml:space="preserve"> </w:t>
      </w:r>
      <w:r>
        <w:rPr>
          <w:rFonts w:ascii="Times New Roman" w:eastAsia="楷体" w:hAnsi="Times New Roman" w:cs="Times New Roman" w:hint="default"/>
          <w:b w:val="0"/>
          <w:bCs w:val="0"/>
          <w:color w:val="auto"/>
          <w:sz w:val="24"/>
          <w:szCs w:val="24"/>
        </w:rPr>
        <w:t>[J]. Soils and Foundations, 2022, 62, 101127.</w:t>
      </w:r>
    </w:p>
    <w:p>
      <w:pPr>
        <w:pStyle w:val="CommentText"/>
        <w:keepNext w:val="0"/>
        <w:keepLines w:val="0"/>
        <w:pageBreakBefore w:val="0"/>
        <w:kinsoku/>
        <w:wordWrap/>
        <w:overflowPunct/>
        <w:topLinePunct w:val="0"/>
        <w:autoSpaceDE/>
        <w:autoSpaceDN/>
        <w:bidi w:val="0"/>
        <w:adjustRightInd/>
        <w:snapToGrid/>
        <w:spacing w:line="440" w:lineRule="exact"/>
        <w:ind w:firstLine="0" w:firstLineChars="0"/>
        <w:jc w:val="both"/>
        <w:textAlignment w:val="auto"/>
        <w:rPr>
          <w:rFonts w:ascii="Times New Roman" w:eastAsia="楷体" w:hAnsi="Times New Roman" w:cs="Times New Roman" w:hint="default"/>
          <w:b w:val="0"/>
          <w:bCs w:val="0"/>
          <w:color w:val="auto"/>
          <w:sz w:val="24"/>
          <w:szCs w:val="24"/>
        </w:rPr>
      </w:pPr>
      <w:r>
        <w:rPr>
          <w:rFonts w:ascii="Times New Roman" w:eastAsia="楷体" w:hAnsi="Times New Roman" w:cs="Times New Roman" w:hint="default"/>
          <w:b w:val="0"/>
          <w:bCs w:val="0"/>
          <w:color w:val="auto"/>
          <w:sz w:val="24"/>
          <w:szCs w:val="24"/>
          <w:lang w:val="en-US" w:eastAsia="zh-CN"/>
        </w:rPr>
        <w:t xml:space="preserve">[12] </w:t>
      </w:r>
      <w:r>
        <w:rPr>
          <w:rFonts w:ascii="Times New Roman" w:eastAsia="楷体" w:hAnsi="Times New Roman" w:cs="Times New Roman" w:hint="default"/>
          <w:b w:val="0"/>
          <w:bCs w:val="0"/>
          <w:color w:val="auto"/>
          <w:sz w:val="24"/>
          <w:szCs w:val="24"/>
        </w:rPr>
        <w:t>Kang D</w:t>
      </w:r>
      <w:r>
        <w:rPr>
          <w:rFonts w:ascii="Times New Roman" w:eastAsia="楷体" w:hAnsi="Times New Roman" w:cs="Times New Roman" w:hint="default"/>
          <w:b w:val="0"/>
          <w:bCs w:val="0"/>
          <w:color w:val="auto"/>
          <w:sz w:val="24"/>
          <w:szCs w:val="24"/>
          <w:lang w:val="en-US" w:eastAsia="zh-CN"/>
        </w:rPr>
        <w:t>.W.</w:t>
      </w:r>
      <w:r>
        <w:rPr>
          <w:rFonts w:ascii="Times New Roman" w:eastAsia="楷体" w:hAnsi="Times New Roman" w:cs="Times New Roman" w:hint="default"/>
          <w:b w:val="0"/>
          <w:bCs w:val="0"/>
          <w:color w:val="auto"/>
          <w:sz w:val="24"/>
          <w:szCs w:val="24"/>
        </w:rPr>
        <w:t>, Kang M</w:t>
      </w:r>
      <w:r>
        <w:rPr>
          <w:rFonts w:ascii="Times New Roman" w:eastAsia="楷体" w:hAnsi="Times New Roman" w:cs="Times New Roman" w:hint="default"/>
          <w:b w:val="0"/>
          <w:bCs w:val="0"/>
          <w:color w:val="auto"/>
          <w:sz w:val="24"/>
          <w:szCs w:val="24"/>
          <w:lang w:val="en-US" w:eastAsia="zh-CN"/>
        </w:rPr>
        <w:t>.J.</w:t>
      </w:r>
      <w:r>
        <w:rPr>
          <w:rFonts w:ascii="Times New Roman" w:eastAsia="楷体" w:hAnsi="Times New Roman" w:cs="Times New Roman" w:hint="default"/>
          <w:b w:val="0"/>
          <w:bCs w:val="0"/>
          <w:color w:val="auto"/>
          <w:sz w:val="24"/>
          <w:szCs w:val="24"/>
        </w:rPr>
        <w:t>, Yun H</w:t>
      </w:r>
      <w:r>
        <w:rPr>
          <w:rFonts w:ascii="Times New Roman" w:eastAsia="楷体" w:hAnsi="Times New Roman" w:cs="Times New Roman" w:hint="default"/>
          <w:b w:val="0"/>
          <w:bCs w:val="0"/>
          <w:color w:val="auto"/>
          <w:sz w:val="24"/>
          <w:szCs w:val="24"/>
          <w:lang w:val="en-US" w:eastAsia="zh-CN"/>
        </w:rPr>
        <w:t>.</w:t>
      </w:r>
      <w:r>
        <w:rPr>
          <w:rFonts w:ascii="Times New Roman" w:eastAsia="楷体" w:hAnsi="Times New Roman" w:cs="Times New Roman" w:hint="default"/>
          <w:b w:val="0"/>
          <w:bCs w:val="0"/>
          <w:color w:val="auto"/>
          <w:sz w:val="24"/>
          <w:szCs w:val="24"/>
        </w:rPr>
        <w:t>, Park H</w:t>
      </w:r>
      <w:r>
        <w:rPr>
          <w:rFonts w:ascii="Times New Roman" w:eastAsia="楷体" w:hAnsi="Times New Roman" w:cs="Times New Roman" w:hint="default"/>
          <w:b w:val="0"/>
          <w:bCs w:val="0"/>
          <w:color w:val="auto"/>
          <w:sz w:val="24"/>
          <w:szCs w:val="24"/>
          <w:lang w:val="en-US" w:eastAsia="zh-CN"/>
        </w:rPr>
        <w:t>.</w:t>
      </w:r>
      <w:r>
        <w:rPr>
          <w:rFonts w:ascii="Times New Roman" w:eastAsia="楷体" w:hAnsi="Times New Roman" w:cs="Times New Roman" w:hint="default"/>
          <w:b w:val="0"/>
          <w:bCs w:val="0"/>
          <w:color w:val="auto"/>
          <w:sz w:val="24"/>
          <w:szCs w:val="24"/>
        </w:rPr>
        <w:t>, Hong C. Emerging porous solid electrolytes for hydroxide ion transport [J]. Advanced Functional Materials, 2021, 31</w:t>
      </w:r>
      <w:r>
        <w:rPr>
          <w:rFonts w:ascii="Times New Roman" w:eastAsia="楷体" w:hAnsi="Times New Roman" w:cs="Times New Roman" w:hint="eastAsia"/>
          <w:b w:val="0"/>
          <w:bCs w:val="0"/>
          <w:color w:val="auto"/>
          <w:sz w:val="24"/>
          <w:szCs w:val="24"/>
          <w:lang w:val="en-US" w:eastAsia="zh-CN"/>
        </w:rPr>
        <w:t>(</w:t>
      </w:r>
      <w:r>
        <w:rPr>
          <w:rFonts w:ascii="Times New Roman" w:eastAsia="楷体" w:hAnsi="Times New Roman" w:cs="Times New Roman" w:hint="default"/>
          <w:b w:val="0"/>
          <w:bCs w:val="0"/>
          <w:color w:val="auto"/>
          <w:sz w:val="24"/>
          <w:szCs w:val="24"/>
        </w:rPr>
        <w:t>19</w:t>
      </w:r>
      <w:r>
        <w:rPr>
          <w:rFonts w:ascii="Times New Roman" w:eastAsia="楷体" w:hAnsi="Times New Roman" w:cs="Times New Roman" w:hint="eastAsia"/>
          <w:b w:val="0"/>
          <w:bCs w:val="0"/>
          <w:color w:val="auto"/>
          <w:sz w:val="24"/>
          <w:szCs w:val="24"/>
          <w:lang w:val="en-US" w:eastAsia="zh-CN"/>
        </w:rPr>
        <w:t>)</w:t>
      </w:r>
      <w:r>
        <w:rPr>
          <w:rFonts w:ascii="Times New Roman" w:eastAsia="楷体" w:hAnsi="Times New Roman" w:cs="Times New Roman" w:hint="default"/>
          <w:b w:val="0"/>
          <w:bCs w:val="0"/>
          <w:color w:val="auto"/>
          <w:sz w:val="24"/>
          <w:szCs w:val="24"/>
        </w:rPr>
        <w:t>, 2100083.</w:t>
      </w:r>
    </w:p>
    <w:p>
      <w:pPr>
        <w:pStyle w:val="CommentText"/>
        <w:keepNext w:val="0"/>
        <w:keepLines w:val="0"/>
        <w:pageBreakBefore w:val="0"/>
        <w:numPr>
          <w:ilvl w:val="0"/>
          <w:numId w:val="0"/>
        </w:numPr>
        <w:kinsoku/>
        <w:wordWrap/>
        <w:overflowPunct/>
        <w:topLinePunct w:val="0"/>
        <w:autoSpaceDE/>
        <w:autoSpaceDN/>
        <w:bidi w:val="0"/>
        <w:adjustRightInd/>
        <w:snapToGrid/>
        <w:spacing w:line="440" w:lineRule="exact"/>
        <w:ind w:firstLine="0" w:firstLineChars="0"/>
        <w:jc w:val="both"/>
        <w:textAlignment w:val="auto"/>
        <w:rPr>
          <w:rFonts w:ascii="Times New Roman" w:eastAsia="楷体" w:hAnsi="Times New Roman" w:cs="Times New Roman" w:hint="default"/>
          <w:b w:val="0"/>
          <w:bCs w:val="0"/>
          <w:color w:val="auto"/>
          <w:sz w:val="24"/>
          <w:szCs w:val="24"/>
          <w:lang w:val="en-US" w:eastAsia="zh-CN"/>
        </w:rPr>
      </w:pPr>
      <w:r>
        <w:rPr>
          <w:rFonts w:ascii="Times New Roman" w:eastAsia="楷体" w:hAnsi="Times New Roman" w:cs="Times New Roman" w:hint="default"/>
          <w:b w:val="0"/>
          <w:bCs w:val="0"/>
          <w:color w:val="auto"/>
          <w:sz w:val="24"/>
          <w:szCs w:val="24"/>
          <w:lang w:val="en-US" w:eastAsia="zh-CN"/>
        </w:rPr>
        <w:t>[13] Appiah</w:t>
      </w:r>
      <w:r>
        <w:rPr>
          <w:rFonts w:ascii="Times New Roman" w:eastAsia="楷体" w:hAnsi="Times New Roman" w:cs="Times New Roman" w:hint="eastAsia"/>
          <w:b w:val="0"/>
          <w:bCs w:val="0"/>
          <w:color w:val="auto"/>
          <w:sz w:val="24"/>
          <w:szCs w:val="24"/>
          <w:lang w:val="en-US" w:eastAsia="zh-CN"/>
        </w:rPr>
        <w:t xml:space="preserve"> </w:t>
      </w:r>
      <w:r>
        <w:rPr>
          <w:rFonts w:ascii="Times New Roman" w:eastAsia="楷体" w:hAnsi="Times New Roman" w:cs="Times New Roman" w:hint="default"/>
          <w:b w:val="0"/>
          <w:bCs w:val="0"/>
          <w:color w:val="auto"/>
          <w:sz w:val="24"/>
          <w:szCs w:val="24"/>
          <w:lang w:val="en-US" w:eastAsia="zh-CN"/>
        </w:rPr>
        <w:t>D.S., Dzikunu P., Mahadeen N., Ampong D.N., Mensah-Darkwa K., Kumar A., Gupta R.K., Adom-Asamoah M. Biopolymers-derived materials for supercapacitors: recent trends, challenges, and future prospects [J]. Molecules, 2022, 27, 6556.</w:t>
      </w:r>
    </w:p>
    <w:p>
      <w:pPr>
        <w:pStyle w:val="CommentText"/>
        <w:keepNext w:val="0"/>
        <w:keepLines w:val="0"/>
        <w:pageBreakBefore w:val="0"/>
        <w:numPr>
          <w:ilvl w:val="0"/>
          <w:numId w:val="0"/>
        </w:numPr>
        <w:kinsoku/>
        <w:wordWrap/>
        <w:overflowPunct/>
        <w:topLinePunct w:val="0"/>
        <w:autoSpaceDE/>
        <w:autoSpaceDN/>
        <w:bidi w:val="0"/>
        <w:adjustRightInd/>
        <w:snapToGrid/>
        <w:spacing w:line="440" w:lineRule="exact"/>
        <w:ind w:firstLine="0" w:firstLineChars="0"/>
        <w:jc w:val="both"/>
        <w:textAlignment w:val="auto"/>
        <w:rPr>
          <w:rFonts w:ascii="Times New Roman" w:eastAsia="楷体" w:hAnsi="Times New Roman" w:cs="Times New Roman" w:hint="default"/>
          <w:b w:val="0"/>
          <w:bCs w:val="0"/>
          <w:color w:val="auto"/>
          <w:sz w:val="24"/>
          <w:szCs w:val="24"/>
          <w:lang w:val="en-US" w:eastAsia="zh-CN"/>
        </w:rPr>
      </w:pPr>
      <w:r>
        <w:rPr>
          <w:rFonts w:ascii="Times New Roman" w:eastAsia="楷体" w:hAnsi="Times New Roman" w:cs="Times New Roman" w:hint="default"/>
          <w:b w:val="0"/>
          <w:bCs w:val="0"/>
          <w:color w:val="auto"/>
          <w:sz w:val="24"/>
          <w:szCs w:val="24"/>
          <w:lang w:val="en-US" w:eastAsia="zh-CN"/>
        </w:rPr>
        <w:t>[14] Chen N., Liu J., Cui Y.P., Yang Y.Q., Liu R.Q. Enhancing the electrochemical performance of Portland cement supercapacitor by decorating electrolyte with metal salt solution</w:t>
      </w:r>
      <w:r>
        <w:rPr>
          <w:rFonts w:ascii="Times New Roman" w:eastAsia="楷体" w:hAnsi="Times New Roman" w:cs="Times New Roman" w:hint="eastAsia"/>
          <w:b w:val="0"/>
          <w:bCs w:val="0"/>
          <w:color w:val="auto"/>
          <w:sz w:val="24"/>
          <w:szCs w:val="24"/>
          <w:lang w:val="en-US" w:eastAsia="zh-CN"/>
        </w:rPr>
        <w:t xml:space="preserve"> </w:t>
      </w:r>
      <w:r>
        <w:rPr>
          <w:rFonts w:ascii="Times New Roman" w:eastAsia="楷体" w:hAnsi="Times New Roman" w:cs="Times New Roman" w:hint="default"/>
          <w:b w:val="0"/>
          <w:bCs w:val="0"/>
          <w:color w:val="auto"/>
          <w:sz w:val="24"/>
          <w:szCs w:val="24"/>
          <w:lang w:val="en-US" w:eastAsia="zh-CN"/>
        </w:rPr>
        <w:t>[J]. Journal of the Korean Ceramic Society, 2024, 61, 307-315.</w:t>
      </w:r>
    </w:p>
    <w:p>
      <w:pPr>
        <w:pStyle w:val="CommentText"/>
        <w:keepNext w:val="0"/>
        <w:keepLines w:val="0"/>
        <w:pageBreakBefore w:val="0"/>
        <w:numPr>
          <w:ilvl w:val="0"/>
          <w:numId w:val="0"/>
        </w:numPr>
        <w:kinsoku/>
        <w:wordWrap/>
        <w:overflowPunct/>
        <w:topLinePunct w:val="0"/>
        <w:autoSpaceDE/>
        <w:autoSpaceDN/>
        <w:bidi w:val="0"/>
        <w:adjustRightInd/>
        <w:snapToGrid/>
        <w:spacing w:line="440" w:lineRule="exact"/>
        <w:ind w:firstLine="0" w:firstLineChars="0"/>
        <w:jc w:val="both"/>
        <w:textAlignment w:val="auto"/>
        <w:rPr>
          <w:rFonts w:ascii="Times New Roman" w:eastAsia="楷体" w:hAnsi="Times New Roman" w:cs="Times New Roman" w:hint="default"/>
          <w:b w:val="0"/>
          <w:bCs w:val="0"/>
          <w:color w:val="auto"/>
          <w:sz w:val="24"/>
          <w:szCs w:val="24"/>
          <w:lang w:val="en-US" w:eastAsia="zh-CN"/>
        </w:rPr>
      </w:pPr>
      <w:r>
        <w:rPr>
          <w:rFonts w:ascii="Times New Roman" w:eastAsia="楷体" w:hAnsi="Times New Roman" w:cs="Times New Roman" w:hint="default"/>
          <w:b w:val="0"/>
          <w:bCs w:val="0"/>
          <w:color w:val="auto"/>
          <w:sz w:val="24"/>
          <w:szCs w:val="24"/>
          <w:lang w:val="en-US" w:eastAsia="zh-CN"/>
        </w:rPr>
        <w:t>[15] Wang J., Zhan P.M., Zhang D</w:t>
      </w:r>
      <w:r>
        <w:rPr>
          <w:rFonts w:ascii="Times New Roman" w:eastAsia="楷体" w:hAnsi="Times New Roman" w:cs="Times New Roman" w:hint="eastAsia"/>
          <w:b w:val="0"/>
          <w:bCs w:val="0"/>
          <w:color w:val="auto"/>
          <w:sz w:val="24"/>
          <w:szCs w:val="24"/>
          <w:lang w:val="en-US" w:eastAsia="zh-CN"/>
        </w:rPr>
        <w:t>.</w:t>
      </w:r>
      <w:r>
        <w:rPr>
          <w:rFonts w:ascii="Times New Roman" w:eastAsia="楷体" w:hAnsi="Times New Roman" w:cs="Times New Roman" w:hint="default"/>
          <w:b w:val="0"/>
          <w:bCs w:val="0"/>
          <w:color w:val="auto"/>
          <w:sz w:val="24"/>
          <w:szCs w:val="24"/>
          <w:lang w:val="en-US" w:eastAsia="zh-CN"/>
        </w:rPr>
        <w:t xml:space="preserve"> Redox active cement-based electrolyte towards high-voltage asymmetric solid supercapacitor</w:t>
      </w:r>
      <w:r>
        <w:rPr>
          <w:rFonts w:ascii="Times New Roman" w:eastAsia="楷体" w:hAnsi="Times New Roman" w:cs="Times New Roman" w:hint="eastAsia"/>
          <w:b w:val="0"/>
          <w:bCs w:val="0"/>
          <w:color w:val="auto"/>
          <w:sz w:val="24"/>
          <w:szCs w:val="24"/>
          <w:lang w:val="en-US" w:eastAsia="zh-CN"/>
        </w:rPr>
        <w:t xml:space="preserve"> </w:t>
      </w:r>
      <w:r>
        <w:rPr>
          <w:rFonts w:ascii="Times New Roman" w:eastAsia="楷体" w:hAnsi="Times New Roman" w:cs="Times New Roman" w:hint="default"/>
          <w:b w:val="0"/>
          <w:bCs w:val="0"/>
          <w:color w:val="auto"/>
          <w:sz w:val="24"/>
          <w:szCs w:val="24"/>
          <w:lang w:val="en-US" w:eastAsia="zh-CN"/>
        </w:rPr>
        <w:t>[J]. Cement and Concrete Composites, 2023, 138, 104987.</w:t>
      </w:r>
    </w:p>
    <w:p>
      <w:pPr>
        <w:pStyle w:val="Heading1"/>
        <w:keepNext w:val="0"/>
        <w:keepLines w:val="0"/>
        <w:pageBreakBefore w:val="0"/>
        <w:widowControl/>
        <w:suppressLineNumbers w:val="0"/>
        <w:pBdr>
          <w:top w:val="none" w:sz="0" w:space="0" w:color="auto"/>
          <w:left w:val="none" w:sz="0" w:space="0" w:color="auto"/>
          <w:bottom w:val="none" w:sz="0" w:space="0" w:color="auto"/>
          <w:right w:val="none" w:sz="0" w:space="0" w:color="auto"/>
        </w:pBdr>
        <w:kinsoku/>
        <w:wordWrap/>
        <w:overflowPunct/>
        <w:topLinePunct w:val="0"/>
        <w:autoSpaceDE/>
        <w:autoSpaceDN/>
        <w:bidi w:val="0"/>
        <w:adjustRightInd/>
        <w:snapToGrid/>
        <w:spacing w:before="0" w:beforeAutospacing="0" w:after="0" w:afterAutospacing="0" w:line="440" w:lineRule="exact"/>
        <w:ind w:right="0" w:firstLine="0" w:firstLineChars="0"/>
        <w:jc w:val="both"/>
        <w:textAlignment w:val="auto"/>
        <w:rPr>
          <w:rFonts w:ascii="Times New Roman" w:eastAsia="楷体" w:hAnsi="Times New Roman" w:cs="Times New Roman" w:hint="default"/>
          <w:b w:val="0"/>
          <w:bCs w:val="0"/>
          <w:i w:val="0"/>
          <w:iCs w:val="0"/>
          <w:caps w:val="0"/>
          <w:color w:val="auto"/>
          <w:spacing w:val="0"/>
          <w:sz w:val="24"/>
          <w:szCs w:val="24"/>
          <w:lang w:val="en-US" w:eastAsia="zh-CN"/>
        </w:rPr>
      </w:pPr>
      <w:r>
        <w:rPr>
          <w:rFonts w:ascii="Times New Roman" w:eastAsia="楷体" w:hAnsi="Times New Roman" w:cs="Times New Roman" w:hint="default"/>
          <w:b w:val="0"/>
          <w:bCs w:val="0"/>
          <w:color w:val="auto"/>
          <w:sz w:val="24"/>
          <w:szCs w:val="24"/>
          <w:lang w:val="en-US" w:eastAsia="zh-CN"/>
        </w:rPr>
        <w:t xml:space="preserve">[16] Qiao G.F., Sun G.D., Li H., Ou J.P. </w:t>
      </w:r>
      <w:r>
        <w:rPr>
          <w:rFonts w:ascii="Times New Roman" w:eastAsia="楷体" w:hAnsi="Times New Roman" w:cs="Times New Roman" w:hint="default"/>
          <w:b w:val="0"/>
          <w:bCs w:val="0"/>
          <w:i w:val="0"/>
          <w:iCs w:val="0"/>
          <w:caps w:val="0"/>
          <w:color w:val="auto"/>
          <w:spacing w:val="0"/>
          <w:sz w:val="24"/>
          <w:szCs w:val="24"/>
        </w:rPr>
        <w:t>Heterogeneous tiny energy: An appealing opportunity to power wireless sensor motes in a corrosive environment</w:t>
      </w:r>
      <w:r>
        <w:rPr>
          <w:rFonts w:ascii="Times New Roman" w:eastAsia="楷体" w:hAnsi="Times New Roman" w:cs="Times New Roman" w:hint="default"/>
          <w:b w:val="0"/>
          <w:bCs w:val="0"/>
          <w:i w:val="0"/>
          <w:iCs w:val="0"/>
          <w:caps w:val="0"/>
          <w:color w:val="auto"/>
          <w:spacing w:val="0"/>
          <w:sz w:val="24"/>
          <w:szCs w:val="24"/>
          <w:lang w:val="en-US" w:eastAsia="zh-CN"/>
        </w:rPr>
        <w:t xml:space="preserve"> [J]. Applied Energy, 2014, 131, 87-96.</w:t>
      </w:r>
    </w:p>
    <w:p>
      <w:pPr>
        <w:pStyle w:val="CommentText"/>
        <w:keepNext w:val="0"/>
        <w:keepLines w:val="0"/>
        <w:pageBreakBefore w:val="0"/>
        <w:kinsoku/>
        <w:wordWrap/>
        <w:overflowPunct/>
        <w:topLinePunct w:val="0"/>
        <w:autoSpaceDE/>
        <w:autoSpaceDN/>
        <w:bidi w:val="0"/>
        <w:adjustRightInd/>
        <w:snapToGrid/>
        <w:spacing w:line="440" w:lineRule="exact"/>
        <w:ind w:firstLine="0" w:firstLineChars="0"/>
        <w:jc w:val="both"/>
        <w:textAlignment w:val="auto"/>
        <w:rPr>
          <w:rFonts w:ascii="Times New Roman" w:eastAsia="楷体" w:hAnsi="Times New Roman" w:cs="Times New Roman" w:hint="default"/>
          <w:b w:val="0"/>
          <w:bCs w:val="0"/>
          <w:color w:val="auto"/>
          <w:sz w:val="24"/>
          <w:szCs w:val="24"/>
          <w:lang w:val="en-US" w:eastAsia="zh-CN"/>
        </w:rPr>
      </w:pPr>
      <w:r>
        <w:rPr>
          <w:rFonts w:ascii="Times New Roman" w:eastAsia="楷体" w:hAnsi="Times New Roman" w:cs="Times New Roman" w:hint="default"/>
          <w:b w:val="0"/>
          <w:bCs w:val="0"/>
          <w:i w:val="0"/>
          <w:iCs w:val="0"/>
          <w:caps w:val="0"/>
          <w:color w:val="auto"/>
          <w:spacing w:val="0"/>
          <w:sz w:val="24"/>
          <w:szCs w:val="24"/>
          <w:lang w:val="en-US" w:eastAsia="zh-CN"/>
        </w:rPr>
        <w:t>[17]</w:t>
      </w:r>
      <w:r>
        <w:rPr>
          <w:rFonts w:ascii="Times New Roman" w:eastAsia="楷体" w:hAnsi="Times New Roman" w:cs="Times New Roman" w:hint="default"/>
          <w:b w:val="0"/>
          <w:bCs w:val="0"/>
          <w:color w:val="auto"/>
          <w:sz w:val="24"/>
          <w:szCs w:val="24"/>
          <w:lang w:val="en-US" w:eastAsia="zh-CN"/>
        </w:rPr>
        <w:t xml:space="preserve"> Liu</w:t>
      </w:r>
      <w:r>
        <w:rPr>
          <w:rFonts w:ascii="Times New Roman" w:eastAsia="楷体" w:hAnsi="Times New Roman" w:cs="Times New Roman" w:hint="default"/>
          <w:b w:val="0"/>
          <w:bCs w:val="0"/>
          <w:i w:val="0"/>
          <w:iCs w:val="0"/>
          <w:caps w:val="0"/>
          <w:color w:val="auto"/>
          <w:spacing w:val="0"/>
          <w:sz w:val="24"/>
          <w:szCs w:val="24"/>
          <w:lang w:val="en-US" w:eastAsia="zh-CN"/>
        </w:rPr>
        <w:t xml:space="preserve"> </w:t>
      </w:r>
      <w:r>
        <w:rPr>
          <w:rFonts w:ascii="Times New Roman" w:eastAsia="楷体" w:hAnsi="Times New Roman" w:cs="Times New Roman" w:hint="default"/>
          <w:b w:val="0"/>
          <w:bCs w:val="0"/>
          <w:color w:val="auto"/>
          <w:sz w:val="24"/>
          <w:szCs w:val="24"/>
          <w:lang w:val="en-US" w:eastAsia="zh-CN"/>
        </w:rPr>
        <w:t>Z.L., Feng P., Liu R.D., Yuan L., Meng X.Y., Tao G.H., Chen J., Ran Q.P., Hong J.X., Liu J.P., Miao C.W. Integration of zinc anode and cement: unlocking scalable energy storage [J]. National Science Review, 2024, 11, 309.</w:t>
      </w:r>
    </w:p>
    <w:p>
      <w:pPr>
        <w:pStyle w:val="CommentText"/>
        <w:keepNext w:val="0"/>
        <w:keepLines w:val="0"/>
        <w:pageBreakBefore w:val="0"/>
        <w:kinsoku/>
        <w:wordWrap/>
        <w:overflowPunct/>
        <w:topLinePunct w:val="0"/>
        <w:autoSpaceDE/>
        <w:autoSpaceDN/>
        <w:bidi w:val="0"/>
        <w:adjustRightInd/>
        <w:snapToGrid/>
        <w:spacing w:line="440" w:lineRule="exact"/>
        <w:ind w:firstLine="0" w:firstLineChars="0"/>
        <w:jc w:val="both"/>
        <w:textAlignment w:val="auto"/>
        <w:rPr>
          <w:rFonts w:ascii="Times New Roman" w:eastAsia="楷体" w:hAnsi="Times New Roman" w:cs="Times New Roman" w:hint="default"/>
          <w:b w:val="0"/>
          <w:bCs w:val="0"/>
          <w:color w:val="auto"/>
          <w:sz w:val="24"/>
          <w:szCs w:val="24"/>
          <w:lang w:val="en-US" w:eastAsia="zh-CN"/>
        </w:rPr>
      </w:pPr>
      <w:r>
        <w:rPr>
          <w:rFonts w:ascii="Times New Roman" w:eastAsia="楷体" w:hAnsi="Times New Roman" w:cs="Times New Roman" w:hint="default"/>
          <w:b w:val="0"/>
          <w:bCs w:val="0"/>
          <w:color w:val="auto"/>
          <w:sz w:val="24"/>
          <w:szCs w:val="24"/>
          <w:lang w:val="en-US" w:eastAsia="zh-CN"/>
        </w:rPr>
        <w:t>[18] Xu J.M., Zhang D. Multifunctional structural supercapacitor based on graphene and geopolymer [J]. Electrochimica Acta, 2017, 224, 105-122.</w:t>
      </w:r>
    </w:p>
    <w:p>
      <w:pPr>
        <w:pStyle w:val="CommentText"/>
        <w:keepNext w:val="0"/>
        <w:keepLines w:val="0"/>
        <w:pageBreakBefore w:val="0"/>
        <w:kinsoku/>
        <w:wordWrap/>
        <w:overflowPunct/>
        <w:topLinePunct w:val="0"/>
        <w:autoSpaceDE/>
        <w:autoSpaceDN/>
        <w:bidi w:val="0"/>
        <w:adjustRightInd/>
        <w:snapToGrid/>
        <w:spacing w:line="440" w:lineRule="exact"/>
        <w:ind w:firstLine="0" w:firstLineChars="0"/>
        <w:jc w:val="both"/>
        <w:textAlignment w:val="auto"/>
        <w:rPr>
          <w:rFonts w:ascii="Times New Roman" w:eastAsia="楷体" w:hAnsi="Times New Roman" w:cs="Times New Roman" w:hint="default"/>
          <w:b w:val="0"/>
          <w:bCs w:val="0"/>
          <w:color w:val="auto"/>
          <w:sz w:val="24"/>
          <w:szCs w:val="24"/>
          <w:lang w:val="en-US" w:eastAsia="zh-CN"/>
        </w:rPr>
      </w:pPr>
      <w:r>
        <w:rPr>
          <w:rFonts w:ascii="Times New Roman" w:eastAsia="楷体" w:hAnsi="Times New Roman" w:cs="Times New Roman" w:hint="default"/>
          <w:b w:val="0"/>
          <w:bCs w:val="0"/>
          <w:color w:val="auto"/>
          <w:sz w:val="24"/>
          <w:szCs w:val="24"/>
          <w:lang w:val="en-US" w:eastAsia="zh-CN"/>
        </w:rPr>
        <w:t>[19] Fang C.Q., Zhang D. High areal energy density structural supercapacitor assembled with polymer cement electrolyte [J]. Chemical Engineering Journal, 2021, 426, 130793.</w:t>
      </w:r>
    </w:p>
    <w:p>
      <w:pPr>
        <w:pStyle w:val="CommentText"/>
        <w:keepNext w:val="0"/>
        <w:keepLines w:val="0"/>
        <w:pageBreakBefore w:val="0"/>
        <w:kinsoku/>
        <w:wordWrap/>
        <w:overflowPunct/>
        <w:topLinePunct w:val="0"/>
        <w:autoSpaceDE/>
        <w:autoSpaceDN/>
        <w:bidi w:val="0"/>
        <w:adjustRightInd/>
        <w:snapToGrid/>
        <w:spacing w:line="440" w:lineRule="exact"/>
        <w:ind w:firstLine="0" w:firstLineChars="0"/>
        <w:jc w:val="both"/>
        <w:textAlignment w:val="auto"/>
        <w:rPr>
          <w:rFonts w:ascii="Times New Roman" w:eastAsia="楷体" w:hAnsi="Times New Roman" w:cs="Times New Roman" w:hint="default"/>
          <w:b w:val="0"/>
          <w:bCs w:val="0"/>
          <w:color w:val="auto"/>
          <w:sz w:val="24"/>
          <w:szCs w:val="24"/>
          <w:lang w:val="en-US" w:eastAsia="zh-CN"/>
        </w:rPr>
      </w:pPr>
      <w:r>
        <w:rPr>
          <w:rFonts w:ascii="Times New Roman" w:eastAsia="楷体" w:hAnsi="Times New Roman" w:cs="Times New Roman" w:hint="default"/>
          <w:b w:val="0"/>
          <w:bCs w:val="0"/>
          <w:color w:val="auto"/>
          <w:sz w:val="24"/>
          <w:szCs w:val="24"/>
          <w:lang w:val="en-US" w:eastAsia="zh-CN"/>
        </w:rPr>
        <w:t>[20] Shi M.Y., Zhang D. Integrated construction improving electrochemical performance of loadable supercapacitors based on porous cement-based solid electrolytes [J]. Journal of Powder Sources, 2024, 616, 235135.</w:t>
      </w:r>
    </w:p>
    <w:p>
      <w:pPr>
        <w:pStyle w:val="CommentText"/>
        <w:keepNext w:val="0"/>
        <w:keepLines w:val="0"/>
        <w:pageBreakBefore w:val="0"/>
        <w:kinsoku/>
        <w:wordWrap/>
        <w:overflowPunct/>
        <w:topLinePunct w:val="0"/>
        <w:autoSpaceDE/>
        <w:autoSpaceDN/>
        <w:bidi w:val="0"/>
        <w:adjustRightInd/>
        <w:snapToGrid/>
        <w:spacing w:line="440" w:lineRule="exact"/>
        <w:ind w:firstLine="0" w:firstLineChars="0"/>
        <w:jc w:val="both"/>
        <w:textAlignment w:val="auto"/>
        <w:rPr>
          <w:rFonts w:ascii="Times New Roman" w:eastAsia="楷体" w:hAnsi="Times New Roman" w:cs="Times New Roman" w:hint="default"/>
          <w:b w:val="0"/>
          <w:bCs w:val="0"/>
          <w:color w:val="auto"/>
          <w:sz w:val="24"/>
          <w:szCs w:val="24"/>
        </w:rPr>
      </w:pPr>
      <w:r>
        <w:rPr>
          <w:rFonts w:ascii="Times New Roman" w:eastAsia="楷体" w:hAnsi="Times New Roman" w:cs="Times New Roman" w:hint="default"/>
          <w:b w:val="0"/>
          <w:bCs w:val="0"/>
          <w:color w:val="auto"/>
          <w:sz w:val="24"/>
          <w:szCs w:val="24"/>
          <w:lang w:val="en-US" w:eastAsia="zh-CN"/>
        </w:rPr>
        <w:t xml:space="preserve">[21] </w:t>
      </w:r>
      <w:r>
        <w:rPr>
          <w:rFonts w:ascii="Times New Roman" w:eastAsia="楷体" w:hAnsi="Times New Roman" w:cs="Times New Roman" w:hint="default"/>
          <w:b w:val="0"/>
          <w:bCs w:val="0"/>
          <w:i w:val="0"/>
          <w:iCs w:val="0"/>
          <w:caps w:val="0"/>
          <w:color w:val="auto"/>
          <w:spacing w:val="0"/>
          <w:sz w:val="24"/>
          <w:szCs w:val="24"/>
          <w:shd w:val="clear" w:color="auto" w:fill="FFFFFF"/>
        </w:rPr>
        <w:t>席翔,</w:t>
      </w:r>
      <w:r>
        <w:rPr>
          <w:rFonts w:ascii="Times New Roman" w:eastAsia="楷体" w:hAnsi="Times New Roman" w:cs="Times New Roman" w:hint="default"/>
          <w:b w:val="0"/>
          <w:bCs w:val="0"/>
          <w:i w:val="0"/>
          <w:iCs w:val="0"/>
          <w:caps w:val="0"/>
          <w:color w:val="auto"/>
          <w:spacing w:val="0"/>
          <w:sz w:val="24"/>
          <w:szCs w:val="24"/>
          <w:shd w:val="clear" w:color="auto" w:fill="FFFFFF"/>
          <w:lang w:val="en-US" w:eastAsia="zh-CN"/>
        </w:rPr>
        <w:t xml:space="preserve"> </w:t>
      </w:r>
      <w:r>
        <w:rPr>
          <w:rFonts w:ascii="Times New Roman" w:eastAsia="楷体" w:hAnsi="Times New Roman" w:cs="Times New Roman" w:hint="default"/>
          <w:b w:val="0"/>
          <w:bCs w:val="0"/>
          <w:i w:val="0"/>
          <w:iCs w:val="0"/>
          <w:caps w:val="0"/>
          <w:color w:val="auto"/>
          <w:spacing w:val="0"/>
          <w:sz w:val="24"/>
          <w:szCs w:val="24"/>
          <w:shd w:val="clear" w:color="auto" w:fill="FFFFFF"/>
        </w:rPr>
        <w:t>赵子杰,</w:t>
      </w:r>
      <w:r>
        <w:rPr>
          <w:rFonts w:ascii="Times New Roman" w:eastAsia="楷体" w:hAnsi="Times New Roman" w:cs="Times New Roman" w:hint="default"/>
          <w:b w:val="0"/>
          <w:bCs w:val="0"/>
          <w:i w:val="0"/>
          <w:iCs w:val="0"/>
          <w:caps w:val="0"/>
          <w:color w:val="auto"/>
          <w:spacing w:val="0"/>
          <w:sz w:val="24"/>
          <w:szCs w:val="24"/>
          <w:shd w:val="clear" w:color="auto" w:fill="FFFFFF"/>
          <w:lang w:val="en-US" w:eastAsia="zh-CN"/>
        </w:rPr>
        <w:t xml:space="preserve"> </w:t>
      </w:r>
      <w:r>
        <w:rPr>
          <w:rFonts w:ascii="Times New Roman" w:eastAsia="楷体" w:hAnsi="Times New Roman" w:cs="Times New Roman" w:hint="default"/>
          <w:b w:val="0"/>
          <w:bCs w:val="0"/>
          <w:i w:val="0"/>
          <w:iCs w:val="0"/>
          <w:caps w:val="0"/>
          <w:color w:val="auto"/>
          <w:spacing w:val="0"/>
          <w:sz w:val="24"/>
          <w:szCs w:val="24"/>
          <w:shd w:val="clear" w:color="auto" w:fill="FFFFFF"/>
        </w:rPr>
        <w:t>王琳</w:t>
      </w:r>
      <w:r>
        <w:rPr>
          <w:rFonts w:ascii="Times New Roman" w:eastAsia="楷体" w:hAnsi="Times New Roman" w:cs="Times New Roman" w:hint="default"/>
          <w:b w:val="0"/>
          <w:bCs w:val="0"/>
          <w:i w:val="0"/>
          <w:iCs w:val="0"/>
          <w:caps w:val="0"/>
          <w:color w:val="auto"/>
          <w:spacing w:val="0"/>
          <w:sz w:val="24"/>
          <w:szCs w:val="24"/>
          <w:shd w:val="clear" w:color="auto" w:fill="FFFFFF"/>
          <w:lang w:val="en-US" w:eastAsia="zh-CN"/>
        </w:rPr>
        <w:t xml:space="preserve">, </w:t>
      </w:r>
      <w:r>
        <w:rPr>
          <w:rFonts w:ascii="Times New Roman" w:eastAsia="楷体" w:hAnsi="Times New Roman" w:cs="Times New Roman" w:hint="eastAsia"/>
          <w:b w:val="0"/>
          <w:bCs w:val="0"/>
          <w:i w:val="0"/>
          <w:iCs w:val="0"/>
          <w:caps w:val="0"/>
          <w:color w:val="auto"/>
          <w:spacing w:val="0"/>
          <w:sz w:val="24"/>
          <w:szCs w:val="24"/>
          <w:shd w:val="clear" w:color="auto" w:fill="FFFFFF"/>
          <w:lang w:val="en-US" w:eastAsia="zh-CN"/>
        </w:rPr>
        <w:t>宋子健, 储洪强, 蒋林华, 冉千平</w:t>
      </w:r>
      <w:r>
        <w:rPr>
          <w:rFonts w:ascii="Times New Roman" w:eastAsia="楷体" w:hAnsi="Times New Roman" w:cs="Times New Roman" w:hint="default"/>
          <w:b w:val="0"/>
          <w:bCs w:val="0"/>
          <w:i w:val="0"/>
          <w:iCs w:val="0"/>
          <w:caps w:val="0"/>
          <w:color w:val="auto"/>
          <w:spacing w:val="0"/>
          <w:sz w:val="24"/>
          <w:szCs w:val="24"/>
          <w:shd w:val="clear" w:color="auto" w:fill="FFFFFF"/>
        </w:rPr>
        <w:t>.</w:t>
      </w:r>
      <w:r>
        <w:rPr>
          <w:rFonts w:ascii="Times New Roman" w:eastAsia="楷体" w:hAnsi="Times New Roman" w:cs="Times New Roman" w:hint="default"/>
          <w:b w:val="0"/>
          <w:bCs w:val="0"/>
          <w:i w:val="0"/>
          <w:iCs w:val="0"/>
          <w:caps w:val="0"/>
          <w:color w:val="auto"/>
          <w:spacing w:val="0"/>
          <w:sz w:val="24"/>
          <w:szCs w:val="24"/>
          <w:shd w:val="clear" w:color="auto" w:fill="FFFFFF"/>
          <w:lang w:val="en-US" w:eastAsia="zh-CN"/>
        </w:rPr>
        <w:t xml:space="preserve"> </w:t>
      </w:r>
      <w:r>
        <w:rPr>
          <w:rFonts w:ascii="Times New Roman" w:eastAsia="楷体" w:hAnsi="Times New Roman" w:cs="Times New Roman" w:hint="default"/>
          <w:b w:val="0"/>
          <w:bCs w:val="0"/>
          <w:i w:val="0"/>
          <w:iCs w:val="0"/>
          <w:caps w:val="0"/>
          <w:color w:val="auto"/>
          <w:spacing w:val="0"/>
          <w:sz w:val="24"/>
          <w:szCs w:val="24"/>
          <w:shd w:val="clear" w:color="auto" w:fill="FFFFFF"/>
        </w:rPr>
        <w:t>水泥基电池和超级电容器的制备及储能机理的研究进展[J].</w:t>
      </w:r>
      <w:r>
        <w:rPr>
          <w:rFonts w:ascii="Times New Roman" w:eastAsia="楷体" w:hAnsi="Times New Roman" w:cs="Times New Roman" w:hint="default"/>
          <w:b w:val="0"/>
          <w:bCs w:val="0"/>
          <w:i w:val="0"/>
          <w:iCs w:val="0"/>
          <w:caps w:val="0"/>
          <w:color w:val="auto"/>
          <w:spacing w:val="0"/>
          <w:sz w:val="24"/>
          <w:szCs w:val="24"/>
          <w:shd w:val="clear" w:color="auto" w:fill="FFFFFF"/>
          <w:lang w:val="en-US" w:eastAsia="zh-CN"/>
        </w:rPr>
        <w:t xml:space="preserve"> </w:t>
      </w:r>
      <w:r>
        <w:rPr>
          <w:rFonts w:ascii="Times New Roman" w:eastAsia="楷体" w:hAnsi="Times New Roman" w:cs="Times New Roman" w:hint="default"/>
          <w:b w:val="0"/>
          <w:bCs w:val="0"/>
          <w:i w:val="0"/>
          <w:iCs w:val="0"/>
          <w:caps w:val="0"/>
          <w:color w:val="auto"/>
          <w:spacing w:val="0"/>
          <w:sz w:val="24"/>
          <w:szCs w:val="24"/>
          <w:shd w:val="clear" w:color="auto" w:fill="FFFFFF"/>
        </w:rPr>
        <w:t>硅酸盐学报,</w:t>
      </w:r>
      <w:r>
        <w:rPr>
          <w:rFonts w:ascii="Times New Roman" w:eastAsia="楷体" w:hAnsi="Times New Roman" w:cs="Times New Roman" w:hint="default"/>
          <w:b w:val="0"/>
          <w:bCs w:val="0"/>
          <w:i w:val="0"/>
          <w:iCs w:val="0"/>
          <w:caps w:val="0"/>
          <w:color w:val="auto"/>
          <w:spacing w:val="0"/>
          <w:sz w:val="24"/>
          <w:szCs w:val="24"/>
          <w:shd w:val="clear" w:color="auto" w:fill="FFFFFF"/>
          <w:lang w:val="en-US" w:eastAsia="zh-CN"/>
        </w:rPr>
        <w:t xml:space="preserve"> </w:t>
      </w:r>
      <w:r>
        <w:rPr>
          <w:rFonts w:ascii="Times New Roman" w:eastAsia="楷体" w:hAnsi="Times New Roman" w:cs="Times New Roman" w:hint="default"/>
          <w:b w:val="0"/>
          <w:bCs w:val="0"/>
          <w:i w:val="0"/>
          <w:iCs w:val="0"/>
          <w:caps w:val="0"/>
          <w:color w:val="auto"/>
          <w:spacing w:val="0"/>
          <w:sz w:val="24"/>
          <w:szCs w:val="24"/>
          <w:shd w:val="clear" w:color="auto" w:fill="FFFFFF"/>
        </w:rPr>
        <w:t>2024,</w:t>
      </w:r>
      <w:r>
        <w:rPr>
          <w:rFonts w:ascii="Times New Roman" w:eastAsia="楷体" w:hAnsi="Times New Roman" w:cs="Times New Roman" w:hint="default"/>
          <w:b w:val="0"/>
          <w:bCs w:val="0"/>
          <w:i w:val="0"/>
          <w:iCs w:val="0"/>
          <w:caps w:val="0"/>
          <w:color w:val="auto"/>
          <w:spacing w:val="0"/>
          <w:sz w:val="24"/>
          <w:szCs w:val="24"/>
          <w:shd w:val="clear" w:color="auto" w:fill="FFFFFF"/>
          <w:lang w:val="en-US" w:eastAsia="zh-CN"/>
        </w:rPr>
        <w:t xml:space="preserve"> </w:t>
      </w:r>
      <w:r>
        <w:rPr>
          <w:rFonts w:ascii="Times New Roman" w:eastAsia="楷体" w:hAnsi="Times New Roman" w:cs="Times New Roman" w:hint="default"/>
          <w:b w:val="0"/>
          <w:bCs w:val="0"/>
          <w:i w:val="0"/>
          <w:iCs w:val="0"/>
          <w:caps w:val="0"/>
          <w:color w:val="auto"/>
          <w:spacing w:val="0"/>
          <w:sz w:val="24"/>
          <w:szCs w:val="24"/>
          <w:shd w:val="clear" w:color="auto" w:fill="FFFFFF"/>
        </w:rPr>
        <w:t>52</w:t>
      </w:r>
      <w:r>
        <w:rPr>
          <w:rFonts w:ascii="Times New Roman" w:eastAsia="楷体" w:hAnsi="Times New Roman" w:cs="Times New Roman" w:hint="eastAsia"/>
          <w:b w:val="0"/>
          <w:bCs w:val="0"/>
          <w:i w:val="0"/>
          <w:iCs w:val="0"/>
          <w:caps w:val="0"/>
          <w:color w:val="auto"/>
          <w:spacing w:val="0"/>
          <w:sz w:val="24"/>
          <w:szCs w:val="24"/>
          <w:shd w:val="clear" w:color="auto" w:fill="FFFFFF"/>
          <w:lang w:val="en-US" w:eastAsia="zh-CN"/>
        </w:rPr>
        <w:t>(</w:t>
      </w:r>
      <w:r>
        <w:rPr>
          <w:rFonts w:ascii="Times New Roman" w:eastAsia="楷体" w:hAnsi="Times New Roman" w:cs="Times New Roman" w:hint="default"/>
          <w:b w:val="0"/>
          <w:bCs w:val="0"/>
          <w:i w:val="0"/>
          <w:iCs w:val="0"/>
          <w:caps w:val="0"/>
          <w:color w:val="auto"/>
          <w:spacing w:val="0"/>
          <w:sz w:val="24"/>
          <w:szCs w:val="24"/>
          <w:shd w:val="clear" w:color="auto" w:fill="FFFFFF"/>
        </w:rPr>
        <w:t>11</w:t>
      </w:r>
      <w:r>
        <w:rPr>
          <w:rFonts w:ascii="Times New Roman" w:eastAsia="楷体" w:hAnsi="Times New Roman" w:cs="Times New Roman" w:hint="eastAsia"/>
          <w:b w:val="0"/>
          <w:bCs w:val="0"/>
          <w:i w:val="0"/>
          <w:iCs w:val="0"/>
          <w:caps w:val="0"/>
          <w:color w:val="auto"/>
          <w:spacing w:val="0"/>
          <w:sz w:val="24"/>
          <w:szCs w:val="24"/>
          <w:shd w:val="clear" w:color="auto" w:fill="FFFFFF"/>
          <w:lang w:val="en-US" w:eastAsia="zh-CN"/>
        </w:rPr>
        <w:t>),</w:t>
      </w:r>
      <w:r>
        <w:rPr>
          <w:rFonts w:ascii="Times New Roman" w:eastAsia="楷体" w:hAnsi="Times New Roman" w:cs="Times New Roman" w:hint="default"/>
          <w:b w:val="0"/>
          <w:bCs w:val="0"/>
          <w:i w:val="0"/>
          <w:iCs w:val="0"/>
          <w:caps w:val="0"/>
          <w:color w:val="auto"/>
          <w:spacing w:val="0"/>
          <w:sz w:val="24"/>
          <w:szCs w:val="24"/>
          <w:shd w:val="clear" w:color="auto" w:fill="FFFFFF"/>
          <w:lang w:val="en-US" w:eastAsia="zh-CN"/>
        </w:rPr>
        <w:t xml:space="preserve"> </w:t>
      </w:r>
      <w:r>
        <w:rPr>
          <w:rFonts w:ascii="Times New Roman" w:eastAsia="楷体" w:hAnsi="Times New Roman" w:cs="Times New Roman" w:hint="default"/>
          <w:b w:val="0"/>
          <w:bCs w:val="0"/>
          <w:i w:val="0"/>
          <w:iCs w:val="0"/>
          <w:caps w:val="0"/>
          <w:color w:val="auto"/>
          <w:spacing w:val="0"/>
          <w:sz w:val="24"/>
          <w:szCs w:val="24"/>
          <w:shd w:val="clear" w:color="auto" w:fill="FFFFFF"/>
        </w:rPr>
        <w:t>3650-3662.</w:t>
      </w:r>
    </w:p>
    <w:p>
      <w:pPr>
        <w:pStyle w:val="CommentText"/>
        <w:keepNext w:val="0"/>
        <w:keepLines w:val="0"/>
        <w:pageBreakBefore w:val="0"/>
        <w:kinsoku/>
        <w:wordWrap/>
        <w:overflowPunct/>
        <w:topLinePunct w:val="0"/>
        <w:autoSpaceDE/>
        <w:autoSpaceDN/>
        <w:bidi w:val="0"/>
        <w:adjustRightInd/>
        <w:snapToGrid/>
        <w:spacing w:line="440" w:lineRule="exact"/>
        <w:ind w:firstLine="0" w:firstLineChars="0"/>
        <w:jc w:val="both"/>
        <w:textAlignment w:val="auto"/>
        <w:rPr>
          <w:rFonts w:ascii="Times New Roman" w:eastAsia="楷体" w:hAnsi="Times New Roman" w:cs="Times New Roman" w:hint="default"/>
          <w:b w:val="0"/>
          <w:bCs w:val="0"/>
          <w:color w:val="auto"/>
          <w:sz w:val="24"/>
          <w:szCs w:val="24"/>
          <w:lang w:val="en-US" w:eastAsia="zh-CN"/>
        </w:rPr>
      </w:pPr>
      <w:r>
        <w:rPr>
          <w:rFonts w:ascii="Times New Roman" w:eastAsia="楷体" w:hAnsi="Times New Roman" w:cs="Times New Roman" w:hint="default"/>
          <w:b w:val="0"/>
          <w:bCs w:val="0"/>
          <w:color w:val="auto"/>
          <w:sz w:val="24"/>
          <w:szCs w:val="24"/>
          <w:lang w:val="en-US" w:eastAsia="zh-CN"/>
        </w:rPr>
        <w:t xml:space="preserve">[22] Becker M., Kuhnel R.S., Battaglia C. </w:t>
      </w:r>
      <w:r>
        <w:rPr>
          <w:rFonts w:ascii="Times New Roman" w:eastAsia="楷体" w:hAnsi="Times New Roman" w:cs="Times New Roman" w:hint="default"/>
          <w:b w:val="0"/>
          <w:bCs w:val="0"/>
          <w:color w:val="auto"/>
          <w:sz w:val="24"/>
          <w:szCs w:val="24"/>
        </w:rPr>
        <w:t xml:space="preserve">Water-in-salt electrolytes for aqueous lithium-ion batteries with liquidus temperatures below </w:t>
      </w:r>
      <w:r>
        <w:rPr>
          <w:rFonts w:ascii="Times New Roman" w:eastAsia="楷体" w:hAnsi="Times New Roman" w:cs="Times New Roman" w:hint="default"/>
          <w:b w:val="0"/>
          <w:bCs w:val="0"/>
          <w:color w:val="auto"/>
          <w:sz w:val="24"/>
          <w:szCs w:val="24"/>
          <w:lang w:val="en-US" w:eastAsia="zh-CN"/>
        </w:rPr>
        <w:t>-</w:t>
      </w:r>
      <w:r>
        <w:rPr>
          <w:rFonts w:ascii="Times New Roman" w:eastAsia="楷体" w:hAnsi="Times New Roman" w:cs="Times New Roman" w:hint="default"/>
          <w:b w:val="0"/>
          <w:bCs w:val="0"/>
          <w:color w:val="auto"/>
          <w:sz w:val="24"/>
          <w:szCs w:val="24"/>
        </w:rPr>
        <w:t>10°C</w:t>
      </w:r>
      <w:r>
        <w:rPr>
          <w:rFonts w:ascii="Times New Roman" w:eastAsia="楷体" w:hAnsi="Times New Roman" w:cs="Times New Roman" w:hint="default"/>
          <w:b w:val="0"/>
          <w:bCs w:val="0"/>
          <w:color w:val="auto"/>
          <w:sz w:val="24"/>
          <w:szCs w:val="24"/>
          <w:lang w:val="en-US" w:eastAsia="zh-CN"/>
        </w:rPr>
        <w:t xml:space="preserve"> [J]. Chemical Communications, 2019, 55</w:t>
      </w:r>
      <w:r>
        <w:rPr>
          <w:rFonts w:ascii="Times New Roman" w:eastAsia="楷体" w:hAnsi="Times New Roman" w:cs="Times New Roman" w:hint="eastAsia"/>
          <w:b w:val="0"/>
          <w:bCs w:val="0"/>
          <w:color w:val="auto"/>
          <w:sz w:val="24"/>
          <w:szCs w:val="24"/>
          <w:lang w:val="en-US" w:eastAsia="zh-CN"/>
        </w:rPr>
        <w:t>(</w:t>
      </w:r>
      <w:r>
        <w:rPr>
          <w:rFonts w:ascii="Times New Roman" w:eastAsia="楷体" w:hAnsi="Times New Roman" w:cs="Times New Roman" w:hint="default"/>
          <w:b w:val="0"/>
          <w:bCs w:val="0"/>
          <w:color w:val="auto"/>
          <w:sz w:val="24"/>
          <w:szCs w:val="24"/>
          <w:lang w:val="en-US" w:eastAsia="zh-CN"/>
        </w:rPr>
        <w:t>80</w:t>
      </w:r>
      <w:r>
        <w:rPr>
          <w:rFonts w:ascii="Times New Roman" w:eastAsia="楷体" w:hAnsi="Times New Roman" w:cs="Times New Roman" w:hint="eastAsia"/>
          <w:b w:val="0"/>
          <w:bCs w:val="0"/>
          <w:color w:val="auto"/>
          <w:sz w:val="24"/>
          <w:szCs w:val="24"/>
          <w:lang w:val="en-US" w:eastAsia="zh-CN"/>
        </w:rPr>
        <w:t>)</w:t>
      </w:r>
      <w:r>
        <w:rPr>
          <w:rFonts w:ascii="Times New Roman" w:eastAsia="楷体" w:hAnsi="Times New Roman" w:cs="Times New Roman" w:hint="default"/>
          <w:b w:val="0"/>
          <w:bCs w:val="0"/>
          <w:color w:val="auto"/>
          <w:sz w:val="24"/>
          <w:szCs w:val="24"/>
          <w:lang w:val="en-US" w:eastAsia="zh-CN"/>
        </w:rPr>
        <w:t xml:space="preserve">, 12032-12035. </w:t>
      </w:r>
    </w:p>
    <w:p>
      <w:pPr>
        <w:pStyle w:val="CommentText"/>
        <w:keepNext w:val="0"/>
        <w:keepLines w:val="0"/>
        <w:pageBreakBefore w:val="0"/>
        <w:kinsoku/>
        <w:wordWrap/>
        <w:overflowPunct/>
        <w:topLinePunct w:val="0"/>
        <w:autoSpaceDE/>
        <w:autoSpaceDN/>
        <w:bidi w:val="0"/>
        <w:adjustRightInd/>
        <w:snapToGrid/>
        <w:spacing w:line="440" w:lineRule="exact"/>
        <w:ind w:firstLine="0" w:firstLineChars="0"/>
        <w:jc w:val="both"/>
        <w:textAlignment w:val="auto"/>
        <w:rPr>
          <w:rFonts w:ascii="Times New Roman" w:eastAsia="楷体" w:hAnsi="Times New Roman" w:cs="Times New Roman" w:hint="default"/>
          <w:b w:val="0"/>
          <w:bCs w:val="0"/>
          <w:color w:val="auto"/>
          <w:sz w:val="24"/>
          <w:szCs w:val="24"/>
          <w:lang w:val="en-US" w:eastAsia="zh-CN"/>
        </w:rPr>
      </w:pPr>
      <w:r>
        <w:rPr>
          <w:rFonts w:ascii="Times New Roman" w:eastAsia="楷体" w:hAnsi="Times New Roman" w:cs="Times New Roman" w:hint="default"/>
          <w:b w:val="0"/>
          <w:bCs w:val="0"/>
          <w:color w:val="auto"/>
          <w:sz w:val="24"/>
          <w:szCs w:val="24"/>
          <w:lang w:val="en-US" w:eastAsia="zh-CN"/>
        </w:rPr>
        <w:t>[23] Ran M.R., Wang J., Zhang D. A superior electrolyte composite with high conductivity and strength based on alkali-activated slag and polyacrylamide for structural supercapacitor [J]. Journal of Energy Storage, 2024, 79, 110169.</w:t>
      </w:r>
    </w:p>
    <w:p>
      <w:pPr>
        <w:pStyle w:val="CommentText"/>
        <w:keepNext w:val="0"/>
        <w:keepLines w:val="0"/>
        <w:pageBreakBefore w:val="0"/>
        <w:kinsoku/>
        <w:wordWrap/>
        <w:overflowPunct/>
        <w:topLinePunct w:val="0"/>
        <w:autoSpaceDE/>
        <w:autoSpaceDN/>
        <w:bidi w:val="0"/>
        <w:adjustRightInd/>
        <w:snapToGrid/>
        <w:spacing w:line="440" w:lineRule="exact"/>
        <w:ind w:firstLine="0" w:firstLineChars="0"/>
        <w:jc w:val="both"/>
        <w:textAlignment w:val="auto"/>
        <w:rPr>
          <w:rFonts w:ascii="Times New Roman" w:eastAsia="楷体" w:hAnsi="Times New Roman" w:cs="Times New Roman" w:hint="default"/>
          <w:b w:val="0"/>
          <w:bCs w:val="0"/>
          <w:color w:val="auto"/>
          <w:sz w:val="24"/>
          <w:szCs w:val="24"/>
          <w:lang w:val="en-US" w:eastAsia="zh-CN"/>
        </w:rPr>
      </w:pPr>
      <w:r>
        <w:rPr>
          <w:rFonts w:ascii="Times New Roman" w:eastAsia="楷体" w:hAnsi="Times New Roman" w:cs="Times New Roman" w:hint="default"/>
          <w:b w:val="0"/>
          <w:bCs w:val="0"/>
          <w:color w:val="auto"/>
          <w:sz w:val="24"/>
          <w:szCs w:val="24"/>
          <w:lang w:val="en-US" w:eastAsia="zh-CN"/>
        </w:rPr>
        <w:t>[24] Hu M.M., Wang J.Q.</w:t>
      </w:r>
      <w:r>
        <w:rPr>
          <w:rFonts w:ascii="Times New Roman" w:eastAsia="楷体" w:hAnsi="Times New Roman" w:cs="Times New Roman" w:hint="eastAsia"/>
          <w:b w:val="0"/>
          <w:bCs w:val="0"/>
          <w:color w:val="auto"/>
          <w:sz w:val="24"/>
          <w:szCs w:val="24"/>
          <w:lang w:val="en-US" w:eastAsia="zh-CN"/>
        </w:rPr>
        <w:t>,</w:t>
      </w:r>
      <w:r>
        <w:rPr>
          <w:rFonts w:ascii="Times New Roman" w:eastAsia="楷体" w:hAnsi="Times New Roman" w:cs="Times New Roman" w:hint="default"/>
          <w:b w:val="0"/>
          <w:bCs w:val="0"/>
          <w:color w:val="auto"/>
          <w:sz w:val="24"/>
          <w:szCs w:val="24"/>
          <w:lang w:val="en-US" w:eastAsia="zh-CN"/>
        </w:rPr>
        <w:t xml:space="preserve"> Liu J., Zhang J.H., Ma X., Hung Y. An intrinsically compressible and stretchable all-in-one configured supercapacitor [J]. Chemical Communications, 2018, 54</w:t>
      </w:r>
      <w:r>
        <w:rPr>
          <w:rFonts w:ascii="Times New Roman" w:eastAsia="楷体" w:hAnsi="Times New Roman" w:cs="Times New Roman" w:hint="eastAsia"/>
          <w:b w:val="0"/>
          <w:bCs w:val="0"/>
          <w:color w:val="auto"/>
          <w:sz w:val="24"/>
          <w:szCs w:val="24"/>
          <w:lang w:val="en-US" w:eastAsia="zh-CN"/>
        </w:rPr>
        <w:t>(</w:t>
      </w:r>
      <w:r>
        <w:rPr>
          <w:rFonts w:ascii="Times New Roman" w:eastAsia="楷体" w:hAnsi="Times New Roman" w:cs="Times New Roman" w:hint="default"/>
          <w:b w:val="0"/>
          <w:bCs w:val="0"/>
          <w:color w:val="auto"/>
          <w:sz w:val="24"/>
          <w:szCs w:val="24"/>
          <w:lang w:val="en-US" w:eastAsia="zh-CN"/>
        </w:rPr>
        <w:t>48</w:t>
      </w:r>
      <w:r>
        <w:rPr>
          <w:rFonts w:ascii="Times New Roman" w:eastAsia="楷体" w:hAnsi="Times New Roman" w:cs="Times New Roman" w:hint="eastAsia"/>
          <w:b w:val="0"/>
          <w:bCs w:val="0"/>
          <w:color w:val="auto"/>
          <w:sz w:val="24"/>
          <w:szCs w:val="24"/>
          <w:lang w:val="en-US" w:eastAsia="zh-CN"/>
        </w:rPr>
        <w:t>)</w:t>
      </w:r>
      <w:r>
        <w:rPr>
          <w:rFonts w:ascii="Times New Roman" w:eastAsia="楷体" w:hAnsi="Times New Roman" w:cs="Times New Roman" w:hint="default"/>
          <w:b w:val="0"/>
          <w:bCs w:val="0"/>
          <w:color w:val="auto"/>
          <w:sz w:val="24"/>
          <w:szCs w:val="24"/>
          <w:lang w:val="en-US" w:eastAsia="zh-CN"/>
        </w:rPr>
        <w:t xml:space="preserve">, 6200-6203. </w:t>
      </w:r>
    </w:p>
    <w:p>
      <w:pPr>
        <w:pStyle w:val="CommentText"/>
        <w:keepNext w:val="0"/>
        <w:keepLines w:val="0"/>
        <w:pageBreakBefore w:val="0"/>
        <w:kinsoku/>
        <w:wordWrap/>
        <w:overflowPunct/>
        <w:topLinePunct w:val="0"/>
        <w:autoSpaceDE/>
        <w:autoSpaceDN/>
        <w:bidi w:val="0"/>
        <w:adjustRightInd/>
        <w:snapToGrid/>
        <w:spacing w:line="440" w:lineRule="exact"/>
        <w:ind w:firstLine="0" w:firstLineChars="0"/>
        <w:jc w:val="both"/>
        <w:textAlignment w:val="auto"/>
        <w:rPr>
          <w:rFonts w:ascii="Times New Roman" w:eastAsia="楷体" w:hAnsi="Times New Roman" w:cs="Times New Roman" w:hint="default"/>
          <w:b w:val="0"/>
          <w:bCs w:val="0"/>
          <w:color w:val="auto"/>
          <w:sz w:val="24"/>
          <w:szCs w:val="24"/>
          <w:lang w:val="en-US" w:eastAsia="zh-CN"/>
        </w:rPr>
      </w:pPr>
      <w:r>
        <w:rPr>
          <w:rFonts w:ascii="Times New Roman" w:eastAsia="楷体" w:hAnsi="Times New Roman" w:cs="Times New Roman" w:hint="default"/>
          <w:b w:val="0"/>
          <w:bCs w:val="0"/>
          <w:color w:val="auto"/>
          <w:sz w:val="24"/>
          <w:szCs w:val="24"/>
          <w:lang w:val="en-US" w:eastAsia="zh-CN"/>
        </w:rPr>
        <w:t>[25] 李建栋, 杨震樱, 丁扬飞. BMMBr水泥基电解质的制备及其在结构超级电容器中的应用[J]. 硅酸盐通报, 2024, 43</w:t>
      </w:r>
      <w:r>
        <w:rPr>
          <w:rFonts w:ascii="Times New Roman" w:eastAsia="楷体" w:hAnsi="Times New Roman" w:cs="Times New Roman" w:hint="eastAsia"/>
          <w:b w:val="0"/>
          <w:bCs w:val="0"/>
          <w:color w:val="auto"/>
          <w:sz w:val="24"/>
          <w:szCs w:val="24"/>
          <w:lang w:val="en-US" w:eastAsia="zh-CN"/>
        </w:rPr>
        <w:t>(</w:t>
      </w:r>
      <w:r>
        <w:rPr>
          <w:rFonts w:ascii="Times New Roman" w:eastAsia="楷体" w:hAnsi="Times New Roman" w:cs="Times New Roman" w:hint="default"/>
          <w:b w:val="0"/>
          <w:bCs w:val="0"/>
          <w:color w:val="auto"/>
          <w:sz w:val="24"/>
          <w:szCs w:val="24"/>
          <w:lang w:val="en-US" w:eastAsia="zh-CN"/>
        </w:rPr>
        <w:t>2</w:t>
      </w:r>
      <w:r>
        <w:rPr>
          <w:rFonts w:ascii="Times New Roman" w:eastAsia="楷体" w:hAnsi="Times New Roman" w:cs="Times New Roman" w:hint="eastAsia"/>
          <w:b w:val="0"/>
          <w:bCs w:val="0"/>
          <w:color w:val="auto"/>
          <w:sz w:val="24"/>
          <w:szCs w:val="24"/>
          <w:lang w:val="en-US" w:eastAsia="zh-CN"/>
        </w:rPr>
        <w:t>)</w:t>
      </w:r>
      <w:r>
        <w:rPr>
          <w:rFonts w:ascii="Times New Roman" w:eastAsia="楷体" w:hAnsi="Times New Roman" w:cs="Times New Roman" w:hint="default"/>
          <w:b w:val="0"/>
          <w:bCs w:val="0"/>
          <w:color w:val="auto"/>
          <w:sz w:val="24"/>
          <w:szCs w:val="24"/>
          <w:lang w:val="en-US" w:eastAsia="zh-CN"/>
        </w:rPr>
        <w:t>, 509-516.</w:t>
      </w:r>
    </w:p>
    <w:p>
      <w:pPr>
        <w:pStyle w:val="CommentText"/>
        <w:keepNext w:val="0"/>
        <w:keepLines w:val="0"/>
        <w:pageBreakBefore w:val="0"/>
        <w:kinsoku/>
        <w:wordWrap/>
        <w:overflowPunct/>
        <w:topLinePunct w:val="0"/>
        <w:autoSpaceDE/>
        <w:autoSpaceDN/>
        <w:bidi w:val="0"/>
        <w:adjustRightInd/>
        <w:snapToGrid/>
        <w:spacing w:line="440" w:lineRule="exact"/>
        <w:ind w:firstLine="0" w:firstLineChars="0"/>
        <w:jc w:val="both"/>
        <w:textAlignment w:val="auto"/>
        <w:rPr>
          <w:rFonts w:ascii="Times New Roman" w:eastAsia="楷体" w:hAnsi="Times New Roman" w:cs="Times New Roman" w:hint="default"/>
          <w:b/>
          <w:bCs/>
          <w:color w:val="auto"/>
          <w:sz w:val="24"/>
          <w:szCs w:val="24"/>
          <w:lang w:val="en-US" w:eastAsia="zh-CN"/>
        </w:rPr>
      </w:pPr>
      <w:r>
        <w:rPr>
          <w:rFonts w:ascii="Times New Roman" w:eastAsia="楷体" w:hAnsi="Times New Roman" w:cs="Times New Roman" w:hint="eastAsia"/>
          <w:b w:val="0"/>
          <w:bCs w:val="0"/>
          <w:color w:val="auto"/>
          <w:sz w:val="24"/>
          <w:szCs w:val="24"/>
          <w:lang w:val="en-US" w:eastAsia="zh-CN"/>
        </w:rPr>
        <w:t>[26] Gunday S.T., Cevik E., Anil I., Alagha O., Bozkurt A. High-temperature symmetric supercapacitor applications of anhydrous gel electrolytes including doped triazole terminated flexible spacers [J]. Journal of Molecular Liquids, 2020, 301, 112400.</w:t>
      </w:r>
    </w:p>
    <w:p>
      <w:pPr>
        <w:pStyle w:val="CommentText"/>
        <w:keepNext w:val="0"/>
        <w:keepLines w:val="0"/>
        <w:pageBreakBefore w:val="0"/>
        <w:numPr>
          <w:ilvl w:val="0"/>
          <w:numId w:val="0"/>
        </w:numPr>
        <w:kinsoku/>
        <w:wordWrap/>
        <w:overflowPunct/>
        <w:topLinePunct w:val="0"/>
        <w:autoSpaceDE/>
        <w:autoSpaceDN/>
        <w:bidi w:val="0"/>
        <w:adjustRightInd/>
        <w:snapToGrid/>
        <w:spacing w:line="440" w:lineRule="exact"/>
        <w:ind w:firstLine="0" w:firstLineChars="0"/>
        <w:jc w:val="both"/>
        <w:textAlignment w:val="auto"/>
        <w:rPr>
          <w:rFonts w:ascii="Times New Roman" w:eastAsia="楷体" w:hAnsi="Times New Roman" w:cs="Times New Roman" w:hint="default"/>
          <w:b w:val="0"/>
          <w:bCs w:val="0"/>
          <w:color w:val="auto"/>
          <w:sz w:val="24"/>
          <w:szCs w:val="24"/>
          <w:lang w:val="en-US" w:eastAsia="zh-CN"/>
        </w:rPr>
      </w:pPr>
      <w:r>
        <w:rPr>
          <w:rFonts w:ascii="Times New Roman" w:eastAsia="楷体" w:hAnsi="Times New Roman" w:cs="Times New Roman" w:hint="default"/>
          <w:b w:val="0"/>
          <w:bCs w:val="0"/>
          <w:color w:val="auto"/>
          <w:sz w:val="24"/>
          <w:szCs w:val="24"/>
          <w:lang w:val="en-US" w:eastAsia="zh-CN"/>
        </w:rPr>
        <w:t>[2</w:t>
      </w:r>
      <w:r>
        <w:rPr>
          <w:rFonts w:ascii="Times New Roman" w:eastAsia="楷体" w:hAnsi="Times New Roman" w:cs="Times New Roman" w:hint="eastAsia"/>
          <w:b w:val="0"/>
          <w:bCs w:val="0"/>
          <w:color w:val="auto"/>
          <w:sz w:val="24"/>
          <w:szCs w:val="24"/>
          <w:lang w:val="en-US" w:eastAsia="zh-CN"/>
        </w:rPr>
        <w:t>7</w:t>
      </w:r>
      <w:r>
        <w:rPr>
          <w:rFonts w:ascii="Times New Roman" w:eastAsia="楷体" w:hAnsi="Times New Roman" w:cs="Times New Roman" w:hint="default"/>
          <w:b w:val="0"/>
          <w:bCs w:val="0"/>
          <w:color w:val="auto"/>
          <w:sz w:val="24"/>
          <w:szCs w:val="24"/>
          <w:lang w:val="en-US" w:eastAsia="zh-CN"/>
        </w:rPr>
        <w:t>] Chanut N., Stefaniuk D., Weaver J.C., Zhu Y.G., Shao-Horn Y., Masic A., Ulm F.J.</w:t>
      </w:r>
      <w:r>
        <w:rPr>
          <w:rFonts w:ascii="Times New Roman" w:eastAsia="楷体" w:hAnsi="Times New Roman" w:cs="Times New Roman" w:hint="eastAsia"/>
          <w:b w:val="0"/>
          <w:bCs w:val="0"/>
          <w:color w:val="auto"/>
          <w:sz w:val="24"/>
          <w:szCs w:val="24"/>
          <w:lang w:val="en-US" w:eastAsia="zh-CN"/>
        </w:rPr>
        <w:t xml:space="preserve"> </w:t>
      </w:r>
      <w:r>
        <w:rPr>
          <w:rFonts w:ascii="Times New Roman" w:eastAsia="楷体" w:hAnsi="Times New Roman" w:cs="Times New Roman" w:hint="default"/>
          <w:b w:val="0"/>
          <w:bCs w:val="0"/>
          <w:color w:val="auto"/>
          <w:sz w:val="24"/>
          <w:szCs w:val="24"/>
          <w:lang w:val="en-US" w:eastAsia="zh-CN"/>
        </w:rPr>
        <w:t>Carbon-cement supercapacitors as a scalable bulk energy storage solution [J]. PNAS, 2023, 120</w:t>
      </w:r>
      <w:r>
        <w:rPr>
          <w:rFonts w:ascii="Times New Roman" w:eastAsia="楷体" w:hAnsi="Times New Roman" w:cs="Times New Roman" w:hint="eastAsia"/>
          <w:b w:val="0"/>
          <w:bCs w:val="0"/>
          <w:color w:val="auto"/>
          <w:sz w:val="24"/>
          <w:szCs w:val="24"/>
          <w:lang w:val="en-US" w:eastAsia="zh-CN"/>
        </w:rPr>
        <w:t>(</w:t>
      </w:r>
      <w:r>
        <w:rPr>
          <w:rFonts w:ascii="Times New Roman" w:eastAsia="楷体" w:hAnsi="Times New Roman" w:cs="Times New Roman" w:hint="default"/>
          <w:b w:val="0"/>
          <w:bCs w:val="0"/>
          <w:color w:val="auto"/>
          <w:sz w:val="24"/>
          <w:szCs w:val="24"/>
          <w:lang w:val="en-US" w:eastAsia="zh-CN"/>
        </w:rPr>
        <w:t>32</w:t>
      </w:r>
      <w:r>
        <w:rPr>
          <w:rFonts w:ascii="Times New Roman" w:eastAsia="楷体" w:hAnsi="Times New Roman" w:cs="Times New Roman" w:hint="eastAsia"/>
          <w:b w:val="0"/>
          <w:bCs w:val="0"/>
          <w:color w:val="auto"/>
          <w:sz w:val="24"/>
          <w:szCs w:val="24"/>
          <w:lang w:val="en-US" w:eastAsia="zh-CN"/>
        </w:rPr>
        <w:t>)</w:t>
      </w:r>
      <w:r>
        <w:rPr>
          <w:rFonts w:ascii="Times New Roman" w:eastAsia="楷体" w:hAnsi="Times New Roman" w:cs="Times New Roman" w:hint="default"/>
          <w:b w:val="0"/>
          <w:bCs w:val="0"/>
          <w:color w:val="auto"/>
          <w:sz w:val="24"/>
          <w:szCs w:val="24"/>
          <w:lang w:val="en-US" w:eastAsia="zh-CN"/>
        </w:rPr>
        <w:t>, e2304318120.</w:t>
      </w:r>
    </w:p>
    <w:p>
      <w:pPr>
        <w:pStyle w:val="CommentText"/>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0" w:firstLineChars="0"/>
        <w:jc w:val="both"/>
        <w:textAlignment w:val="auto"/>
        <w:rPr>
          <w:rFonts w:ascii="Times New Roman" w:eastAsia="楷体" w:hAnsi="Times New Roman" w:cs="Times New Roman" w:hint="default"/>
          <w:b w:val="0"/>
          <w:bCs w:val="0"/>
          <w:color w:val="auto"/>
          <w:sz w:val="24"/>
          <w:szCs w:val="24"/>
          <w:lang w:val="en-US" w:eastAsia="zh-CN"/>
        </w:rPr>
      </w:pPr>
      <w:r>
        <w:rPr>
          <w:rFonts w:ascii="Times New Roman" w:eastAsia="楷体" w:hAnsi="Times New Roman" w:cs="Times New Roman" w:hint="eastAsia"/>
          <w:b w:val="0"/>
          <w:bCs w:val="0"/>
          <w:color w:val="auto"/>
          <w:sz w:val="24"/>
          <w:szCs w:val="24"/>
          <w:lang w:val="en-US" w:eastAsia="zh-CN"/>
        </w:rPr>
        <w:t>[28] Pal B., Yang S.Y., Ramesh S., Thangadurai V., Jose R. Electrolyte selection for supercapacitive devices: a critical review [J]. Nanoscale Advances, 2019, 10(1), 3807-3835.</w:t>
      </w:r>
    </w:p>
    <w:p>
      <w:pPr>
        <w:pStyle w:val="CommentText"/>
        <w:keepNext w:val="0"/>
        <w:keepLines w:val="0"/>
        <w:pageBreakBefore w:val="0"/>
        <w:widowControl w:val="0"/>
        <w:kinsoku/>
        <w:wordWrap/>
        <w:overflowPunct/>
        <w:topLinePunct w:val="0"/>
        <w:autoSpaceDE/>
        <w:autoSpaceDN/>
        <w:bidi w:val="0"/>
        <w:adjustRightInd/>
        <w:snapToGrid/>
        <w:spacing w:line="440" w:lineRule="exact"/>
        <w:ind w:firstLine="0" w:firstLineChars="0"/>
        <w:jc w:val="both"/>
        <w:textAlignment w:val="auto"/>
        <w:rPr>
          <w:rFonts w:ascii="Times New Roman" w:eastAsia="楷体" w:hAnsi="Times New Roman" w:cs="Times New Roman" w:hint="default"/>
          <w:b w:val="0"/>
          <w:bCs w:val="0"/>
          <w:color w:val="auto"/>
          <w:sz w:val="24"/>
          <w:szCs w:val="24"/>
          <w:lang w:val="en-US" w:eastAsia="zh-CN"/>
        </w:rPr>
      </w:pPr>
      <w:r>
        <w:rPr>
          <w:rFonts w:ascii="Times New Roman" w:eastAsia="楷体" w:hAnsi="Times New Roman" w:cs="Times New Roman" w:hint="default"/>
          <w:b w:val="0"/>
          <w:bCs w:val="0"/>
          <w:color w:val="auto"/>
          <w:sz w:val="24"/>
          <w:szCs w:val="24"/>
          <w:lang w:val="en-US" w:eastAsia="zh-CN"/>
        </w:rPr>
        <w:t>[2</w:t>
      </w:r>
      <w:r>
        <w:rPr>
          <w:rFonts w:ascii="Times New Roman" w:eastAsia="楷体" w:hAnsi="Times New Roman" w:cs="Times New Roman" w:hint="eastAsia"/>
          <w:b w:val="0"/>
          <w:bCs w:val="0"/>
          <w:color w:val="auto"/>
          <w:sz w:val="24"/>
          <w:szCs w:val="24"/>
          <w:lang w:val="en-US" w:eastAsia="zh-CN"/>
        </w:rPr>
        <w:t>9</w:t>
      </w:r>
      <w:r>
        <w:rPr>
          <w:rFonts w:ascii="Times New Roman" w:eastAsia="楷体" w:hAnsi="Times New Roman" w:cs="Times New Roman" w:hint="default"/>
          <w:b w:val="0"/>
          <w:bCs w:val="0"/>
          <w:color w:val="auto"/>
          <w:sz w:val="24"/>
          <w:szCs w:val="24"/>
          <w:lang w:val="en-US" w:eastAsia="zh-CN"/>
        </w:rPr>
        <w:t xml:space="preserve">] Zuo Y.B., Chen Y., Liu C., Gan Y.D., Gobel L., Ye G., Provis J.L. Modeling and simulation of alkali-activated materials </w:t>
      </w:r>
      <w:r>
        <w:rPr>
          <w:rFonts w:ascii="Times New Roman" w:eastAsia="楷体" w:hAnsi="Times New Roman" w:cs="Times New Roman" w:hint="eastAsia"/>
          <w:b w:val="0"/>
          <w:bCs w:val="0"/>
          <w:color w:val="auto"/>
          <w:sz w:val="24"/>
          <w:szCs w:val="24"/>
          <w:lang w:val="en-US" w:eastAsia="zh-CN"/>
        </w:rPr>
        <w:t>(</w:t>
      </w:r>
      <w:r>
        <w:rPr>
          <w:rFonts w:ascii="Times New Roman" w:eastAsia="楷体" w:hAnsi="Times New Roman" w:cs="Times New Roman" w:hint="default"/>
          <w:b w:val="0"/>
          <w:bCs w:val="0"/>
          <w:color w:val="auto"/>
          <w:sz w:val="24"/>
          <w:szCs w:val="24"/>
          <w:lang w:val="en-US" w:eastAsia="zh-CN"/>
        </w:rPr>
        <w:t>AAMs</w:t>
      </w:r>
      <w:r>
        <w:rPr>
          <w:rFonts w:ascii="Times New Roman" w:eastAsia="楷体" w:hAnsi="Times New Roman" w:cs="Times New Roman" w:hint="eastAsia"/>
          <w:b w:val="0"/>
          <w:bCs w:val="0"/>
          <w:color w:val="auto"/>
          <w:sz w:val="24"/>
          <w:szCs w:val="24"/>
          <w:lang w:val="en-US" w:eastAsia="zh-CN"/>
        </w:rPr>
        <w:t>)</w:t>
      </w:r>
      <w:r>
        <w:rPr>
          <w:rFonts w:ascii="Times New Roman" w:eastAsia="楷体" w:hAnsi="Times New Roman" w:cs="Times New Roman" w:hint="default"/>
          <w:b w:val="0"/>
          <w:bCs w:val="0"/>
          <w:color w:val="auto"/>
          <w:sz w:val="24"/>
          <w:szCs w:val="24"/>
          <w:lang w:val="en-US" w:eastAsia="zh-CN"/>
        </w:rPr>
        <w:t>: A critical review [J]. Cement and Concrete Research, 2025, 189, 107769.</w:t>
      </w:r>
    </w:p>
    <w:p>
      <w:pPr>
        <w:keepNext w:val="0"/>
        <w:keepLines w:val="0"/>
        <w:pageBreakBefore w:val="0"/>
        <w:widowControl w:val="0"/>
        <w:kinsoku/>
        <w:wordWrap w:val="0"/>
        <w:overflowPunct/>
        <w:topLinePunct w:val="0"/>
        <w:autoSpaceDE/>
        <w:autoSpaceDN/>
        <w:bidi w:val="0"/>
        <w:adjustRightInd/>
        <w:snapToGrid/>
        <w:spacing w:line="440" w:lineRule="exact"/>
        <w:ind w:firstLine="0" w:firstLineChars="0"/>
        <w:textAlignment w:val="auto"/>
        <w:rPr>
          <w:rFonts w:ascii="楷体" w:eastAsia="楷体" w:hAnsi="楷体" w:cs="楷体"/>
          <w:color w:val="auto"/>
        </w:rPr>
      </w:pPr>
      <w:r>
        <w:rPr>
          <w:rFonts w:ascii="Times New Roman" w:eastAsia="楷体" w:hAnsi="Times New Roman" w:cs="Times New Roman" w:hint="eastAsia"/>
          <w:b w:val="0"/>
          <w:bCs w:val="0"/>
          <w:color w:val="auto"/>
          <w:sz w:val="24"/>
          <w:szCs w:val="24"/>
          <w:lang w:val="en-US" w:eastAsia="zh-CN"/>
        </w:rPr>
        <w:t xml:space="preserve">[30] Xiao J.Z., Zou S., Poon C.S., Sham M.L., Li Z.J., Shah S.P., </w:t>
      </w:r>
      <w:bookmarkStart w:id="76" w:name="OLE_LINK20"/>
      <w:r>
        <w:rPr>
          <w:rFonts w:ascii="Times New Roman" w:eastAsia="楷体" w:hAnsi="Times New Roman" w:cs="Times New Roman" w:hint="eastAsia"/>
          <w:b w:val="0"/>
          <w:bCs w:val="0"/>
          <w:color w:val="auto"/>
          <w:sz w:val="24"/>
          <w:szCs w:val="24"/>
          <w:lang w:val="en-US" w:eastAsia="zh-CN"/>
        </w:rPr>
        <w:t>We use 30 billion tonnes of concrete a year-here</w:t>
      </w:r>
      <w:r>
        <w:rPr>
          <w:rFonts w:ascii="Times New Roman" w:eastAsia="楷体" w:hAnsi="Times New Roman" w:cs="Times New Roman" w:hint="default"/>
          <w:b w:val="0"/>
          <w:bCs w:val="0"/>
          <w:color w:val="auto"/>
          <w:sz w:val="24"/>
          <w:szCs w:val="24"/>
          <w:lang w:val="en-US" w:eastAsia="zh-CN"/>
        </w:rPr>
        <w:t>’</w:t>
      </w:r>
      <w:r>
        <w:rPr>
          <w:rFonts w:ascii="Times New Roman" w:eastAsia="楷体" w:hAnsi="Times New Roman" w:cs="Times New Roman" w:hint="eastAsia"/>
          <w:b w:val="0"/>
          <w:bCs w:val="0"/>
          <w:color w:val="auto"/>
          <w:sz w:val="24"/>
          <w:szCs w:val="24"/>
          <w:lang w:val="en-US" w:eastAsia="zh-CN"/>
        </w:rPr>
        <w:t>s how to make it sustainable</w:t>
      </w:r>
      <w:bookmarkEnd w:id="76"/>
      <w:r>
        <w:rPr>
          <w:rFonts w:ascii="Times New Roman" w:eastAsia="楷体" w:hAnsi="Times New Roman" w:cs="Times New Roman" w:hint="eastAsia"/>
          <w:b w:val="0"/>
          <w:bCs w:val="0"/>
          <w:color w:val="auto"/>
          <w:sz w:val="24"/>
          <w:szCs w:val="24"/>
          <w:lang w:val="en-US" w:eastAsia="zh-CN"/>
        </w:rPr>
        <w:t xml:space="preserve"> [J]. Nature, 2025, 638, 888-890.</w:t>
      </w:r>
    </w:p>
    <w:p>
      <w:pPr>
        <w:wordWrap w:val="0"/>
        <w:spacing w:line="440" w:lineRule="exact"/>
        <w:ind w:firstLine="560" w:firstLineChars="200"/>
        <w:outlineLvl w:val="0"/>
        <w:rPr>
          <w:rFonts w:ascii="楷体" w:eastAsia="楷体" w:hAnsi="楷体" w:cs="楷体"/>
          <w:b/>
        </w:rPr>
      </w:pPr>
      <w:r>
        <w:rPr>
          <w:rFonts w:ascii="楷体" w:eastAsia="楷体" w:hAnsi="楷体" w:cs="楷体" w:hint="eastAsia"/>
          <w:b/>
        </w:rPr>
        <w:t>二、</w:t>
      </w:r>
      <w:bookmarkStart w:id="77" w:name="bm_five"/>
      <w:r>
        <w:rPr>
          <w:rFonts w:ascii="楷体" w:eastAsia="楷体" w:hAnsi="楷体" w:cs="楷体" w:hint="eastAsia"/>
          <w:b/>
        </w:rPr>
        <w:t>研究内容、研究目标、拟解决的关键科学问题、创新点及预期成果</w:t>
      </w:r>
    </w:p>
    <w:p>
      <w:pPr>
        <w:wordWrap w:val="0"/>
        <w:spacing w:line="440" w:lineRule="exact"/>
        <w:ind w:firstLine="560" w:firstLineChars="200"/>
        <w:rPr>
          <w:rFonts w:ascii="楷体" w:eastAsia="楷体" w:hAnsi="楷体" w:cs="楷体"/>
        </w:rPr>
      </w:pPr>
      <w:r>
        <w:rPr>
          <w:rFonts w:ascii="楷体" w:eastAsia="楷体" w:hAnsi="楷体" w:cs="楷体" w:hint="eastAsia"/>
        </w:rPr>
        <w:t>1.研究内容</w:t>
      </w:r>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ascii="Times New Roman" w:eastAsia="楷体" w:hAnsi="Times New Roman" w:cs="Times New Roman" w:hint="default"/>
          <w:b/>
          <w:bCs/>
          <w:color w:val="auto"/>
          <w:sz w:val="24"/>
          <w:szCs w:val="24"/>
          <w:lang w:val="en-US" w:eastAsia="zh-CN"/>
        </w:rPr>
      </w:pPr>
      <w:r>
        <w:rPr>
          <w:rFonts w:ascii="Times New Roman" w:eastAsia="楷体" w:hAnsi="Times New Roman" w:cs="Times New Roman" w:hint="default"/>
          <w:b/>
          <w:bCs/>
          <w:color w:val="auto"/>
          <w:sz w:val="24"/>
          <w:szCs w:val="24"/>
          <w:lang w:val="en-US" w:eastAsia="zh-CN"/>
        </w:rPr>
        <w:t>（1）</w:t>
      </w:r>
      <w:r>
        <w:rPr>
          <w:rFonts w:eastAsia="楷体"/>
          <w:b/>
          <w:bCs/>
          <w:color w:val="auto"/>
          <w:sz w:val="24"/>
          <w:szCs w:val="24"/>
        </w:rPr>
        <w:t>碱激发材料电解质的</w:t>
      </w:r>
      <w:r>
        <w:rPr>
          <w:rFonts w:eastAsia="楷体" w:hint="eastAsia"/>
          <w:b/>
          <w:bCs/>
          <w:color w:val="auto"/>
          <w:sz w:val="24"/>
          <w:szCs w:val="24"/>
        </w:rPr>
        <w:t>导电</w:t>
      </w:r>
      <w:r>
        <w:rPr>
          <w:rFonts w:eastAsia="楷体" w:hint="eastAsia"/>
          <w:b/>
          <w:bCs/>
          <w:color w:val="auto"/>
          <w:sz w:val="24"/>
          <w:szCs w:val="24"/>
          <w:lang w:val="en-US" w:eastAsia="zh-CN"/>
        </w:rPr>
        <w:t>机制</w:t>
      </w:r>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ascii="Times New Roman" w:eastAsia="楷体" w:hAnsi="Times New Roman" w:cs="Times New Roman" w:hint="default"/>
          <w:i w:val="0"/>
          <w:iCs w:val="0"/>
          <w:caps w:val="0"/>
          <w:color w:val="auto"/>
          <w:spacing w:val="0"/>
          <w:sz w:val="24"/>
          <w:szCs w:val="24"/>
          <w:shd w:val="clear" w:color="auto" w:fill="FFFFFF"/>
          <w:lang w:val="en-US" w:eastAsia="zh-CN"/>
        </w:rPr>
      </w:pPr>
      <w:r>
        <w:rPr>
          <w:rFonts w:ascii="Times New Roman" w:eastAsia="楷体" w:hAnsi="Times New Roman" w:cs="Times New Roman" w:hint="eastAsia"/>
          <w:i w:val="0"/>
          <w:iCs w:val="0"/>
          <w:caps w:val="0"/>
          <w:color w:val="auto"/>
          <w:spacing w:val="0"/>
          <w:sz w:val="24"/>
          <w:szCs w:val="24"/>
          <w:shd w:val="clear" w:color="auto" w:fill="FFFFFF"/>
          <w:lang w:val="en-US" w:eastAsia="zh-CN"/>
        </w:rPr>
        <w:t>选用Class F一级粉煤灰和S95级矿渣作为粉末原材料，</w:t>
      </w:r>
      <w:r>
        <w:rPr>
          <w:rFonts w:ascii="Times New Roman" w:eastAsia="楷体" w:hAnsi="Times New Roman" w:cs="Times New Roman" w:hint="default"/>
          <w:color w:val="auto"/>
          <w:sz w:val="24"/>
          <w:szCs w:val="24"/>
        </w:rPr>
        <w:t>NaOH+Na</w:t>
      </w:r>
      <w:r>
        <w:rPr>
          <w:rFonts w:ascii="Times New Roman" w:eastAsia="楷体" w:hAnsi="Times New Roman" w:cs="Times New Roman" w:hint="default"/>
          <w:color w:val="auto"/>
          <w:sz w:val="24"/>
          <w:szCs w:val="24"/>
          <w:vertAlign w:val="subscript"/>
        </w:rPr>
        <w:t>2</w:t>
      </w:r>
      <w:r>
        <w:rPr>
          <w:rFonts w:ascii="Times New Roman" w:eastAsia="楷体" w:hAnsi="Times New Roman" w:cs="Times New Roman" w:hint="default"/>
          <w:color w:val="auto"/>
          <w:sz w:val="24"/>
          <w:szCs w:val="24"/>
        </w:rPr>
        <w:t>SiO</w:t>
      </w:r>
      <w:r>
        <w:rPr>
          <w:rFonts w:ascii="Times New Roman" w:eastAsia="楷体" w:hAnsi="Times New Roman" w:cs="Times New Roman" w:hint="default"/>
          <w:color w:val="auto"/>
          <w:sz w:val="24"/>
          <w:szCs w:val="24"/>
          <w:vertAlign w:val="subscript"/>
        </w:rPr>
        <w:t>3</w:t>
      </w:r>
      <w:r>
        <w:rPr>
          <w:rFonts w:ascii="Times New Roman" w:eastAsia="楷体" w:hAnsi="Times New Roman" w:cs="Times New Roman" w:hint="default"/>
          <w:color w:val="auto"/>
          <w:sz w:val="24"/>
          <w:szCs w:val="24"/>
          <w:lang w:val="en-US" w:eastAsia="zh-CN"/>
        </w:rPr>
        <w:t>和K</w:t>
      </w:r>
      <w:r>
        <w:rPr>
          <w:rFonts w:ascii="Times New Roman" w:eastAsia="楷体" w:hAnsi="Times New Roman" w:cs="Times New Roman" w:hint="default"/>
          <w:color w:val="auto"/>
          <w:sz w:val="24"/>
          <w:szCs w:val="24"/>
        </w:rPr>
        <w:t>OH+</w:t>
      </w:r>
      <w:r>
        <w:rPr>
          <w:rFonts w:ascii="Times New Roman" w:eastAsia="楷体" w:hAnsi="Times New Roman" w:cs="Times New Roman" w:hint="default"/>
          <w:color w:val="auto"/>
          <w:sz w:val="24"/>
          <w:szCs w:val="24"/>
          <w:lang w:val="en-US" w:eastAsia="zh-CN"/>
        </w:rPr>
        <w:t>K</w:t>
      </w:r>
      <w:r>
        <w:rPr>
          <w:rFonts w:ascii="Times New Roman" w:eastAsia="楷体" w:hAnsi="Times New Roman" w:cs="Times New Roman" w:hint="default"/>
          <w:color w:val="auto"/>
          <w:sz w:val="24"/>
          <w:szCs w:val="24"/>
          <w:vertAlign w:val="subscript"/>
        </w:rPr>
        <w:t>2</w:t>
      </w:r>
      <w:r>
        <w:rPr>
          <w:rFonts w:ascii="Times New Roman" w:eastAsia="楷体" w:hAnsi="Times New Roman" w:cs="Times New Roman" w:hint="default"/>
          <w:color w:val="auto"/>
          <w:sz w:val="24"/>
          <w:szCs w:val="24"/>
        </w:rPr>
        <w:t>SiO</w:t>
      </w:r>
      <w:r>
        <w:rPr>
          <w:rFonts w:ascii="Times New Roman" w:eastAsia="楷体" w:hAnsi="Times New Roman" w:cs="Times New Roman" w:hint="default"/>
          <w:color w:val="auto"/>
          <w:sz w:val="24"/>
          <w:szCs w:val="24"/>
          <w:vertAlign w:val="subscript"/>
        </w:rPr>
        <w:t>3</w:t>
      </w:r>
      <w:r>
        <w:rPr>
          <w:rFonts w:ascii="Times New Roman" w:eastAsia="楷体" w:hAnsi="Times New Roman" w:cs="Times New Roman" w:hint="default"/>
          <w:color w:val="auto"/>
          <w:sz w:val="24"/>
          <w:szCs w:val="24"/>
        </w:rPr>
        <w:t>作碱激发剂</w:t>
      </w:r>
      <w:r>
        <w:rPr>
          <w:rFonts w:eastAsia="楷体" w:cs="Times New Roman" w:hint="eastAsia"/>
          <w:color w:val="auto"/>
          <w:sz w:val="24"/>
          <w:szCs w:val="24"/>
          <w:lang w:eastAsia="zh-CN"/>
        </w:rPr>
        <w:t>。</w:t>
      </w:r>
      <w:r>
        <w:rPr>
          <w:rFonts w:eastAsia="楷体" w:cs="Times New Roman" w:hint="eastAsia"/>
          <w:i w:val="0"/>
          <w:iCs w:val="0"/>
          <w:caps w:val="0"/>
          <w:color w:val="auto"/>
          <w:spacing w:val="0"/>
          <w:sz w:val="24"/>
          <w:szCs w:val="24"/>
          <w:shd w:val="clear" w:color="auto" w:fill="FFFFFF"/>
          <w:lang w:val="en-US" w:eastAsia="zh-CN"/>
        </w:rPr>
        <w:t>以碱激发粉煤灰-矿渣净浆体系为研究对象，根据粉煤灰-矿渣质量比制备碱激发</w:t>
      </w:r>
      <w:r>
        <w:rPr>
          <w:rFonts w:ascii="Times New Roman" w:eastAsia="楷体" w:hAnsi="Times New Roman" w:cs="Times New Roman" w:hint="eastAsia"/>
          <w:i w:val="0"/>
          <w:iCs w:val="0"/>
          <w:caps w:val="0"/>
          <w:color w:val="auto"/>
          <w:spacing w:val="0"/>
          <w:sz w:val="24"/>
          <w:szCs w:val="24"/>
          <w:shd w:val="clear" w:color="auto" w:fill="FFFFFF"/>
          <w:lang w:val="en-US" w:eastAsia="zh-CN"/>
        </w:rPr>
        <w:t>高钙</w:t>
      </w:r>
      <w:r>
        <w:rPr>
          <w:rFonts w:eastAsia="楷体" w:cs="Times New Roman" w:hint="eastAsia"/>
          <w:i w:val="0"/>
          <w:iCs w:val="0"/>
          <w:caps w:val="0"/>
          <w:color w:val="auto"/>
          <w:spacing w:val="0"/>
          <w:sz w:val="24"/>
          <w:szCs w:val="24"/>
          <w:shd w:val="clear" w:color="auto" w:fill="FFFFFF"/>
          <w:lang w:val="en-US" w:eastAsia="zh-CN"/>
        </w:rPr>
        <w:t>（</w:t>
      </w:r>
      <w:r>
        <w:rPr>
          <w:rFonts w:ascii="Times New Roman" w:eastAsia="楷体" w:hAnsi="Times New Roman" w:cs="Times New Roman" w:hint="eastAsia"/>
          <w:i w:val="0"/>
          <w:iCs w:val="0"/>
          <w:caps w:val="0"/>
          <w:color w:val="auto"/>
          <w:spacing w:val="0"/>
          <w:sz w:val="24"/>
          <w:szCs w:val="24"/>
          <w:shd w:val="clear" w:color="auto" w:fill="FFFFFF"/>
          <w:lang w:val="en-US" w:eastAsia="zh-CN"/>
        </w:rPr>
        <w:t>0:1</w:t>
      </w:r>
      <w:r>
        <w:rPr>
          <w:rFonts w:eastAsia="楷体" w:cs="Times New Roman" w:hint="eastAsia"/>
          <w:i w:val="0"/>
          <w:iCs w:val="0"/>
          <w:caps w:val="0"/>
          <w:color w:val="auto"/>
          <w:spacing w:val="0"/>
          <w:sz w:val="24"/>
          <w:szCs w:val="24"/>
          <w:shd w:val="clear" w:color="auto" w:fill="FFFFFF"/>
          <w:lang w:val="en-US" w:eastAsia="zh-CN"/>
        </w:rPr>
        <w:t>）</w:t>
      </w:r>
      <w:r>
        <w:rPr>
          <w:rFonts w:ascii="Times New Roman" w:eastAsia="楷体" w:hAnsi="Times New Roman" w:cs="Times New Roman" w:hint="eastAsia"/>
          <w:i w:val="0"/>
          <w:iCs w:val="0"/>
          <w:caps w:val="0"/>
          <w:color w:val="auto"/>
          <w:spacing w:val="0"/>
          <w:sz w:val="24"/>
          <w:szCs w:val="24"/>
          <w:shd w:val="clear" w:color="auto" w:fill="FFFFFF"/>
          <w:lang w:val="en-US" w:eastAsia="zh-CN"/>
        </w:rPr>
        <w:t>、中钙</w:t>
      </w:r>
      <w:r>
        <w:rPr>
          <w:rFonts w:eastAsia="楷体" w:cs="Times New Roman" w:hint="eastAsia"/>
          <w:i w:val="0"/>
          <w:iCs w:val="0"/>
          <w:caps w:val="0"/>
          <w:color w:val="auto"/>
          <w:spacing w:val="0"/>
          <w:sz w:val="24"/>
          <w:szCs w:val="24"/>
          <w:shd w:val="clear" w:color="auto" w:fill="FFFFFF"/>
          <w:lang w:val="en-US" w:eastAsia="zh-CN"/>
        </w:rPr>
        <w:t>（</w:t>
      </w:r>
      <w:r>
        <w:rPr>
          <w:rFonts w:ascii="Times New Roman" w:eastAsia="楷体" w:hAnsi="Times New Roman" w:cs="Times New Roman" w:hint="eastAsia"/>
          <w:i w:val="0"/>
          <w:iCs w:val="0"/>
          <w:caps w:val="0"/>
          <w:color w:val="auto"/>
          <w:spacing w:val="0"/>
          <w:sz w:val="24"/>
          <w:szCs w:val="24"/>
          <w:shd w:val="clear" w:color="auto" w:fill="FFFFFF"/>
          <w:lang w:val="en-US" w:eastAsia="zh-CN"/>
        </w:rPr>
        <w:t>1:1</w:t>
      </w:r>
      <w:r>
        <w:rPr>
          <w:rFonts w:eastAsia="楷体" w:cs="Times New Roman" w:hint="eastAsia"/>
          <w:i w:val="0"/>
          <w:iCs w:val="0"/>
          <w:caps w:val="0"/>
          <w:color w:val="auto"/>
          <w:spacing w:val="0"/>
          <w:sz w:val="24"/>
          <w:szCs w:val="24"/>
          <w:shd w:val="clear" w:color="auto" w:fill="FFFFFF"/>
          <w:lang w:val="en-US" w:eastAsia="zh-CN"/>
        </w:rPr>
        <w:t>）</w:t>
      </w:r>
      <w:r>
        <w:rPr>
          <w:rFonts w:ascii="Times New Roman" w:eastAsia="楷体" w:hAnsi="Times New Roman" w:cs="Times New Roman" w:hint="eastAsia"/>
          <w:i w:val="0"/>
          <w:iCs w:val="0"/>
          <w:caps w:val="0"/>
          <w:color w:val="auto"/>
          <w:spacing w:val="0"/>
          <w:sz w:val="24"/>
          <w:szCs w:val="24"/>
          <w:shd w:val="clear" w:color="auto" w:fill="FFFFFF"/>
          <w:lang w:val="en-US" w:eastAsia="zh-CN"/>
        </w:rPr>
        <w:t>和低钙</w:t>
      </w:r>
      <w:r>
        <w:rPr>
          <w:rFonts w:eastAsia="楷体" w:cs="Times New Roman" w:hint="eastAsia"/>
          <w:i w:val="0"/>
          <w:iCs w:val="0"/>
          <w:caps w:val="0"/>
          <w:color w:val="auto"/>
          <w:spacing w:val="0"/>
          <w:sz w:val="24"/>
          <w:szCs w:val="24"/>
          <w:shd w:val="clear" w:color="auto" w:fill="FFFFFF"/>
          <w:lang w:val="en-US" w:eastAsia="zh-CN"/>
        </w:rPr>
        <w:t>（</w:t>
      </w:r>
      <w:r>
        <w:rPr>
          <w:rFonts w:ascii="Times New Roman" w:eastAsia="楷体" w:hAnsi="Times New Roman" w:cs="Times New Roman" w:hint="eastAsia"/>
          <w:i w:val="0"/>
          <w:iCs w:val="0"/>
          <w:caps w:val="0"/>
          <w:color w:val="auto"/>
          <w:spacing w:val="0"/>
          <w:sz w:val="24"/>
          <w:szCs w:val="24"/>
          <w:shd w:val="clear" w:color="auto" w:fill="FFFFFF"/>
          <w:lang w:val="en-US" w:eastAsia="zh-CN"/>
        </w:rPr>
        <w:t>1:0</w:t>
      </w:r>
      <w:r>
        <w:rPr>
          <w:rFonts w:eastAsia="楷体" w:cs="Times New Roman" w:hint="eastAsia"/>
          <w:i w:val="0"/>
          <w:iCs w:val="0"/>
          <w:caps w:val="0"/>
          <w:color w:val="auto"/>
          <w:spacing w:val="0"/>
          <w:sz w:val="24"/>
          <w:szCs w:val="24"/>
          <w:shd w:val="clear" w:color="auto" w:fill="FFFFFF"/>
          <w:lang w:val="en-US" w:eastAsia="zh-CN"/>
        </w:rPr>
        <w:t>）含量碱激发材料</w:t>
      </w:r>
      <w:r>
        <w:rPr>
          <w:rFonts w:ascii="Times New Roman" w:eastAsia="楷体" w:hAnsi="Times New Roman" w:cs="Times New Roman" w:hint="eastAsia"/>
          <w:i w:val="0"/>
          <w:iCs w:val="0"/>
          <w:caps w:val="0"/>
          <w:color w:val="auto"/>
          <w:spacing w:val="0"/>
          <w:sz w:val="24"/>
          <w:szCs w:val="24"/>
          <w:shd w:val="clear" w:color="auto" w:fill="FFFFFF"/>
          <w:lang w:val="en-US" w:eastAsia="zh-CN"/>
        </w:rPr>
        <w:t>。</w:t>
      </w:r>
      <w:r>
        <w:rPr>
          <w:rFonts w:ascii="Times New Roman" w:eastAsia="楷体" w:hAnsi="Times New Roman" w:cs="Times New Roman" w:hint="default"/>
          <w:i w:val="0"/>
          <w:iCs w:val="0"/>
          <w:caps w:val="0"/>
          <w:color w:val="auto"/>
          <w:spacing w:val="0"/>
          <w:sz w:val="24"/>
          <w:szCs w:val="24"/>
          <w:shd w:val="clear" w:color="auto" w:fill="FFFFFF"/>
          <w:lang w:val="en-US" w:eastAsia="zh-CN"/>
        </w:rPr>
        <w:t>设置</w:t>
      </w:r>
      <w:r>
        <w:rPr>
          <w:rFonts w:ascii="Times New Roman" w:eastAsia="楷体" w:hAnsi="Times New Roman" w:cs="Times New Roman" w:hint="eastAsia"/>
          <w:i w:val="0"/>
          <w:iCs w:val="0"/>
          <w:caps w:val="0"/>
          <w:color w:val="auto"/>
          <w:spacing w:val="0"/>
          <w:sz w:val="24"/>
          <w:szCs w:val="24"/>
          <w:shd w:val="clear" w:color="auto" w:fill="FFFFFF"/>
          <w:lang w:val="en-US" w:eastAsia="zh-CN"/>
        </w:rPr>
        <w:t>阳离子类型、</w:t>
      </w:r>
      <w:r>
        <w:rPr>
          <w:rFonts w:eastAsia="楷体" w:cs="Times New Roman" w:hint="eastAsia"/>
          <w:i w:val="0"/>
          <w:iCs w:val="0"/>
          <w:caps w:val="0"/>
          <w:color w:val="auto"/>
          <w:spacing w:val="0"/>
          <w:sz w:val="24"/>
          <w:szCs w:val="24"/>
          <w:shd w:val="clear" w:color="auto" w:fill="FFFFFF"/>
          <w:lang w:val="en-US" w:eastAsia="zh-CN"/>
        </w:rPr>
        <w:t>碱当量</w:t>
      </w:r>
      <w:r>
        <w:rPr>
          <w:rFonts w:ascii="Times New Roman" w:eastAsia="楷体" w:hAnsi="Times New Roman" w:cs="Times New Roman" w:hint="eastAsia"/>
          <w:i w:val="0"/>
          <w:iCs w:val="0"/>
          <w:caps w:val="0"/>
          <w:color w:val="auto"/>
          <w:spacing w:val="0"/>
          <w:sz w:val="24"/>
          <w:szCs w:val="24"/>
          <w:shd w:val="clear" w:color="auto" w:fill="FFFFFF"/>
          <w:lang w:val="en-US" w:eastAsia="zh-CN"/>
        </w:rPr>
        <w:t>和</w:t>
      </w:r>
      <w:r>
        <w:rPr>
          <w:rFonts w:ascii="Times New Roman" w:eastAsia="楷体" w:hAnsi="Times New Roman" w:cs="Times New Roman" w:hint="default"/>
          <w:i w:val="0"/>
          <w:iCs w:val="0"/>
          <w:caps w:val="0"/>
          <w:color w:val="auto"/>
          <w:spacing w:val="0"/>
          <w:sz w:val="24"/>
          <w:szCs w:val="24"/>
          <w:shd w:val="clear" w:color="auto" w:fill="FFFFFF"/>
          <w:lang w:val="en-US" w:eastAsia="zh-CN"/>
        </w:rPr>
        <w:t>碱激发剂模数为研究变量。开展以下研究：</w:t>
      </w:r>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ascii="Times New Roman" w:eastAsia="楷体" w:hAnsi="Times New Roman" w:cs="Times New Roman" w:hint="eastAsia"/>
          <w:color w:val="auto"/>
          <w:sz w:val="24"/>
          <w:lang w:eastAsia="zh-CN"/>
        </w:rPr>
      </w:pPr>
      <w:bookmarkStart w:id="78" w:name="OLE_LINK5"/>
      <w:r>
        <w:rPr>
          <w:rFonts w:ascii="Times New Roman" w:eastAsia="楷体" w:hAnsi="Times New Roman" w:cs="Times New Roman" w:hint="default"/>
          <w:i w:val="0"/>
          <w:iCs w:val="0"/>
          <w:caps w:val="0"/>
          <w:color w:val="auto"/>
          <w:spacing w:val="0"/>
          <w:sz w:val="24"/>
          <w:szCs w:val="24"/>
          <w:shd w:val="clear" w:color="auto" w:fill="FFFFFF"/>
          <w:lang w:val="en-US" w:eastAsia="zh-CN"/>
        </w:rPr>
        <w:t xml:space="preserve">a. </w:t>
      </w:r>
      <w:r>
        <w:rPr>
          <w:rFonts w:ascii="Times New Roman" w:eastAsia="楷体" w:hAnsi="Times New Roman" w:cs="Times New Roman" w:hint="default"/>
          <w:color w:val="auto"/>
          <w:sz w:val="24"/>
        </w:rPr>
        <w:t>研究不同</w:t>
      </w:r>
      <w:r>
        <w:rPr>
          <w:rFonts w:eastAsia="楷体" w:cs="Times New Roman" w:hint="eastAsia"/>
          <w:color w:val="auto"/>
          <w:sz w:val="24"/>
          <w:lang w:val="en-US" w:eastAsia="zh-CN"/>
        </w:rPr>
        <w:t>研究</w:t>
      </w:r>
      <w:r>
        <w:rPr>
          <w:rFonts w:ascii="Times New Roman" w:eastAsia="楷体" w:hAnsi="Times New Roman" w:cs="Times New Roman" w:hint="default"/>
          <w:color w:val="auto"/>
          <w:sz w:val="24"/>
          <w:lang w:val="en-US" w:eastAsia="zh-CN"/>
        </w:rPr>
        <w:t>变量</w:t>
      </w:r>
      <w:r>
        <w:rPr>
          <w:rFonts w:ascii="Times New Roman" w:eastAsia="楷体" w:hAnsi="Times New Roman" w:cs="Times New Roman" w:hint="default"/>
          <w:color w:val="auto"/>
          <w:sz w:val="24"/>
        </w:rPr>
        <w:t>对</w:t>
      </w:r>
      <w:bookmarkStart w:id="79" w:name="OLE_LINK2"/>
      <w:r>
        <w:rPr>
          <w:rFonts w:ascii="Times New Roman" w:eastAsia="楷体" w:hAnsi="Times New Roman" w:cs="Times New Roman" w:hint="eastAsia"/>
          <w:i w:val="0"/>
          <w:iCs w:val="0"/>
          <w:caps w:val="0"/>
          <w:color w:val="auto"/>
          <w:spacing w:val="0"/>
          <w:sz w:val="24"/>
          <w:szCs w:val="24"/>
          <w:shd w:val="clear" w:color="auto" w:fill="FFFFFF"/>
          <w:lang w:val="en-US" w:eastAsia="zh-CN"/>
        </w:rPr>
        <w:t>高/中/低钙</w:t>
      </w:r>
      <w:r>
        <w:rPr>
          <w:rFonts w:eastAsia="楷体" w:cs="Times New Roman" w:hint="eastAsia"/>
          <w:i w:val="0"/>
          <w:iCs w:val="0"/>
          <w:caps w:val="0"/>
          <w:color w:val="auto"/>
          <w:spacing w:val="0"/>
          <w:sz w:val="24"/>
          <w:szCs w:val="24"/>
          <w:shd w:val="clear" w:color="auto" w:fill="FFFFFF"/>
          <w:lang w:val="en-US" w:eastAsia="zh-CN"/>
        </w:rPr>
        <w:t>含量</w:t>
      </w:r>
      <w:bookmarkEnd w:id="79"/>
      <w:r>
        <w:rPr>
          <w:rFonts w:ascii="Times New Roman" w:eastAsia="楷体" w:hAnsi="Times New Roman" w:cs="Times New Roman" w:hint="default"/>
          <w:i w:val="0"/>
          <w:iCs w:val="0"/>
          <w:caps w:val="0"/>
          <w:color w:val="auto"/>
          <w:spacing w:val="0"/>
          <w:sz w:val="24"/>
          <w:szCs w:val="24"/>
          <w:shd w:val="clear" w:color="auto" w:fill="FFFFFF"/>
          <w:lang w:val="en-US" w:eastAsia="zh-CN"/>
        </w:rPr>
        <w:t>碱激发</w:t>
      </w:r>
      <w:r>
        <w:rPr>
          <w:rFonts w:ascii="Times New Roman" w:eastAsia="楷体" w:hAnsi="Times New Roman" w:cs="Times New Roman" w:hint="eastAsia"/>
          <w:i w:val="0"/>
          <w:iCs w:val="0"/>
          <w:caps w:val="0"/>
          <w:color w:val="auto"/>
          <w:spacing w:val="0"/>
          <w:sz w:val="24"/>
          <w:szCs w:val="24"/>
          <w:shd w:val="clear" w:color="auto" w:fill="FFFFFF"/>
          <w:lang w:val="en-US" w:eastAsia="zh-CN"/>
        </w:rPr>
        <w:t>材料</w:t>
      </w:r>
      <w:r>
        <w:rPr>
          <w:rFonts w:eastAsia="楷体" w:cs="Times New Roman" w:hint="eastAsia"/>
          <w:i w:val="0"/>
          <w:iCs w:val="0"/>
          <w:caps w:val="0"/>
          <w:color w:val="auto"/>
          <w:spacing w:val="0"/>
          <w:sz w:val="24"/>
          <w:szCs w:val="24"/>
          <w:shd w:val="clear" w:color="auto" w:fill="FFFFFF"/>
          <w:lang w:val="en-US" w:eastAsia="zh-CN"/>
        </w:rPr>
        <w:t>电解质</w:t>
      </w:r>
      <w:r>
        <w:rPr>
          <w:rFonts w:ascii="Times New Roman" w:eastAsia="楷体" w:hAnsi="Times New Roman" w:cs="Times New Roman" w:hint="default"/>
          <w:color w:val="auto"/>
          <w:sz w:val="24"/>
        </w:rPr>
        <w:t>导电性能的影响，量化研究变量与导电性能之间的关系，剖析影响导电性能的关键参数和因素</w:t>
      </w:r>
      <w:r>
        <w:rPr>
          <w:rFonts w:eastAsia="楷体" w:cs="Times New Roman" w:hint="eastAsia"/>
          <w:color w:val="auto"/>
          <w:sz w:val="24"/>
          <w:lang w:eastAsia="zh-CN"/>
        </w:rPr>
        <w:t>。</w:t>
      </w:r>
    </w:p>
    <w:p>
      <w:pPr>
        <w:keepNext w:val="0"/>
        <w:keepLines w:val="0"/>
        <w:pageBreakBefore w:val="0"/>
        <w:widowControl w:val="0"/>
        <w:numPr>
          <w:ilvl w:val="0"/>
          <w:numId w:val="0"/>
        </w:numPr>
        <w:kinsoku/>
        <w:overflowPunct/>
        <w:topLinePunct w:val="0"/>
        <w:autoSpaceDE/>
        <w:autoSpaceDN/>
        <w:bidi w:val="0"/>
        <w:adjustRightInd/>
        <w:snapToGrid/>
        <w:spacing w:line="440" w:lineRule="exact"/>
        <w:ind w:firstLine="480" w:firstLineChars="200"/>
        <w:textAlignment w:val="auto"/>
        <w:rPr>
          <w:rFonts w:ascii="Times New Roman" w:eastAsia="楷体" w:hAnsi="Times New Roman" w:cs="Times New Roman" w:hint="default"/>
          <w:color w:val="auto"/>
          <w:sz w:val="24"/>
          <w:lang w:val="en-US" w:eastAsia="zh-CN"/>
        </w:rPr>
      </w:pPr>
      <w:r>
        <w:rPr>
          <w:rFonts w:ascii="Times New Roman" w:eastAsia="楷体" w:hAnsi="Times New Roman" w:cs="Times New Roman" w:hint="eastAsia"/>
          <w:color w:val="auto"/>
          <w:sz w:val="24"/>
          <w:lang w:val="en-US" w:eastAsia="zh-CN"/>
        </w:rPr>
        <w:t xml:space="preserve">b. </w:t>
      </w:r>
      <w:r>
        <w:rPr>
          <w:rFonts w:eastAsia="楷体" w:cs="Times New Roman" w:hint="eastAsia"/>
          <w:color w:val="auto"/>
          <w:sz w:val="24"/>
          <w:lang w:val="en-US" w:eastAsia="zh-CN"/>
        </w:rPr>
        <w:t>基于压汞法（MIP）测试和X射线计算机断层成像（X-CT）测试碱激发材料的微观/细观孔隙结构特征，建立多尺度孔隙结构特征与导电性能的关联关系，评价关键孔隙结构和细观尺度孔隙连通性等对碱激发材料电解质导电性能的影响。</w:t>
      </w:r>
    </w:p>
    <w:p>
      <w:pPr>
        <w:keepNext w:val="0"/>
        <w:keepLines w:val="0"/>
        <w:pageBreakBefore w:val="0"/>
        <w:widowControl w:val="0"/>
        <w:numPr>
          <w:ilvl w:val="0"/>
          <w:numId w:val="0"/>
        </w:numPr>
        <w:kinsoku/>
        <w:overflowPunct/>
        <w:topLinePunct w:val="0"/>
        <w:autoSpaceDE/>
        <w:autoSpaceDN/>
        <w:bidi w:val="0"/>
        <w:adjustRightInd/>
        <w:snapToGrid/>
        <w:spacing w:line="440" w:lineRule="exact"/>
        <w:ind w:firstLine="480" w:firstLineChars="200"/>
        <w:textAlignment w:val="auto"/>
        <w:rPr>
          <w:rFonts w:ascii="Times New Roman" w:eastAsia="楷体" w:hAnsi="Times New Roman" w:cs="Times New Roman" w:hint="default"/>
          <w:color w:val="auto"/>
          <w:sz w:val="24"/>
          <w:lang w:val="en-US" w:eastAsia="zh-CN"/>
        </w:rPr>
      </w:pPr>
      <w:r>
        <w:rPr>
          <w:rFonts w:ascii="Times New Roman" w:eastAsia="楷体" w:hAnsi="Times New Roman" w:cs="Times New Roman" w:hint="eastAsia"/>
          <w:color w:val="auto"/>
          <w:sz w:val="24"/>
          <w:lang w:val="en-US" w:eastAsia="zh-CN"/>
        </w:rPr>
        <w:t xml:space="preserve">c. </w:t>
      </w:r>
      <w:bookmarkEnd w:id="78"/>
      <w:r>
        <w:rPr>
          <w:rFonts w:eastAsia="楷体" w:cs="Times New Roman" w:hint="eastAsia"/>
          <w:color w:val="auto"/>
          <w:sz w:val="24"/>
          <w:lang w:val="en-US" w:eastAsia="zh-CN"/>
        </w:rPr>
        <w:t>开展水量分配和离子浓度对</w:t>
      </w:r>
      <w:r>
        <w:rPr>
          <w:rFonts w:ascii="Times New Roman" w:eastAsia="楷体" w:hAnsi="Times New Roman" w:cs="Times New Roman" w:hint="eastAsia"/>
          <w:i w:val="0"/>
          <w:iCs w:val="0"/>
          <w:caps w:val="0"/>
          <w:color w:val="auto"/>
          <w:spacing w:val="0"/>
          <w:sz w:val="24"/>
          <w:szCs w:val="24"/>
          <w:shd w:val="clear" w:color="auto" w:fill="FFFFFF"/>
          <w:lang w:val="en-US" w:eastAsia="zh-CN"/>
        </w:rPr>
        <w:t>高/中/低钙</w:t>
      </w:r>
      <w:r>
        <w:rPr>
          <w:rFonts w:eastAsia="楷体" w:cs="Times New Roman" w:hint="eastAsia"/>
          <w:i w:val="0"/>
          <w:iCs w:val="0"/>
          <w:caps w:val="0"/>
          <w:color w:val="auto"/>
          <w:spacing w:val="0"/>
          <w:sz w:val="24"/>
          <w:szCs w:val="24"/>
          <w:shd w:val="clear" w:color="auto" w:fill="FFFFFF"/>
          <w:lang w:val="en-US" w:eastAsia="zh-CN"/>
        </w:rPr>
        <w:t>含量</w:t>
      </w:r>
      <w:bookmarkStart w:id="80" w:name="OLE_LINK3"/>
      <w:bookmarkStart w:id="81" w:name="OLE_LINK4"/>
      <w:r>
        <w:rPr>
          <w:rFonts w:eastAsia="楷体" w:cs="Times New Roman" w:hint="eastAsia"/>
          <w:color w:val="auto"/>
          <w:sz w:val="24"/>
          <w:lang w:val="en-US" w:eastAsia="zh-CN"/>
        </w:rPr>
        <w:t>碱激发材料电解质</w:t>
      </w:r>
      <w:bookmarkEnd w:id="80"/>
      <w:bookmarkStart w:id="82" w:name="OLE_LINK1"/>
      <w:r>
        <w:rPr>
          <w:rFonts w:eastAsia="楷体" w:cs="Times New Roman" w:hint="eastAsia"/>
          <w:color w:val="auto"/>
          <w:sz w:val="24"/>
          <w:lang w:val="en-US" w:eastAsia="zh-CN"/>
        </w:rPr>
        <w:t>导电性能的影响</w:t>
      </w:r>
      <w:bookmarkEnd w:id="81"/>
      <w:bookmarkEnd w:id="82"/>
      <w:r>
        <w:rPr>
          <w:rFonts w:eastAsia="楷体" w:cs="Times New Roman" w:hint="eastAsia"/>
          <w:color w:val="auto"/>
          <w:sz w:val="24"/>
          <w:lang w:val="en-US" w:eastAsia="zh-CN"/>
        </w:rPr>
        <w:t>，评价水量分配、离子类型和离子浸出速率等对导电性能的影响。</w:t>
      </w:r>
      <w:bookmarkStart w:id="83" w:name="OLE_LINK16"/>
      <w:bookmarkStart w:id="84" w:name="OLE_LINK17"/>
      <w:bookmarkStart w:id="85" w:name="OLE_LINK25"/>
      <w:r>
        <w:rPr>
          <w:rFonts w:eastAsia="楷体" w:cs="Times New Roman" w:hint="eastAsia"/>
          <w:color w:val="auto"/>
          <w:sz w:val="24"/>
          <w:lang w:val="en-US" w:eastAsia="zh-CN"/>
        </w:rPr>
        <w:t>提出“孔隙-水-离子传输”多因素调控理论</w:t>
      </w:r>
      <w:bookmarkEnd w:id="83"/>
      <w:r>
        <w:rPr>
          <w:rFonts w:eastAsia="楷体" w:cs="Times New Roman" w:hint="eastAsia"/>
          <w:color w:val="auto"/>
          <w:sz w:val="24"/>
          <w:lang w:val="en-US" w:eastAsia="zh-CN"/>
        </w:rPr>
        <w:t>，深入揭示碱激发材料电解质在多因素耦合作用下的导电机制</w:t>
      </w:r>
      <w:bookmarkEnd w:id="84"/>
      <w:r>
        <w:rPr>
          <w:rFonts w:eastAsia="楷体" w:cs="Times New Roman" w:hint="eastAsia"/>
          <w:color w:val="auto"/>
          <w:sz w:val="24"/>
          <w:lang w:val="en-US" w:eastAsia="zh-CN"/>
        </w:rPr>
        <w:t>。</w:t>
      </w:r>
      <w:bookmarkEnd w:id="85"/>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ascii="Times New Roman" w:eastAsia="楷体" w:hAnsi="Times New Roman" w:cs="Times New Roman" w:hint="default"/>
          <w:b/>
          <w:bCs/>
          <w:color w:val="auto"/>
          <w:sz w:val="24"/>
          <w:szCs w:val="24"/>
          <w:lang w:val="en-US" w:eastAsia="zh-CN"/>
        </w:rPr>
      </w:pPr>
      <w:r>
        <w:rPr>
          <w:rFonts w:ascii="Times New Roman" w:eastAsia="楷体" w:hAnsi="Times New Roman" w:cs="Times New Roman" w:hint="default"/>
          <w:b/>
          <w:bCs/>
          <w:color w:val="auto"/>
          <w:sz w:val="24"/>
          <w:szCs w:val="24"/>
          <w:lang w:val="en-US" w:eastAsia="zh-CN"/>
        </w:rPr>
        <w:t>（2）</w:t>
      </w:r>
      <w:bookmarkStart w:id="86" w:name="OLE_LINK42"/>
      <w:r>
        <w:rPr>
          <w:rFonts w:ascii="Times New Roman" w:eastAsia="楷体" w:hAnsi="Times New Roman" w:cs="Times New Roman" w:hint="default"/>
          <w:b/>
          <w:bCs/>
          <w:color w:val="auto"/>
          <w:sz w:val="24"/>
          <w:szCs w:val="24"/>
          <w:lang w:val="en-US" w:eastAsia="zh-CN"/>
        </w:rPr>
        <w:t>碱激发材料超级电容器的</w:t>
      </w:r>
      <w:r>
        <w:rPr>
          <w:rFonts w:eastAsia="楷体" w:cs="Times New Roman" w:hint="eastAsia"/>
          <w:b/>
          <w:bCs/>
          <w:color w:val="auto"/>
          <w:sz w:val="24"/>
          <w:szCs w:val="24"/>
          <w:lang w:val="en-US" w:eastAsia="zh-CN"/>
        </w:rPr>
        <w:t>性能评价</w:t>
      </w:r>
      <w:r>
        <w:rPr>
          <w:rFonts w:ascii="Times New Roman" w:eastAsia="楷体" w:hAnsi="Times New Roman" w:cs="Times New Roman" w:hint="default"/>
          <w:b/>
          <w:bCs/>
          <w:color w:val="auto"/>
          <w:sz w:val="24"/>
          <w:szCs w:val="24"/>
          <w:lang w:val="en-US" w:eastAsia="zh-CN"/>
        </w:rPr>
        <w:t>与储能</w:t>
      </w:r>
      <w:r>
        <w:rPr>
          <w:rFonts w:eastAsia="楷体" w:cs="Times New Roman" w:hint="eastAsia"/>
          <w:b/>
          <w:bCs/>
          <w:color w:val="auto"/>
          <w:sz w:val="24"/>
          <w:szCs w:val="24"/>
          <w:lang w:val="en-US" w:eastAsia="zh-CN"/>
        </w:rPr>
        <w:t>机理</w:t>
      </w:r>
      <w:bookmarkEnd w:id="86"/>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eastAsia="楷体" w:cs="Times New Roman" w:hint="eastAsia"/>
          <w:i w:val="0"/>
          <w:iCs w:val="0"/>
          <w:caps w:val="0"/>
          <w:color w:val="auto"/>
          <w:spacing w:val="0"/>
          <w:sz w:val="24"/>
          <w:szCs w:val="24"/>
          <w:shd w:val="clear" w:color="auto" w:fill="FFFFFF"/>
          <w:lang w:val="en-US" w:eastAsia="zh-CN"/>
        </w:rPr>
      </w:pPr>
      <w:r>
        <w:rPr>
          <w:rFonts w:ascii="Times New Roman" w:eastAsia="楷体" w:hAnsi="Times New Roman" w:cs="Times New Roman" w:hint="default"/>
          <w:i w:val="0"/>
          <w:iCs w:val="0"/>
          <w:caps w:val="0"/>
          <w:color w:val="auto"/>
          <w:spacing w:val="0"/>
          <w:sz w:val="24"/>
          <w:szCs w:val="24"/>
          <w:shd w:val="clear" w:color="auto" w:fill="FFFFFF"/>
          <w:lang w:val="en-US" w:eastAsia="zh-CN"/>
        </w:rPr>
        <w:t>研究</w:t>
      </w:r>
      <w:r>
        <w:rPr>
          <w:rFonts w:eastAsia="楷体" w:cs="Times New Roman" w:hint="eastAsia"/>
          <w:i w:val="0"/>
          <w:iCs w:val="0"/>
          <w:caps w:val="0"/>
          <w:color w:val="auto"/>
          <w:spacing w:val="0"/>
          <w:sz w:val="24"/>
          <w:szCs w:val="24"/>
          <w:shd w:val="clear" w:color="auto" w:fill="FFFFFF"/>
          <w:lang w:val="en-US" w:eastAsia="zh-CN"/>
        </w:rPr>
        <w:t>体系</w:t>
      </w:r>
      <w:r>
        <w:rPr>
          <w:rFonts w:ascii="Times New Roman" w:eastAsia="楷体" w:hAnsi="Times New Roman" w:cs="Times New Roman" w:hint="default"/>
          <w:i w:val="0"/>
          <w:iCs w:val="0"/>
          <w:caps w:val="0"/>
          <w:color w:val="auto"/>
          <w:spacing w:val="0"/>
          <w:sz w:val="24"/>
          <w:szCs w:val="24"/>
          <w:shd w:val="clear" w:color="auto" w:fill="FFFFFF"/>
          <w:lang w:val="en-US" w:eastAsia="zh-CN"/>
        </w:rPr>
        <w:t>与</w:t>
      </w:r>
      <w:r>
        <w:rPr>
          <w:rFonts w:ascii="Times New Roman" w:eastAsia="楷体" w:hAnsi="Times New Roman" w:cs="Times New Roman" w:hint="default"/>
          <w:b/>
          <w:bCs/>
          <w:i w:val="0"/>
          <w:iCs w:val="0"/>
          <w:caps w:val="0"/>
          <w:color w:val="auto"/>
          <w:spacing w:val="0"/>
          <w:sz w:val="24"/>
          <w:szCs w:val="24"/>
          <w:shd w:val="clear" w:color="auto" w:fill="FFFFFF"/>
          <w:lang w:val="en-US" w:eastAsia="zh-CN"/>
        </w:rPr>
        <w:t>研究内容（1）</w:t>
      </w:r>
      <w:r>
        <w:rPr>
          <w:rFonts w:eastAsia="楷体" w:cs="Times New Roman" w:hint="eastAsia"/>
          <w:i w:val="0"/>
          <w:iCs w:val="0"/>
          <w:caps w:val="0"/>
          <w:color w:val="auto"/>
          <w:spacing w:val="0"/>
          <w:sz w:val="24"/>
          <w:szCs w:val="24"/>
          <w:shd w:val="clear" w:color="auto" w:fill="FFFFFF"/>
          <w:lang w:val="en-US" w:eastAsia="zh-CN"/>
        </w:rPr>
        <w:t>完全</w:t>
      </w:r>
      <w:r>
        <w:rPr>
          <w:rFonts w:ascii="Times New Roman" w:eastAsia="楷体" w:hAnsi="Times New Roman" w:cs="Times New Roman" w:hint="default"/>
          <w:i w:val="0"/>
          <w:iCs w:val="0"/>
          <w:caps w:val="0"/>
          <w:color w:val="auto"/>
          <w:spacing w:val="0"/>
          <w:sz w:val="24"/>
          <w:szCs w:val="24"/>
          <w:shd w:val="clear" w:color="auto" w:fill="FFFFFF"/>
          <w:lang w:val="en-US" w:eastAsia="zh-CN"/>
        </w:rPr>
        <w:t>相同，</w:t>
      </w:r>
      <w:r>
        <w:rPr>
          <w:rFonts w:eastAsia="楷体" w:cs="Times New Roman" w:hint="eastAsia"/>
          <w:i w:val="0"/>
          <w:iCs w:val="0"/>
          <w:caps w:val="0"/>
          <w:color w:val="auto"/>
          <w:spacing w:val="0"/>
          <w:sz w:val="24"/>
          <w:szCs w:val="24"/>
          <w:shd w:val="clear" w:color="auto" w:fill="FFFFFF"/>
          <w:lang w:val="en-US" w:eastAsia="zh-CN"/>
        </w:rPr>
        <w:t>基于</w:t>
      </w:r>
      <w:r>
        <w:rPr>
          <w:rFonts w:ascii="Times New Roman" w:eastAsia="楷体" w:hAnsi="Times New Roman" w:cs="Times New Roman" w:hint="default"/>
          <w:i w:val="0"/>
          <w:iCs w:val="0"/>
          <w:caps w:val="0"/>
          <w:color w:val="auto"/>
          <w:spacing w:val="0"/>
          <w:sz w:val="24"/>
          <w:szCs w:val="24"/>
          <w:shd w:val="clear" w:color="auto" w:fill="FFFFFF"/>
          <w:lang w:val="en-US" w:eastAsia="zh-CN"/>
        </w:rPr>
        <w:t>导电性能测试</w:t>
      </w:r>
      <w:r>
        <w:rPr>
          <w:rFonts w:eastAsia="楷体" w:cs="Times New Roman" w:hint="eastAsia"/>
          <w:i w:val="0"/>
          <w:iCs w:val="0"/>
          <w:caps w:val="0"/>
          <w:color w:val="auto"/>
          <w:spacing w:val="0"/>
          <w:sz w:val="24"/>
          <w:szCs w:val="24"/>
          <w:shd w:val="clear" w:color="auto" w:fill="FFFFFF"/>
          <w:lang w:val="en-US" w:eastAsia="zh-CN"/>
        </w:rPr>
        <w:t>结果</w:t>
      </w:r>
      <w:r>
        <w:rPr>
          <w:rFonts w:ascii="Times New Roman" w:eastAsia="楷体" w:hAnsi="Times New Roman" w:cs="Times New Roman" w:hint="default"/>
          <w:i w:val="0"/>
          <w:iCs w:val="0"/>
          <w:caps w:val="0"/>
          <w:color w:val="auto"/>
          <w:spacing w:val="0"/>
          <w:sz w:val="24"/>
          <w:szCs w:val="24"/>
          <w:shd w:val="clear" w:color="auto" w:fill="FFFFFF"/>
          <w:lang w:val="en-US" w:eastAsia="zh-CN"/>
        </w:rPr>
        <w:t>选择1种阳离子类型碱激发剂。</w:t>
      </w:r>
      <w:r>
        <w:rPr>
          <w:rFonts w:eastAsia="楷体" w:cs="Times New Roman" w:hint="eastAsia"/>
          <w:i w:val="0"/>
          <w:iCs w:val="0"/>
          <w:caps w:val="0"/>
          <w:color w:val="auto"/>
          <w:spacing w:val="0"/>
          <w:sz w:val="24"/>
          <w:szCs w:val="24"/>
          <w:shd w:val="clear" w:color="auto" w:fill="FFFFFF"/>
          <w:lang w:val="en-US" w:eastAsia="zh-CN"/>
        </w:rPr>
        <w:t>使用</w:t>
      </w:r>
      <w:r>
        <w:rPr>
          <w:rFonts w:ascii="Times New Roman" w:eastAsia="楷体" w:hAnsi="Times New Roman" w:cs="Times New Roman" w:hint="eastAsia"/>
          <w:i w:val="0"/>
          <w:iCs w:val="0"/>
          <w:caps w:val="0"/>
          <w:color w:val="auto"/>
          <w:spacing w:val="0"/>
          <w:sz w:val="24"/>
          <w:szCs w:val="24"/>
          <w:shd w:val="clear" w:color="auto" w:fill="FFFFFF"/>
          <w:lang w:val="en-US" w:eastAsia="zh-CN"/>
        </w:rPr>
        <w:t>AC/Ni</w:t>
      </w:r>
      <w:r>
        <w:rPr>
          <w:rFonts w:eastAsia="楷体" w:cs="Times New Roman" w:hint="eastAsia"/>
          <w:i w:val="0"/>
          <w:iCs w:val="0"/>
          <w:caps w:val="0"/>
          <w:color w:val="auto"/>
          <w:spacing w:val="0"/>
          <w:sz w:val="24"/>
          <w:szCs w:val="24"/>
          <w:shd w:val="clear" w:color="auto" w:fill="FFFFFF"/>
          <w:lang w:val="en-US" w:eastAsia="zh-CN"/>
        </w:rPr>
        <w:t>（</w:t>
      </w:r>
      <w:r>
        <w:rPr>
          <w:rFonts w:ascii="Times New Roman" w:eastAsia="楷体" w:hAnsi="Times New Roman" w:cs="Times New Roman" w:hint="eastAsia"/>
          <w:i w:val="0"/>
          <w:iCs w:val="0"/>
          <w:caps w:val="0"/>
          <w:color w:val="auto"/>
          <w:spacing w:val="0"/>
          <w:sz w:val="24"/>
          <w:szCs w:val="24"/>
          <w:shd w:val="clear" w:color="auto" w:fill="FFFFFF"/>
          <w:lang w:val="en-US" w:eastAsia="zh-CN"/>
        </w:rPr>
        <w:t>活性炭负载于泡沫镍</w:t>
      </w:r>
      <w:r>
        <w:rPr>
          <w:rFonts w:eastAsia="楷体" w:cs="Times New Roman" w:hint="eastAsia"/>
          <w:i w:val="0"/>
          <w:iCs w:val="0"/>
          <w:caps w:val="0"/>
          <w:color w:val="auto"/>
          <w:spacing w:val="0"/>
          <w:sz w:val="24"/>
          <w:szCs w:val="24"/>
          <w:shd w:val="clear" w:color="auto" w:fill="FFFFFF"/>
          <w:lang w:val="en-US" w:eastAsia="zh-CN"/>
        </w:rPr>
        <w:t>）</w:t>
      </w:r>
      <w:r>
        <w:rPr>
          <w:rFonts w:ascii="Times New Roman" w:eastAsia="楷体" w:hAnsi="Times New Roman" w:cs="Times New Roman" w:hint="eastAsia"/>
          <w:i w:val="0"/>
          <w:iCs w:val="0"/>
          <w:caps w:val="0"/>
          <w:color w:val="auto"/>
          <w:spacing w:val="0"/>
          <w:sz w:val="24"/>
          <w:szCs w:val="24"/>
          <w:shd w:val="clear" w:color="auto" w:fill="FFFFFF"/>
          <w:lang w:val="en-US" w:eastAsia="zh-CN"/>
        </w:rPr>
        <w:t>电极为电</w:t>
      </w:r>
      <w:r>
        <w:rPr>
          <w:rFonts w:eastAsia="楷体" w:cs="Times New Roman" w:hint="eastAsia"/>
          <w:color w:val="auto"/>
          <w:sz w:val="24"/>
          <w:szCs w:val="24"/>
          <w:lang w:val="en-US" w:eastAsia="zh-CN"/>
        </w:rPr>
        <w:t>极材料，</w:t>
      </w:r>
      <w:r>
        <w:rPr>
          <w:rFonts w:eastAsia="楷体" w:cs="Times New Roman" w:hint="eastAsia"/>
          <w:i w:val="0"/>
          <w:iCs w:val="0"/>
          <w:caps w:val="0"/>
          <w:color w:val="auto"/>
          <w:spacing w:val="0"/>
          <w:sz w:val="24"/>
          <w:szCs w:val="24"/>
          <w:shd w:val="clear" w:color="auto" w:fill="FFFFFF"/>
          <w:lang w:val="en-US" w:eastAsia="zh-CN"/>
        </w:rPr>
        <w:t>制备基于碱激发材料的对称电极双电层超级电容器。开展以下研究：</w:t>
      </w:r>
    </w:p>
    <w:p>
      <w:pPr>
        <w:keepNext w:val="0"/>
        <w:keepLines w:val="0"/>
        <w:pageBreakBefore w:val="0"/>
        <w:widowControl w:val="0"/>
        <w:numPr>
          <w:ilvl w:val="0"/>
          <w:numId w:val="0"/>
        </w:numPr>
        <w:kinsoku/>
        <w:overflowPunct/>
        <w:topLinePunct w:val="0"/>
        <w:autoSpaceDE/>
        <w:autoSpaceDN/>
        <w:bidi w:val="0"/>
        <w:adjustRightInd/>
        <w:snapToGrid/>
        <w:spacing w:line="440" w:lineRule="exact"/>
        <w:ind w:firstLine="480" w:firstLineChars="200"/>
        <w:textAlignment w:val="auto"/>
        <w:rPr>
          <w:rFonts w:eastAsia="楷体" w:cs="Times New Roman" w:hint="default"/>
          <w:color w:val="auto"/>
          <w:sz w:val="24"/>
          <w:szCs w:val="24"/>
          <w:lang w:val="en-US" w:eastAsia="zh-CN"/>
        </w:rPr>
      </w:pPr>
      <w:r>
        <w:rPr>
          <w:rFonts w:eastAsia="楷体" w:cs="Times New Roman" w:hint="eastAsia"/>
          <w:i w:val="0"/>
          <w:iCs w:val="0"/>
          <w:caps w:val="0"/>
          <w:color w:val="auto"/>
          <w:spacing w:val="0"/>
          <w:sz w:val="24"/>
          <w:szCs w:val="24"/>
          <w:shd w:val="clear" w:color="auto" w:fill="FFFFFF"/>
          <w:lang w:val="en-US" w:eastAsia="zh-CN"/>
        </w:rPr>
        <w:t>a. 测试超级电容器的</w:t>
      </w:r>
      <w:r>
        <w:rPr>
          <w:rFonts w:ascii="Times New Roman" w:eastAsia="楷体" w:hAnsi="Times New Roman" w:cs="Times New Roman" w:hint="default"/>
          <w:color w:val="auto"/>
          <w:sz w:val="24"/>
          <w:szCs w:val="24"/>
          <w:lang w:val="en-US" w:eastAsia="zh-CN"/>
        </w:rPr>
        <w:t>电化学阻抗谱、循环伏安</w:t>
      </w:r>
      <w:r>
        <w:rPr>
          <w:rFonts w:eastAsia="楷体" w:cs="Times New Roman" w:hint="eastAsia"/>
          <w:color w:val="auto"/>
          <w:sz w:val="24"/>
          <w:szCs w:val="24"/>
          <w:lang w:val="en-US" w:eastAsia="zh-CN"/>
        </w:rPr>
        <w:t>曲线</w:t>
      </w:r>
      <w:r>
        <w:rPr>
          <w:rFonts w:ascii="Times New Roman" w:eastAsia="楷体" w:hAnsi="Times New Roman" w:cs="Times New Roman" w:hint="default"/>
          <w:color w:val="auto"/>
          <w:sz w:val="24"/>
          <w:szCs w:val="24"/>
          <w:lang w:val="en-US" w:eastAsia="zh-CN"/>
        </w:rPr>
        <w:t>和恒流充放电</w:t>
      </w:r>
      <w:r>
        <w:rPr>
          <w:rFonts w:eastAsia="楷体" w:cs="Times New Roman" w:hint="eastAsia"/>
          <w:color w:val="auto"/>
          <w:sz w:val="24"/>
          <w:szCs w:val="24"/>
          <w:lang w:val="en-US" w:eastAsia="zh-CN"/>
        </w:rPr>
        <w:t>曲线，获得双层电容器的交流阻抗、电容器容量、电压窗口、能量密度、功率密度、</w:t>
      </w:r>
      <w:r>
        <w:rPr>
          <w:rFonts w:eastAsia="楷体" w:cs="Times New Roman" w:hint="eastAsia"/>
          <w:color w:val="auto"/>
          <w:kern w:val="2"/>
          <w:sz w:val="24"/>
          <w:szCs w:val="28"/>
          <w:lang w:val="en-US" w:eastAsia="zh-CN" w:bidi="ar-SA"/>
        </w:rPr>
        <w:t>充放电效率和时间</w:t>
      </w:r>
      <w:r>
        <w:rPr>
          <w:rFonts w:eastAsia="楷体" w:cs="Times New Roman" w:hint="eastAsia"/>
          <w:color w:val="auto"/>
          <w:sz w:val="24"/>
          <w:szCs w:val="24"/>
          <w:lang w:val="en-US" w:eastAsia="zh-CN"/>
        </w:rPr>
        <w:t>等关键指标，评价</w:t>
      </w:r>
      <w:bookmarkStart w:id="87" w:name="OLE_LINK43"/>
      <w:r>
        <w:rPr>
          <w:rFonts w:eastAsia="楷体" w:cs="Times New Roman" w:hint="eastAsia"/>
          <w:color w:val="auto"/>
          <w:sz w:val="24"/>
          <w:szCs w:val="24"/>
          <w:lang w:val="en-US" w:eastAsia="zh-CN"/>
        </w:rPr>
        <w:t>碱激发材料超级电容器的电荷存储能力、能量转换效率和循环稳定性等</w:t>
      </w:r>
      <w:bookmarkEnd w:id="87"/>
      <w:r>
        <w:rPr>
          <w:rFonts w:eastAsia="楷体" w:cs="Times New Roman" w:hint="eastAsia"/>
          <w:color w:val="auto"/>
          <w:sz w:val="24"/>
          <w:szCs w:val="24"/>
          <w:lang w:val="en-US" w:eastAsia="zh-CN"/>
        </w:rPr>
        <w:t>。</w:t>
      </w:r>
    </w:p>
    <w:p>
      <w:pPr>
        <w:keepNext w:val="0"/>
        <w:keepLines w:val="0"/>
        <w:pageBreakBefore w:val="0"/>
        <w:widowControl w:val="0"/>
        <w:numPr>
          <w:ilvl w:val="0"/>
          <w:numId w:val="0"/>
        </w:numPr>
        <w:kinsoku/>
        <w:overflowPunct/>
        <w:topLinePunct w:val="0"/>
        <w:autoSpaceDE/>
        <w:autoSpaceDN/>
        <w:bidi w:val="0"/>
        <w:adjustRightInd/>
        <w:snapToGrid/>
        <w:spacing w:line="440" w:lineRule="exact"/>
        <w:ind w:firstLine="480" w:firstLineChars="200"/>
        <w:textAlignment w:val="auto"/>
        <w:rPr>
          <w:rFonts w:ascii="Times New Roman" w:eastAsia="楷体" w:hAnsi="Times New Roman" w:cs="Times New Roman" w:hint="default"/>
          <w:i w:val="0"/>
          <w:iCs w:val="0"/>
          <w:caps w:val="0"/>
          <w:color w:val="auto"/>
          <w:spacing w:val="0"/>
          <w:sz w:val="24"/>
          <w:szCs w:val="24"/>
          <w:shd w:val="clear" w:color="auto" w:fill="FFFFFF"/>
          <w:lang w:val="en-US" w:eastAsia="zh-CN"/>
        </w:rPr>
      </w:pPr>
      <w:r>
        <w:rPr>
          <w:rFonts w:eastAsia="楷体" w:cs="Times New Roman" w:hint="eastAsia"/>
          <w:i w:val="0"/>
          <w:iCs w:val="0"/>
          <w:caps w:val="0"/>
          <w:color w:val="auto"/>
          <w:spacing w:val="0"/>
          <w:sz w:val="24"/>
          <w:szCs w:val="24"/>
          <w:shd w:val="clear" w:color="auto" w:fill="FFFFFF"/>
          <w:lang w:val="en-US" w:eastAsia="zh-CN"/>
        </w:rPr>
        <w:t>b. 在受荷载状态下，测试碱激发材料超级电容器的</w:t>
      </w:r>
      <w:r>
        <w:rPr>
          <w:rFonts w:ascii="Times New Roman" w:eastAsia="楷体" w:hAnsi="Times New Roman" w:cs="Times New Roman" w:hint="default"/>
          <w:color w:val="auto"/>
          <w:sz w:val="24"/>
          <w:szCs w:val="24"/>
          <w:lang w:val="en-US" w:eastAsia="zh-CN"/>
        </w:rPr>
        <w:t>电化学阻抗谱、循环伏安</w:t>
      </w:r>
      <w:r>
        <w:rPr>
          <w:rFonts w:eastAsia="楷体" w:cs="Times New Roman" w:hint="eastAsia"/>
          <w:color w:val="auto"/>
          <w:sz w:val="24"/>
          <w:szCs w:val="24"/>
          <w:lang w:val="en-US" w:eastAsia="zh-CN"/>
        </w:rPr>
        <w:t>曲线</w:t>
      </w:r>
      <w:r>
        <w:rPr>
          <w:rFonts w:ascii="Times New Roman" w:eastAsia="楷体" w:hAnsi="Times New Roman" w:cs="Times New Roman" w:hint="default"/>
          <w:color w:val="auto"/>
          <w:sz w:val="24"/>
          <w:szCs w:val="24"/>
          <w:lang w:val="en-US" w:eastAsia="zh-CN"/>
        </w:rPr>
        <w:t>和恒流充放电</w:t>
      </w:r>
      <w:r>
        <w:rPr>
          <w:rFonts w:eastAsia="楷体" w:cs="Times New Roman" w:hint="eastAsia"/>
          <w:color w:val="auto"/>
          <w:sz w:val="24"/>
          <w:szCs w:val="24"/>
          <w:lang w:val="en-US" w:eastAsia="zh-CN"/>
        </w:rPr>
        <w:t>曲线，评价受荷状态下</w:t>
      </w:r>
      <w:bookmarkStart w:id="88" w:name="OLE_LINK44"/>
      <w:r>
        <w:rPr>
          <w:rFonts w:eastAsia="楷体" w:cs="Times New Roman" w:hint="eastAsia"/>
          <w:color w:val="auto"/>
          <w:sz w:val="24"/>
          <w:szCs w:val="24"/>
          <w:lang w:val="en-US" w:eastAsia="zh-CN"/>
        </w:rPr>
        <w:t>超级电容器的电化学响应特性</w:t>
      </w:r>
      <w:bookmarkEnd w:id="88"/>
      <w:r>
        <w:rPr>
          <w:rFonts w:eastAsia="楷体" w:cs="Times New Roman" w:hint="eastAsia"/>
          <w:color w:val="auto"/>
          <w:sz w:val="24"/>
          <w:szCs w:val="24"/>
          <w:lang w:val="en-US" w:eastAsia="zh-CN"/>
        </w:rPr>
        <w:t>。</w:t>
      </w:r>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eastAsia="楷体" w:cs="Times New Roman" w:hint="default"/>
          <w:i w:val="0"/>
          <w:iCs w:val="0"/>
          <w:caps w:val="0"/>
          <w:color w:val="auto"/>
          <w:spacing w:val="0"/>
          <w:sz w:val="24"/>
          <w:szCs w:val="24"/>
          <w:shd w:val="clear" w:color="auto" w:fill="FFFFFF"/>
          <w:lang w:val="en-US" w:eastAsia="zh-CN"/>
        </w:rPr>
      </w:pPr>
      <w:r>
        <w:rPr>
          <w:rFonts w:eastAsia="楷体" w:cs="Times New Roman" w:hint="eastAsia"/>
          <w:i w:val="0"/>
          <w:iCs w:val="0"/>
          <w:caps w:val="0"/>
          <w:color w:val="auto"/>
          <w:spacing w:val="0"/>
          <w:sz w:val="24"/>
          <w:szCs w:val="24"/>
          <w:shd w:val="clear" w:color="auto" w:fill="FFFFFF"/>
          <w:lang w:val="en-US" w:eastAsia="zh-CN"/>
        </w:rPr>
        <w:t>c. 研究水化产物相演化对微观/细观孔隙结构特征和电化学性能的影响，建立“水化产物-孔隙结构-电化学性能”的定量模型。结合</w:t>
      </w:r>
      <w:r>
        <w:rPr>
          <w:rFonts w:eastAsia="楷体" w:cs="Times New Roman" w:hint="eastAsia"/>
          <w:b/>
          <w:bCs/>
          <w:i w:val="0"/>
          <w:iCs w:val="0"/>
          <w:caps w:val="0"/>
          <w:color w:val="auto"/>
          <w:spacing w:val="0"/>
          <w:sz w:val="24"/>
          <w:szCs w:val="24"/>
          <w:shd w:val="clear" w:color="auto" w:fill="FFFFFF"/>
          <w:lang w:val="en-US" w:eastAsia="zh-CN"/>
        </w:rPr>
        <w:t>研究内容（1）</w:t>
      </w:r>
      <w:r>
        <w:rPr>
          <w:rFonts w:eastAsia="楷体" w:cs="Times New Roman" w:hint="eastAsia"/>
          <w:i w:val="0"/>
          <w:iCs w:val="0"/>
          <w:caps w:val="0"/>
          <w:color w:val="auto"/>
          <w:spacing w:val="0"/>
          <w:sz w:val="24"/>
          <w:szCs w:val="24"/>
          <w:shd w:val="clear" w:color="auto" w:fill="FFFFFF"/>
          <w:lang w:val="en-US" w:eastAsia="zh-CN"/>
        </w:rPr>
        <w:t>，厘清</w:t>
      </w:r>
      <w:bookmarkStart w:id="89" w:name="OLE_LINK21"/>
      <w:r>
        <w:rPr>
          <w:rFonts w:eastAsia="楷体" w:cs="Times New Roman" w:hint="eastAsia"/>
          <w:i w:val="0"/>
          <w:iCs w:val="0"/>
          <w:caps w:val="0"/>
          <w:color w:val="auto"/>
          <w:spacing w:val="0"/>
          <w:sz w:val="24"/>
          <w:szCs w:val="24"/>
          <w:shd w:val="clear" w:color="auto" w:fill="FFFFFF"/>
          <w:lang w:val="en-US" w:eastAsia="zh-CN"/>
        </w:rPr>
        <w:t>影响碱激发材料超级电容器性能的关键因素</w:t>
      </w:r>
      <w:bookmarkEnd w:id="89"/>
      <w:r>
        <w:rPr>
          <w:rFonts w:eastAsia="楷体" w:cs="Times New Roman" w:hint="eastAsia"/>
          <w:i w:val="0"/>
          <w:iCs w:val="0"/>
          <w:caps w:val="0"/>
          <w:color w:val="auto"/>
          <w:spacing w:val="0"/>
          <w:sz w:val="24"/>
          <w:szCs w:val="24"/>
          <w:shd w:val="clear" w:color="auto" w:fill="FFFFFF"/>
          <w:lang w:val="en-US" w:eastAsia="zh-CN"/>
        </w:rPr>
        <w:t>，探明离子在电极与电解质内的传输路径和动力学过程，</w:t>
      </w:r>
      <w:bookmarkStart w:id="90" w:name="OLE_LINK26"/>
      <w:bookmarkStart w:id="91" w:name="OLE_LINK45"/>
      <w:r>
        <w:rPr>
          <w:rFonts w:eastAsia="楷体" w:cs="Times New Roman" w:hint="eastAsia"/>
          <w:i w:val="0"/>
          <w:iCs w:val="0"/>
          <w:caps w:val="0"/>
          <w:color w:val="auto"/>
          <w:spacing w:val="0"/>
          <w:sz w:val="24"/>
          <w:szCs w:val="24"/>
          <w:shd w:val="clear" w:color="auto" w:fill="FFFFFF"/>
          <w:lang w:val="en-US" w:eastAsia="zh-CN"/>
        </w:rPr>
        <w:t>深入揭示碱激发材料超级电容器的储能</w:t>
      </w:r>
      <w:bookmarkEnd w:id="90"/>
      <w:r>
        <w:rPr>
          <w:rFonts w:eastAsia="楷体" w:cs="Times New Roman" w:hint="eastAsia"/>
          <w:i w:val="0"/>
          <w:iCs w:val="0"/>
          <w:caps w:val="0"/>
          <w:color w:val="auto"/>
          <w:spacing w:val="0"/>
          <w:sz w:val="24"/>
          <w:szCs w:val="24"/>
          <w:shd w:val="clear" w:color="auto" w:fill="FFFFFF"/>
          <w:lang w:val="en-US" w:eastAsia="zh-CN"/>
        </w:rPr>
        <w:t>机理</w:t>
      </w:r>
      <w:bookmarkEnd w:id="91"/>
      <w:r>
        <w:rPr>
          <w:rFonts w:eastAsia="楷体" w:cs="Times New Roman" w:hint="eastAsia"/>
          <w:i w:val="0"/>
          <w:iCs w:val="0"/>
          <w:caps w:val="0"/>
          <w:color w:val="auto"/>
          <w:spacing w:val="0"/>
          <w:sz w:val="24"/>
          <w:szCs w:val="24"/>
          <w:shd w:val="clear" w:color="auto" w:fill="FFFFFF"/>
          <w:lang w:val="en-US" w:eastAsia="zh-CN"/>
        </w:rPr>
        <w:t>。</w:t>
      </w:r>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ascii="Times New Roman" w:eastAsia="楷体" w:hAnsi="Times New Roman" w:cs="Times New Roman" w:hint="default"/>
          <w:i w:val="0"/>
          <w:iCs w:val="0"/>
          <w:caps w:val="0"/>
          <w:color w:val="auto"/>
          <w:spacing w:val="0"/>
          <w:sz w:val="24"/>
          <w:szCs w:val="24"/>
          <w:shd w:val="clear" w:color="auto" w:fill="FFFFFF"/>
          <w:lang w:val="en-US" w:eastAsia="zh-CN"/>
        </w:rPr>
      </w:pPr>
      <w:r>
        <w:rPr>
          <w:rFonts w:ascii="Times New Roman" w:eastAsia="楷体" w:hAnsi="Times New Roman" w:cs="Times New Roman" w:hint="default"/>
          <w:b/>
          <w:bCs/>
          <w:color w:val="auto"/>
          <w:sz w:val="24"/>
          <w:szCs w:val="24"/>
          <w:lang w:val="en-US" w:eastAsia="zh-CN"/>
        </w:rPr>
        <w:t>（3）</w:t>
      </w:r>
      <w:bookmarkStart w:id="92" w:name="OLE_LINK46"/>
      <w:r>
        <w:rPr>
          <w:rFonts w:ascii="Times New Roman" w:eastAsia="楷体" w:hAnsi="Times New Roman" w:cs="Times New Roman" w:hint="default"/>
          <w:b/>
          <w:bCs/>
          <w:color w:val="auto"/>
          <w:sz w:val="24"/>
          <w:szCs w:val="24"/>
          <w:lang w:val="en-US" w:eastAsia="zh-CN"/>
        </w:rPr>
        <w:t>碱激发材料超级电容器</w:t>
      </w:r>
      <w:r>
        <w:rPr>
          <w:rFonts w:eastAsia="楷体" w:cs="Times New Roman" w:hint="eastAsia"/>
          <w:b/>
          <w:bCs/>
          <w:color w:val="auto"/>
          <w:sz w:val="24"/>
          <w:szCs w:val="24"/>
          <w:lang w:val="en-US" w:eastAsia="zh-CN"/>
        </w:rPr>
        <w:t>长期稳定性与性能</w:t>
      </w:r>
      <w:r>
        <w:rPr>
          <w:rFonts w:ascii="Times New Roman" w:eastAsia="楷体" w:hAnsi="Times New Roman" w:cs="Times New Roman" w:hint="default"/>
          <w:b/>
          <w:bCs/>
          <w:color w:val="auto"/>
          <w:sz w:val="24"/>
          <w:szCs w:val="24"/>
          <w:lang w:val="en-US" w:eastAsia="zh-CN"/>
        </w:rPr>
        <w:t>调控</w:t>
      </w:r>
      <w:bookmarkEnd w:id="92"/>
    </w:p>
    <w:p>
      <w:pPr>
        <w:keepNext w:val="0"/>
        <w:keepLines w:val="0"/>
        <w:pageBreakBefore w:val="0"/>
        <w:widowControl w:val="0"/>
        <w:numPr>
          <w:ilvl w:val="0"/>
          <w:numId w:val="0"/>
        </w:numPr>
        <w:kinsoku/>
        <w:overflowPunct/>
        <w:topLinePunct w:val="0"/>
        <w:autoSpaceDE/>
        <w:autoSpaceDN/>
        <w:bidi w:val="0"/>
        <w:adjustRightInd/>
        <w:snapToGrid/>
        <w:spacing w:line="440" w:lineRule="exact"/>
        <w:ind w:firstLine="480" w:firstLineChars="200"/>
        <w:textAlignment w:val="auto"/>
        <w:rPr>
          <w:rFonts w:eastAsia="楷体" w:cs="Times New Roman" w:hint="eastAsia"/>
          <w:i w:val="0"/>
          <w:iCs w:val="0"/>
          <w:caps w:val="0"/>
          <w:color w:val="auto"/>
          <w:spacing w:val="0"/>
          <w:sz w:val="24"/>
          <w:szCs w:val="24"/>
          <w:shd w:val="clear" w:color="auto" w:fill="FFFFFF"/>
          <w:lang w:val="en-US" w:eastAsia="zh-CN"/>
        </w:rPr>
      </w:pPr>
      <w:r>
        <w:rPr>
          <w:rFonts w:eastAsia="楷体" w:cs="Times New Roman" w:hint="eastAsia"/>
          <w:i w:val="0"/>
          <w:iCs w:val="0"/>
          <w:caps w:val="0"/>
          <w:color w:val="auto"/>
          <w:spacing w:val="0"/>
          <w:sz w:val="24"/>
          <w:szCs w:val="24"/>
          <w:shd w:val="clear" w:color="auto" w:fill="FFFFFF"/>
          <w:lang w:val="en-US" w:eastAsia="zh-CN"/>
        </w:rPr>
        <w:t xml:space="preserve">a. </w:t>
      </w:r>
      <w:bookmarkStart w:id="93" w:name="OLE_LINK7"/>
      <w:r>
        <w:rPr>
          <w:rFonts w:eastAsia="楷体" w:cs="Times New Roman" w:hint="eastAsia"/>
          <w:i w:val="0"/>
          <w:iCs w:val="0"/>
          <w:caps w:val="0"/>
          <w:color w:val="auto"/>
          <w:spacing w:val="0"/>
          <w:sz w:val="24"/>
          <w:szCs w:val="24"/>
          <w:shd w:val="clear" w:color="auto" w:fill="FFFFFF"/>
          <w:lang w:val="en-US" w:eastAsia="zh-CN"/>
        </w:rPr>
        <w:t>开展碱激发材料超级电容器长时间充放电循环测试，观察并记录超级电容器可能出现的故障模式，</w:t>
      </w:r>
      <w:bookmarkStart w:id="94" w:name="OLE_LINK47"/>
      <w:r>
        <w:rPr>
          <w:rFonts w:eastAsia="楷体" w:cs="Times New Roman" w:hint="eastAsia"/>
          <w:i w:val="0"/>
          <w:iCs w:val="0"/>
          <w:caps w:val="0"/>
          <w:color w:val="auto"/>
          <w:spacing w:val="0"/>
          <w:sz w:val="24"/>
          <w:szCs w:val="24"/>
          <w:shd w:val="clear" w:color="auto" w:fill="FFFFFF"/>
          <w:lang w:val="en-US" w:eastAsia="zh-CN"/>
        </w:rPr>
        <w:t>评估超级电容器在长时间工作条件下的稳定性和可靠性</w:t>
      </w:r>
      <w:bookmarkEnd w:id="94"/>
      <w:r>
        <w:rPr>
          <w:rFonts w:eastAsia="楷体" w:cs="Times New Roman" w:hint="eastAsia"/>
          <w:i w:val="0"/>
          <w:iCs w:val="0"/>
          <w:caps w:val="0"/>
          <w:color w:val="auto"/>
          <w:spacing w:val="0"/>
          <w:sz w:val="24"/>
          <w:szCs w:val="24"/>
          <w:shd w:val="clear" w:color="auto" w:fill="FFFFFF"/>
          <w:lang w:val="en-US" w:eastAsia="zh-CN"/>
        </w:rPr>
        <w:t>。</w:t>
      </w:r>
      <w:bookmarkEnd w:id="93"/>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eastAsia="楷体" w:cs="Times New Roman" w:hint="default"/>
          <w:i w:val="0"/>
          <w:iCs w:val="0"/>
          <w:caps w:val="0"/>
          <w:color w:val="auto"/>
          <w:spacing w:val="0"/>
          <w:sz w:val="24"/>
          <w:szCs w:val="24"/>
          <w:shd w:val="clear" w:color="auto" w:fill="FFFFFF"/>
          <w:lang w:val="en-US" w:eastAsia="zh-CN"/>
        </w:rPr>
      </w:pPr>
      <w:r>
        <w:rPr>
          <w:rFonts w:eastAsia="楷体" w:cs="Times New Roman" w:hint="eastAsia"/>
          <w:i w:val="0"/>
          <w:iCs w:val="0"/>
          <w:caps w:val="0"/>
          <w:color w:val="auto"/>
          <w:spacing w:val="0"/>
          <w:sz w:val="24"/>
          <w:szCs w:val="24"/>
          <w:shd w:val="clear" w:color="auto" w:fill="FFFFFF"/>
          <w:lang w:val="en-US" w:eastAsia="zh-CN"/>
        </w:rPr>
        <w:t>b. 开展不同循环次数下电极-电解质界面化学分析和电解质的微观/细观结构表征，评价充放电过程中电极-电解质界面退化、电解质水化产物相变和孔隙结构特征演化与电化学性能的关联关系；</w:t>
      </w:r>
      <w:bookmarkStart w:id="95" w:name="OLE_LINK9"/>
      <w:r>
        <w:rPr>
          <w:rFonts w:eastAsia="楷体" w:cs="Times New Roman" w:hint="eastAsia"/>
          <w:i w:val="0"/>
          <w:iCs w:val="0"/>
          <w:caps w:val="0"/>
          <w:color w:val="auto"/>
          <w:spacing w:val="0"/>
          <w:sz w:val="24"/>
          <w:szCs w:val="24"/>
          <w:shd w:val="clear" w:color="auto" w:fill="FFFFFF"/>
          <w:lang w:val="en-US" w:eastAsia="zh-CN"/>
        </w:rPr>
        <w:t>揭示</w:t>
      </w:r>
      <w:bookmarkStart w:id="96" w:name="OLE_LINK22"/>
      <w:r>
        <w:rPr>
          <w:rFonts w:eastAsia="楷体" w:cs="Times New Roman" w:hint="eastAsia"/>
          <w:i w:val="0"/>
          <w:iCs w:val="0"/>
          <w:caps w:val="0"/>
          <w:color w:val="auto"/>
          <w:spacing w:val="0"/>
          <w:sz w:val="24"/>
          <w:szCs w:val="24"/>
          <w:shd w:val="clear" w:color="auto" w:fill="FFFFFF"/>
          <w:lang w:val="en-US" w:eastAsia="zh-CN"/>
        </w:rPr>
        <w:t>长时间充放电失效机理</w:t>
      </w:r>
      <w:bookmarkEnd w:id="95"/>
      <w:bookmarkEnd w:id="96"/>
      <w:r>
        <w:rPr>
          <w:rFonts w:eastAsia="楷体" w:cs="Times New Roman" w:hint="eastAsia"/>
          <w:i w:val="0"/>
          <w:iCs w:val="0"/>
          <w:caps w:val="0"/>
          <w:color w:val="auto"/>
          <w:spacing w:val="0"/>
          <w:sz w:val="24"/>
          <w:szCs w:val="24"/>
          <w:shd w:val="clear" w:color="auto" w:fill="FFFFFF"/>
          <w:lang w:val="en-US" w:eastAsia="zh-CN"/>
        </w:rPr>
        <w:t>。</w:t>
      </w:r>
    </w:p>
    <w:p>
      <w:pPr>
        <w:keepNext w:val="0"/>
        <w:keepLines w:val="0"/>
        <w:pageBreakBefore w:val="0"/>
        <w:widowControl w:val="0"/>
        <w:kinsoku/>
        <w:wordWrap w:val="0"/>
        <w:overflowPunct/>
        <w:topLinePunct w:val="0"/>
        <w:autoSpaceDE/>
        <w:autoSpaceDN/>
        <w:bidi w:val="0"/>
        <w:adjustRightInd/>
        <w:snapToGrid/>
        <w:spacing w:line="440" w:lineRule="exact"/>
        <w:ind w:firstLine="480" w:firstLineChars="200"/>
        <w:textAlignment w:val="auto"/>
        <w:rPr>
          <w:rFonts w:ascii="楷体" w:eastAsia="楷体" w:hAnsi="楷体" w:cs="楷体"/>
          <w:color w:val="auto"/>
        </w:rPr>
      </w:pPr>
      <w:r>
        <w:rPr>
          <w:rFonts w:eastAsia="楷体" w:cs="Times New Roman" w:hint="eastAsia"/>
          <w:i w:val="0"/>
          <w:iCs w:val="0"/>
          <w:caps w:val="0"/>
          <w:color w:val="auto"/>
          <w:spacing w:val="0"/>
          <w:sz w:val="24"/>
          <w:szCs w:val="24"/>
          <w:shd w:val="clear" w:color="auto" w:fill="FFFFFF"/>
          <w:lang w:val="en-US" w:eastAsia="zh-CN"/>
        </w:rPr>
        <w:t>c. 基于界面强化、电解质原料配比优化、孔隙调控和添加导电材料等方法，测试优化后碱激发材料超级电容器的电化学性能和长期稳定性，</w:t>
      </w:r>
      <w:bookmarkStart w:id="97" w:name="OLE_LINK10"/>
      <w:bookmarkStart w:id="98" w:name="OLE_LINK23"/>
      <w:r>
        <w:rPr>
          <w:rFonts w:eastAsia="楷体" w:cs="Times New Roman" w:hint="eastAsia"/>
          <w:i w:val="0"/>
          <w:iCs w:val="0"/>
          <w:caps w:val="0"/>
          <w:color w:val="auto"/>
          <w:spacing w:val="0"/>
          <w:sz w:val="24"/>
          <w:szCs w:val="24"/>
          <w:shd w:val="clear" w:color="auto" w:fill="FFFFFF"/>
          <w:lang w:val="en-US" w:eastAsia="zh-CN"/>
        </w:rPr>
        <w:t>系统给出提升碱激发材料超级电容器性能的优化方案</w:t>
      </w:r>
      <w:bookmarkEnd w:id="97"/>
      <w:r>
        <w:rPr>
          <w:rFonts w:eastAsia="楷体" w:cs="Times New Roman" w:hint="eastAsia"/>
          <w:i w:val="0"/>
          <w:iCs w:val="0"/>
          <w:caps w:val="0"/>
          <w:color w:val="auto"/>
          <w:spacing w:val="0"/>
          <w:sz w:val="24"/>
          <w:szCs w:val="24"/>
          <w:shd w:val="clear" w:color="auto" w:fill="FFFFFF"/>
          <w:lang w:val="en-US" w:eastAsia="zh-CN"/>
        </w:rPr>
        <w:t>。</w:t>
      </w:r>
      <w:bookmarkEnd w:id="98"/>
    </w:p>
    <w:p>
      <w:pPr>
        <w:numPr>
          <w:ilvl w:val="255"/>
          <w:numId w:val="0"/>
        </w:numPr>
        <w:wordWrap w:val="0"/>
        <w:spacing w:line="440" w:lineRule="exact"/>
        <w:ind w:firstLine="560" w:firstLineChars="200"/>
        <w:rPr>
          <w:rFonts w:ascii="楷体" w:eastAsia="楷体" w:hAnsi="楷体" w:cs="楷体"/>
        </w:rPr>
      </w:pPr>
      <w:r>
        <w:rPr>
          <w:rFonts w:ascii="楷体" w:eastAsia="楷体" w:hAnsi="楷体" w:cs="楷体" w:hint="eastAsia"/>
        </w:rPr>
        <w:t>2.研究目标（定量指标和定性指标相结合）</w:t>
      </w:r>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eastAsia="楷体" w:hint="default"/>
          <w:b w:val="0"/>
          <w:bCs w:val="0"/>
          <w:color w:val="auto"/>
          <w:sz w:val="24"/>
          <w:szCs w:val="24"/>
          <w:lang w:val="en-US" w:eastAsia="zh-CN"/>
        </w:rPr>
      </w:pPr>
      <w:r>
        <w:rPr>
          <w:rFonts w:eastAsia="楷体" w:hint="eastAsia"/>
          <w:b w:val="0"/>
          <w:bCs w:val="0"/>
          <w:color w:val="auto"/>
          <w:sz w:val="24"/>
          <w:szCs w:val="24"/>
          <w:lang w:eastAsia="zh-CN"/>
        </w:rPr>
        <w:t>（</w:t>
      </w:r>
      <w:r>
        <w:rPr>
          <w:rFonts w:eastAsia="楷体" w:hint="eastAsia"/>
          <w:b w:val="0"/>
          <w:bCs w:val="0"/>
          <w:color w:val="auto"/>
          <w:sz w:val="24"/>
          <w:szCs w:val="24"/>
          <w:lang w:val="en-US" w:eastAsia="zh-CN"/>
        </w:rPr>
        <w:t>1）</w:t>
      </w:r>
      <w:r>
        <w:rPr>
          <w:rFonts w:eastAsia="楷体" w:hint="eastAsia"/>
          <w:b/>
          <w:bCs/>
          <w:color w:val="auto"/>
          <w:sz w:val="24"/>
          <w:szCs w:val="24"/>
          <w:lang w:val="en-US" w:eastAsia="zh-CN"/>
        </w:rPr>
        <w:t>定量指标</w:t>
      </w:r>
      <w:r>
        <w:rPr>
          <w:rFonts w:eastAsia="楷体" w:hint="eastAsia"/>
          <w:b w:val="0"/>
          <w:bCs w:val="0"/>
          <w:color w:val="auto"/>
          <w:sz w:val="24"/>
          <w:szCs w:val="24"/>
          <w:lang w:val="en-US" w:eastAsia="zh-CN"/>
        </w:rPr>
        <w:t>：通过本项目研究</w:t>
      </w:r>
      <w:bookmarkStart w:id="99" w:name="OLE_LINK49"/>
      <w:r>
        <w:rPr>
          <w:rFonts w:eastAsia="楷体" w:hint="eastAsia"/>
          <w:b w:val="0"/>
          <w:bCs w:val="0"/>
          <w:color w:val="auto"/>
          <w:sz w:val="24"/>
          <w:szCs w:val="24"/>
          <w:lang w:val="en-US" w:eastAsia="zh-CN"/>
        </w:rPr>
        <w:t>拟发表国内外高水平SCI/EI学术论文4-6篇</w:t>
      </w:r>
      <w:bookmarkEnd w:id="99"/>
      <w:r>
        <w:rPr>
          <w:rFonts w:eastAsia="楷体" w:hint="eastAsia"/>
          <w:b w:val="0"/>
          <w:bCs w:val="0"/>
          <w:color w:val="auto"/>
          <w:sz w:val="24"/>
          <w:szCs w:val="24"/>
          <w:lang w:val="en-US" w:eastAsia="zh-CN"/>
        </w:rPr>
        <w:t>，</w:t>
      </w:r>
      <w:bookmarkStart w:id="100" w:name="OLE_LINK50"/>
      <w:r>
        <w:rPr>
          <w:rFonts w:eastAsia="楷体" w:hint="eastAsia"/>
          <w:b w:val="0"/>
          <w:bCs w:val="0"/>
          <w:color w:val="auto"/>
          <w:sz w:val="24"/>
          <w:szCs w:val="24"/>
          <w:lang w:val="en-US" w:eastAsia="zh-CN"/>
        </w:rPr>
        <w:t>培养硕士研究生3-4名</w:t>
      </w:r>
      <w:bookmarkEnd w:id="100"/>
      <w:r>
        <w:rPr>
          <w:rFonts w:eastAsia="楷体" w:hint="eastAsia"/>
          <w:b w:val="0"/>
          <w:bCs w:val="0"/>
          <w:color w:val="auto"/>
          <w:sz w:val="24"/>
          <w:szCs w:val="24"/>
          <w:lang w:val="en-US" w:eastAsia="zh-CN"/>
        </w:rPr>
        <w:t>。</w:t>
      </w:r>
    </w:p>
    <w:p>
      <w:pPr>
        <w:keepNext w:val="0"/>
        <w:keepLines w:val="0"/>
        <w:pageBreakBefore w:val="0"/>
        <w:widowControl w:val="0"/>
        <w:numPr>
          <w:ilvl w:val="255"/>
          <w:numId w:val="0"/>
        </w:numPr>
        <w:kinsoku/>
        <w:wordWrap w:val="0"/>
        <w:overflowPunct/>
        <w:topLinePunct w:val="0"/>
        <w:autoSpaceDE/>
        <w:autoSpaceDN/>
        <w:bidi w:val="0"/>
        <w:adjustRightInd/>
        <w:snapToGrid/>
        <w:spacing w:line="440" w:lineRule="exact"/>
        <w:ind w:firstLine="480" w:firstLineChars="200"/>
        <w:textAlignment w:val="auto"/>
        <w:rPr>
          <w:rFonts w:ascii="楷体" w:eastAsia="楷体" w:hAnsi="楷体" w:cs="楷体"/>
          <w:color w:val="auto"/>
        </w:rPr>
      </w:pPr>
      <w:r>
        <w:rPr>
          <w:rFonts w:eastAsia="楷体" w:hint="eastAsia"/>
          <w:b w:val="0"/>
          <w:bCs w:val="0"/>
          <w:color w:val="auto"/>
          <w:sz w:val="24"/>
          <w:szCs w:val="24"/>
          <w:lang w:val="en-US" w:eastAsia="zh-CN"/>
        </w:rPr>
        <w:t>（2）</w:t>
      </w:r>
      <w:r>
        <w:rPr>
          <w:rFonts w:eastAsia="楷体" w:hint="eastAsia"/>
          <w:b/>
          <w:bCs/>
          <w:color w:val="auto"/>
          <w:sz w:val="24"/>
          <w:szCs w:val="24"/>
          <w:lang w:val="en-US" w:eastAsia="zh-CN"/>
        </w:rPr>
        <w:t>定性指标</w:t>
      </w:r>
      <w:r>
        <w:rPr>
          <w:rFonts w:eastAsia="楷体" w:hint="eastAsia"/>
          <w:b w:val="0"/>
          <w:bCs w:val="0"/>
          <w:color w:val="auto"/>
          <w:sz w:val="24"/>
          <w:szCs w:val="24"/>
          <w:lang w:val="en-US" w:eastAsia="zh-CN"/>
        </w:rPr>
        <w:t>：</w:t>
      </w:r>
      <w:bookmarkStart w:id="101" w:name="OLE_LINK48"/>
      <w:bookmarkStart w:id="102" w:name="OLE_LINK11"/>
      <w:r>
        <w:rPr>
          <w:rFonts w:eastAsia="楷体" w:cs="Times New Roman" w:hint="eastAsia"/>
          <w:color w:val="auto"/>
          <w:sz w:val="24"/>
          <w:lang w:val="en-US" w:eastAsia="zh-CN"/>
        </w:rPr>
        <w:t>提出“孔隙-水-离子传输”多因素调控理论，深入揭示碱激发材料电解质在多因素耦合作用下的导电机制</w:t>
      </w:r>
      <w:r>
        <w:rPr>
          <w:rFonts w:eastAsia="楷体" w:hint="eastAsia"/>
          <w:b w:val="0"/>
          <w:bCs w:val="0"/>
          <w:color w:val="auto"/>
          <w:sz w:val="24"/>
          <w:szCs w:val="24"/>
          <w:lang w:val="en-US" w:eastAsia="zh-CN"/>
        </w:rPr>
        <w:t>。制备碱激发材料超级电容器，开展无/有荷载状态下超级电容器的电化学特性，揭示碱激发材料</w:t>
      </w:r>
      <w:r>
        <w:rPr>
          <w:rFonts w:eastAsia="楷体" w:cs="Times New Roman" w:hint="eastAsia"/>
          <w:i w:val="0"/>
          <w:iCs w:val="0"/>
          <w:caps w:val="0"/>
          <w:color w:val="auto"/>
          <w:spacing w:val="0"/>
          <w:sz w:val="24"/>
          <w:szCs w:val="24"/>
          <w:shd w:val="clear" w:color="auto" w:fill="FFFFFF"/>
          <w:lang w:val="en-US" w:eastAsia="zh-CN"/>
        </w:rPr>
        <w:t>超级电容器的储能</w:t>
      </w:r>
      <w:r>
        <w:rPr>
          <w:rFonts w:eastAsia="楷体" w:hint="eastAsia"/>
          <w:b w:val="0"/>
          <w:bCs w:val="0"/>
          <w:color w:val="auto"/>
          <w:sz w:val="24"/>
          <w:szCs w:val="24"/>
          <w:lang w:val="en-US" w:eastAsia="zh-CN"/>
        </w:rPr>
        <w:t>机理。开展碱激发材料超级</w:t>
      </w:r>
      <w:bookmarkStart w:id="103" w:name="OLE_LINK34"/>
      <w:r>
        <w:rPr>
          <w:rFonts w:eastAsia="楷体" w:hint="eastAsia"/>
          <w:b w:val="0"/>
          <w:bCs w:val="0"/>
          <w:color w:val="auto"/>
          <w:sz w:val="24"/>
          <w:szCs w:val="24"/>
          <w:lang w:val="en-US" w:eastAsia="zh-CN"/>
        </w:rPr>
        <w:t>电容器</w:t>
      </w:r>
      <w:bookmarkEnd w:id="103"/>
      <w:r>
        <w:rPr>
          <w:rFonts w:eastAsia="楷体" w:hint="eastAsia"/>
          <w:b w:val="0"/>
          <w:bCs w:val="0"/>
          <w:color w:val="auto"/>
          <w:sz w:val="24"/>
          <w:szCs w:val="24"/>
          <w:lang w:val="en-US" w:eastAsia="zh-CN"/>
        </w:rPr>
        <w:t>的长期稳定性研究，</w:t>
      </w:r>
      <w:r>
        <w:rPr>
          <w:rFonts w:eastAsia="楷体" w:cs="Times New Roman" w:hint="eastAsia"/>
          <w:i w:val="0"/>
          <w:iCs w:val="0"/>
          <w:caps w:val="0"/>
          <w:color w:val="auto"/>
          <w:spacing w:val="0"/>
          <w:sz w:val="24"/>
          <w:szCs w:val="24"/>
          <w:shd w:val="clear" w:color="auto" w:fill="FFFFFF"/>
          <w:lang w:val="en-US" w:eastAsia="zh-CN"/>
        </w:rPr>
        <w:t>揭示长时间充放电失效机理，系统给出提升碱激发材料超级电容器性能的优化方案</w:t>
      </w:r>
      <w:r>
        <w:rPr>
          <w:rFonts w:eastAsia="楷体" w:hint="eastAsia"/>
          <w:b w:val="0"/>
          <w:bCs w:val="0"/>
          <w:color w:val="auto"/>
          <w:sz w:val="24"/>
          <w:szCs w:val="24"/>
          <w:lang w:val="en-US" w:eastAsia="zh-CN"/>
        </w:rPr>
        <w:t>。</w:t>
      </w:r>
      <w:bookmarkEnd w:id="101"/>
      <w:bookmarkStart w:id="104" w:name="OLE_LINK12"/>
      <w:r>
        <w:rPr>
          <w:rFonts w:eastAsia="楷体" w:hint="default"/>
          <w:b/>
          <w:bCs/>
          <w:color w:val="auto"/>
          <w:sz w:val="24"/>
          <w:szCs w:val="24"/>
          <w:lang w:val="en-US" w:eastAsia="zh-CN"/>
        </w:rPr>
        <w:t>本研究</w:t>
      </w:r>
      <w:r>
        <w:rPr>
          <w:rFonts w:eastAsia="楷体" w:hint="eastAsia"/>
          <w:b/>
          <w:bCs/>
          <w:color w:val="auto"/>
          <w:sz w:val="24"/>
          <w:szCs w:val="24"/>
          <w:lang w:val="en-US" w:eastAsia="zh-CN"/>
        </w:rPr>
        <w:t>致力于构建碱激发材料超级电容器的“结构</w:t>
      </w:r>
      <w:bookmarkStart w:id="105" w:name="OLE_LINK13"/>
      <w:r>
        <w:rPr>
          <w:rFonts w:ascii="宋体" w:eastAsia="宋体" w:hAnsi="宋体" w:cs="宋体" w:hint="eastAsia"/>
          <w:b/>
          <w:bCs/>
          <w:color w:val="auto"/>
          <w:sz w:val="24"/>
          <w:szCs w:val="24"/>
          <w:lang w:val="en-US" w:eastAsia="zh-CN"/>
        </w:rPr>
        <w:t>→</w:t>
      </w:r>
      <w:bookmarkEnd w:id="105"/>
      <w:r>
        <w:rPr>
          <w:rFonts w:eastAsia="楷体" w:hint="eastAsia"/>
          <w:b/>
          <w:bCs/>
          <w:color w:val="auto"/>
          <w:sz w:val="24"/>
          <w:szCs w:val="24"/>
          <w:lang w:val="en-US" w:eastAsia="zh-CN"/>
        </w:rPr>
        <w:t>性能</w:t>
      </w:r>
      <w:r>
        <w:rPr>
          <w:rFonts w:ascii="宋体" w:eastAsia="宋体" w:hAnsi="宋体" w:cs="宋体" w:hint="eastAsia"/>
          <w:b/>
          <w:bCs/>
          <w:color w:val="auto"/>
          <w:sz w:val="24"/>
          <w:szCs w:val="24"/>
          <w:lang w:val="en-US" w:eastAsia="zh-CN"/>
        </w:rPr>
        <w:t>→</w:t>
      </w:r>
      <w:r>
        <w:rPr>
          <w:rFonts w:eastAsia="楷体" w:hint="eastAsia"/>
          <w:b/>
          <w:bCs/>
          <w:color w:val="auto"/>
          <w:sz w:val="24"/>
          <w:szCs w:val="24"/>
          <w:lang w:val="en-US" w:eastAsia="zh-CN"/>
        </w:rPr>
        <w:t>稳定性”关联理论框架，</w:t>
      </w:r>
      <w:r>
        <w:rPr>
          <w:rFonts w:eastAsia="楷体" w:hint="default"/>
          <w:b/>
          <w:bCs/>
          <w:color w:val="auto"/>
          <w:sz w:val="24"/>
          <w:szCs w:val="24"/>
          <w:lang w:val="en-US" w:eastAsia="zh-CN"/>
        </w:rPr>
        <w:t>为碱激发材料超级电容器在储能领域的发展提供坚实的理论</w:t>
      </w:r>
      <w:r>
        <w:rPr>
          <w:rFonts w:eastAsia="楷体" w:hint="eastAsia"/>
          <w:b/>
          <w:bCs/>
          <w:color w:val="auto"/>
          <w:sz w:val="24"/>
          <w:szCs w:val="24"/>
          <w:lang w:val="en-US" w:eastAsia="zh-CN"/>
        </w:rPr>
        <w:t>和科学</w:t>
      </w:r>
      <w:r>
        <w:rPr>
          <w:rFonts w:eastAsia="楷体" w:hint="default"/>
          <w:b/>
          <w:bCs/>
          <w:color w:val="auto"/>
          <w:sz w:val="24"/>
          <w:szCs w:val="24"/>
          <w:lang w:val="en-US" w:eastAsia="zh-CN"/>
        </w:rPr>
        <w:t>依据，</w:t>
      </w:r>
      <w:r>
        <w:rPr>
          <w:rFonts w:eastAsia="楷体" w:hint="eastAsia"/>
          <w:b/>
          <w:bCs/>
          <w:color w:val="auto"/>
          <w:sz w:val="24"/>
          <w:szCs w:val="24"/>
          <w:lang w:val="en-US" w:eastAsia="zh-CN"/>
        </w:rPr>
        <w:t>为开发低成本、环境友好型储能技术开辟新路径，并为推动碱激发材料拓展应用提供新领域</w:t>
      </w:r>
      <w:r>
        <w:rPr>
          <w:rFonts w:eastAsia="楷体" w:hint="default"/>
          <w:b/>
          <w:bCs/>
          <w:color w:val="auto"/>
          <w:sz w:val="24"/>
          <w:szCs w:val="24"/>
          <w:lang w:val="en-US" w:eastAsia="zh-CN"/>
        </w:rPr>
        <w:t>。</w:t>
      </w:r>
      <w:bookmarkEnd w:id="102"/>
      <w:bookmarkEnd w:id="104"/>
    </w:p>
    <w:p>
      <w:pPr>
        <w:numPr>
          <w:ilvl w:val="255"/>
          <w:numId w:val="0"/>
        </w:numPr>
        <w:wordWrap w:val="0"/>
        <w:spacing w:line="440" w:lineRule="exact"/>
        <w:ind w:firstLine="560" w:firstLineChars="200"/>
        <w:rPr>
          <w:rFonts w:ascii="楷体" w:eastAsia="楷体" w:hAnsi="楷体" w:cs="楷体"/>
        </w:rPr>
      </w:pPr>
      <w:r>
        <w:rPr>
          <w:rFonts w:ascii="楷体" w:eastAsia="楷体" w:hAnsi="楷体" w:cs="楷体" w:hint="eastAsia"/>
        </w:rPr>
        <w:t>3.拟解决的科学问题</w:t>
      </w:r>
    </w:p>
    <w:p>
      <w:pPr>
        <w:keepNext w:val="0"/>
        <w:keepLines w:val="0"/>
        <w:pageBreakBefore w:val="0"/>
        <w:widowControl w:val="0"/>
        <w:kinsoku/>
        <w:overflowPunct/>
        <w:topLinePunct w:val="0"/>
        <w:autoSpaceDE/>
        <w:autoSpaceDN/>
        <w:bidi w:val="0"/>
        <w:adjustRightInd/>
        <w:snapToGrid/>
        <w:spacing w:line="440" w:lineRule="exact"/>
        <w:ind w:left="0" w:firstLine="480" w:firstLineChars="200"/>
        <w:textAlignment w:val="auto"/>
        <w:rPr>
          <w:rFonts w:eastAsia="楷体" w:hint="default"/>
          <w:b w:val="0"/>
          <w:bCs w:val="0"/>
          <w:color w:val="auto"/>
          <w:sz w:val="24"/>
          <w:szCs w:val="24"/>
          <w:lang w:val="en-US" w:eastAsia="zh-CN"/>
        </w:rPr>
      </w:pPr>
      <w:r>
        <w:rPr>
          <w:rFonts w:eastAsia="楷体" w:hint="eastAsia"/>
          <w:color w:val="auto"/>
          <w:sz w:val="24"/>
          <w:szCs w:val="24"/>
          <w:lang w:val="en-US" w:eastAsia="zh-CN"/>
        </w:rPr>
        <w:t>本研究拟解决两个科学问题，既相互独立又相互关联，共同构成了碱激发材料电解质在超级电容器领域应用的全面研究。</w:t>
      </w:r>
    </w:p>
    <w:p>
      <w:pPr>
        <w:keepNext w:val="0"/>
        <w:keepLines w:val="0"/>
        <w:pageBreakBefore w:val="0"/>
        <w:widowControl w:val="0"/>
        <w:numPr>
          <w:ilvl w:val="0"/>
          <w:numId w:val="0"/>
        </w:numPr>
        <w:kinsoku/>
        <w:overflowPunct/>
        <w:topLinePunct w:val="0"/>
        <w:autoSpaceDE/>
        <w:autoSpaceDN/>
        <w:bidi w:val="0"/>
        <w:adjustRightInd/>
        <w:snapToGrid/>
        <w:spacing w:line="440" w:lineRule="exact"/>
        <w:ind w:left="0" w:firstLine="480" w:leftChars="0" w:firstLineChars="200"/>
        <w:textAlignment w:val="auto"/>
        <w:rPr>
          <w:rFonts w:eastAsia="楷体" w:hint="eastAsia"/>
          <w:b/>
          <w:bCs/>
          <w:color w:val="auto"/>
          <w:sz w:val="24"/>
          <w:szCs w:val="24"/>
          <w:lang w:val="en-US" w:eastAsia="zh-CN"/>
        </w:rPr>
      </w:pPr>
      <w:r>
        <w:rPr>
          <w:rFonts w:eastAsia="楷体" w:hint="eastAsia"/>
          <w:b/>
          <w:bCs/>
          <w:color w:val="auto"/>
          <w:sz w:val="24"/>
          <w:szCs w:val="24"/>
          <w:lang w:val="en-US" w:eastAsia="zh-CN"/>
        </w:rPr>
        <w:t>（1）</w:t>
      </w:r>
      <w:bookmarkStart w:id="106" w:name="OLE_LINK14"/>
      <w:r>
        <w:rPr>
          <w:rFonts w:eastAsia="楷体" w:hint="eastAsia"/>
          <w:b/>
          <w:bCs/>
          <w:color w:val="auto"/>
          <w:sz w:val="24"/>
          <w:szCs w:val="24"/>
          <w:lang w:val="en-US" w:eastAsia="zh-CN"/>
        </w:rPr>
        <w:t>碱激发材料电解质“孔隙-水-离子传输”与导电性能的关联机制</w:t>
      </w:r>
      <w:bookmarkEnd w:id="106"/>
    </w:p>
    <w:p>
      <w:pPr>
        <w:keepNext w:val="0"/>
        <w:keepLines w:val="0"/>
        <w:pageBreakBefore w:val="0"/>
        <w:widowControl w:val="0"/>
        <w:numPr>
          <w:ilvl w:val="0"/>
          <w:numId w:val="0"/>
        </w:numPr>
        <w:kinsoku/>
        <w:overflowPunct/>
        <w:topLinePunct w:val="0"/>
        <w:autoSpaceDE/>
        <w:autoSpaceDN/>
        <w:bidi w:val="0"/>
        <w:adjustRightInd/>
        <w:snapToGrid/>
        <w:spacing w:line="440" w:lineRule="exact"/>
        <w:ind w:left="0" w:firstLine="480" w:firstLineChars="200"/>
        <w:textAlignment w:val="auto"/>
        <w:rPr>
          <w:rFonts w:eastAsia="楷体" w:hint="default"/>
          <w:color w:val="auto"/>
          <w:sz w:val="24"/>
          <w:szCs w:val="24"/>
          <w:lang w:val="en-US" w:eastAsia="zh-CN"/>
        </w:rPr>
      </w:pPr>
      <w:r>
        <w:rPr>
          <w:rFonts w:eastAsia="楷体" w:hint="eastAsia"/>
          <w:color w:val="auto"/>
          <w:sz w:val="24"/>
          <w:szCs w:val="24"/>
          <w:lang w:val="en-US" w:eastAsia="zh-CN"/>
        </w:rPr>
        <w:t>孔隙结构是水-离子传输的通道，水是离子传输的载体。在碱激发材料水化过程中，水和离子的消耗以及凝胶相生成会导致孔隙结构发生显著变化，这种变化不仅影响水-离子在孔隙中的传输行为，还通过水量分配、孔隙溶液离子浓度和孔隙连通性等对导电性能产生复杂影响。所以，如何深入揭示</w:t>
      </w:r>
      <w:bookmarkStart w:id="107" w:name="OLE_LINK55"/>
      <w:r>
        <w:rPr>
          <w:rFonts w:eastAsia="楷体" w:hint="eastAsia"/>
          <w:color w:val="auto"/>
          <w:sz w:val="24"/>
          <w:szCs w:val="24"/>
          <w:lang w:val="en-US" w:eastAsia="zh-CN"/>
        </w:rPr>
        <w:t>碱激发材料电解质</w:t>
      </w:r>
      <w:bookmarkEnd w:id="107"/>
      <w:r>
        <w:rPr>
          <w:rFonts w:eastAsia="楷体" w:hint="eastAsia"/>
          <w:color w:val="auto"/>
          <w:sz w:val="24"/>
          <w:szCs w:val="24"/>
          <w:lang w:val="en-US" w:eastAsia="zh-CN"/>
        </w:rPr>
        <w:t>“孔隙-水-离子传输”与导电性能的关联机制，剖析影响导电性能的关键参数和因素，</w:t>
      </w:r>
      <w:r>
        <w:rPr>
          <w:rFonts w:eastAsia="楷体" w:hint="eastAsia"/>
          <w:b/>
          <w:bCs/>
          <w:color w:val="auto"/>
          <w:sz w:val="24"/>
          <w:szCs w:val="24"/>
          <w:lang w:val="en-US" w:eastAsia="zh-CN"/>
        </w:rPr>
        <w:t>是本研究拟解决的第一个科学问题</w:t>
      </w:r>
      <w:r>
        <w:rPr>
          <w:rFonts w:eastAsia="楷体" w:hint="eastAsia"/>
          <w:color w:val="auto"/>
          <w:sz w:val="24"/>
          <w:szCs w:val="24"/>
          <w:lang w:val="en-US" w:eastAsia="zh-CN"/>
        </w:rPr>
        <w:t>。</w:t>
      </w:r>
    </w:p>
    <w:p>
      <w:pPr>
        <w:keepNext w:val="0"/>
        <w:keepLines w:val="0"/>
        <w:pageBreakBefore w:val="0"/>
        <w:widowControl w:val="0"/>
        <w:kinsoku/>
        <w:overflowPunct/>
        <w:topLinePunct w:val="0"/>
        <w:autoSpaceDE/>
        <w:autoSpaceDN/>
        <w:bidi w:val="0"/>
        <w:adjustRightInd/>
        <w:snapToGrid/>
        <w:spacing w:line="440" w:lineRule="exact"/>
        <w:ind w:left="0" w:firstLine="480" w:firstLineChars="200"/>
        <w:textAlignment w:val="auto"/>
        <w:rPr>
          <w:rFonts w:eastAsia="楷体" w:hint="default"/>
          <w:b/>
          <w:bCs/>
          <w:color w:val="auto"/>
          <w:sz w:val="24"/>
          <w:szCs w:val="24"/>
          <w:lang w:val="en-US" w:eastAsia="zh-CN"/>
        </w:rPr>
      </w:pPr>
      <w:r>
        <w:rPr>
          <w:rFonts w:eastAsia="楷体" w:hint="eastAsia"/>
          <w:b/>
          <w:bCs/>
          <w:color w:val="auto"/>
          <w:sz w:val="24"/>
          <w:szCs w:val="24"/>
          <w:lang w:val="en-US" w:eastAsia="zh-CN"/>
        </w:rPr>
        <w:t>（2）</w:t>
      </w:r>
      <w:bookmarkStart w:id="108" w:name="OLE_LINK15"/>
      <w:bookmarkStart w:id="109" w:name="OLE_LINK18"/>
      <w:r>
        <w:rPr>
          <w:rFonts w:eastAsia="楷体" w:hint="eastAsia"/>
          <w:b/>
          <w:bCs/>
          <w:color w:val="auto"/>
          <w:sz w:val="24"/>
          <w:szCs w:val="24"/>
          <w:lang w:val="en-US" w:eastAsia="zh-CN"/>
        </w:rPr>
        <w:t>碱激发材料超级电容器的储能机理与长期稳定性提升策略</w:t>
      </w:r>
      <w:bookmarkEnd w:id="108"/>
    </w:p>
    <w:p>
      <w:pPr>
        <w:keepNext w:val="0"/>
        <w:keepLines w:val="0"/>
        <w:pageBreakBefore w:val="0"/>
        <w:widowControl w:val="0"/>
        <w:numPr>
          <w:ilvl w:val="255"/>
          <w:numId w:val="0"/>
        </w:numPr>
        <w:kinsoku/>
        <w:wordWrap w:val="0"/>
        <w:overflowPunct/>
        <w:topLinePunct w:val="0"/>
        <w:autoSpaceDE/>
        <w:autoSpaceDN/>
        <w:bidi w:val="0"/>
        <w:adjustRightInd/>
        <w:snapToGrid/>
        <w:spacing w:line="440" w:lineRule="exact"/>
        <w:ind w:left="0" w:firstLine="480" w:firstLineChars="200"/>
        <w:textAlignment w:val="auto"/>
        <w:rPr>
          <w:rFonts w:ascii="楷体" w:eastAsia="楷体" w:hAnsi="楷体" w:cs="楷体"/>
          <w:color w:val="auto"/>
        </w:rPr>
      </w:pPr>
      <w:r>
        <w:rPr>
          <w:rFonts w:eastAsia="楷体" w:hint="eastAsia"/>
          <w:color w:val="auto"/>
          <w:sz w:val="24"/>
          <w:szCs w:val="24"/>
          <w:lang w:val="en-US" w:eastAsia="zh-CN"/>
        </w:rPr>
        <w:t>碱激发材料超级电容器的储能性能受电解质微观结构和电极-电解质界面行为的动态耦合调控，影响碱激发材料微观结构的因素均影响超级电容器的电化学性能。所以，厘清</w:t>
      </w:r>
      <w:r>
        <w:rPr>
          <w:rFonts w:eastAsia="楷体" w:cs="Times New Roman" w:hint="eastAsia"/>
          <w:i w:val="0"/>
          <w:iCs w:val="0"/>
          <w:caps w:val="0"/>
          <w:color w:val="auto"/>
          <w:spacing w:val="0"/>
          <w:sz w:val="24"/>
          <w:szCs w:val="24"/>
          <w:shd w:val="clear" w:color="auto" w:fill="FFFFFF"/>
          <w:lang w:val="en-US" w:eastAsia="zh-CN"/>
        </w:rPr>
        <w:t>影响碱激发材料超级电容器性能的关键因素，</w:t>
      </w:r>
      <w:r>
        <w:rPr>
          <w:rFonts w:eastAsia="楷体" w:hint="eastAsia"/>
          <w:color w:val="auto"/>
          <w:sz w:val="24"/>
          <w:szCs w:val="24"/>
          <w:lang w:val="en-US" w:eastAsia="zh-CN"/>
        </w:rPr>
        <w:t>深入揭示碱激发材料超级电容器的储能机理和</w:t>
      </w:r>
      <w:bookmarkStart w:id="110" w:name="OLE_LINK27"/>
      <w:r>
        <w:rPr>
          <w:rFonts w:eastAsia="楷体" w:cs="Times New Roman" w:hint="eastAsia"/>
          <w:i w:val="0"/>
          <w:iCs w:val="0"/>
          <w:caps w:val="0"/>
          <w:color w:val="auto"/>
          <w:spacing w:val="0"/>
          <w:sz w:val="24"/>
          <w:szCs w:val="24"/>
          <w:shd w:val="clear" w:color="auto" w:fill="FFFFFF"/>
          <w:lang w:val="en-US" w:eastAsia="zh-CN"/>
        </w:rPr>
        <w:t>长时间充放电失效机理</w:t>
      </w:r>
      <w:bookmarkEnd w:id="110"/>
      <w:r>
        <w:rPr>
          <w:rFonts w:eastAsia="楷体" w:hint="eastAsia"/>
          <w:color w:val="auto"/>
          <w:sz w:val="24"/>
          <w:szCs w:val="24"/>
          <w:lang w:val="en-US" w:eastAsia="zh-CN"/>
        </w:rPr>
        <w:t>，基于界面和微观结构调控机制给出提升碱激发材料超级电容器性能的优化方案，</w:t>
      </w:r>
      <w:r>
        <w:rPr>
          <w:rFonts w:eastAsia="楷体" w:hint="eastAsia"/>
          <w:b/>
          <w:bCs/>
          <w:color w:val="auto"/>
          <w:sz w:val="24"/>
          <w:szCs w:val="24"/>
          <w:lang w:val="en-US" w:eastAsia="zh-CN"/>
        </w:rPr>
        <w:t>是本研究拟解决的第二个科学问题</w:t>
      </w:r>
      <w:r>
        <w:rPr>
          <w:rFonts w:eastAsia="楷体" w:hint="eastAsia"/>
          <w:color w:val="auto"/>
          <w:sz w:val="24"/>
          <w:szCs w:val="24"/>
          <w:lang w:val="en-US" w:eastAsia="zh-CN"/>
        </w:rPr>
        <w:t>。</w:t>
      </w:r>
      <w:bookmarkEnd w:id="109"/>
    </w:p>
    <w:p>
      <w:pPr>
        <w:numPr>
          <w:ilvl w:val="255"/>
          <w:numId w:val="0"/>
        </w:numPr>
        <w:wordWrap w:val="0"/>
        <w:spacing w:line="440" w:lineRule="exact"/>
        <w:ind w:firstLine="560" w:firstLineChars="200"/>
        <w:rPr>
          <w:rFonts w:ascii="楷体" w:eastAsia="楷体" w:hAnsi="楷体" w:cs="楷体"/>
        </w:rPr>
      </w:pPr>
      <w:r>
        <w:rPr>
          <w:rFonts w:ascii="楷体" w:eastAsia="楷体" w:hAnsi="楷体" w:cs="楷体" w:hint="eastAsia"/>
        </w:rPr>
        <w:t>4.项目的特色与创新之处</w:t>
      </w:r>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eastAsia="楷体" w:hint="default"/>
          <w:color w:val="auto"/>
          <w:sz w:val="24"/>
          <w:szCs w:val="24"/>
          <w:lang w:val="en-US" w:eastAsia="zh-CN"/>
        </w:rPr>
      </w:pPr>
      <w:r>
        <w:rPr>
          <w:rFonts w:eastAsia="楷体" w:hint="eastAsia"/>
          <w:b/>
          <w:bCs/>
          <w:color w:val="auto"/>
          <w:sz w:val="24"/>
          <w:szCs w:val="24"/>
          <w:lang w:val="en-US" w:eastAsia="zh-CN"/>
        </w:rPr>
        <w:t>特色</w:t>
      </w:r>
      <w:r>
        <w:rPr>
          <w:rFonts w:eastAsia="楷体" w:hint="eastAsia"/>
          <w:color w:val="auto"/>
          <w:sz w:val="24"/>
          <w:szCs w:val="24"/>
          <w:lang w:val="en-US" w:eastAsia="zh-CN"/>
        </w:rPr>
        <w:t>：</w:t>
      </w:r>
      <w:bookmarkStart w:id="111" w:name="OLE_LINK40"/>
      <w:r>
        <w:rPr>
          <w:rFonts w:eastAsia="楷体" w:hint="eastAsia"/>
          <w:color w:val="auto"/>
          <w:sz w:val="24"/>
          <w:szCs w:val="24"/>
          <w:lang w:val="en-US" w:eastAsia="zh-CN"/>
        </w:rPr>
        <w:t>本项目立足国家土木工程智能化和绿色低碳协同发展战略的重大需求，</w:t>
      </w:r>
      <w:bookmarkStart w:id="112" w:name="OLE_LINK41"/>
      <w:r>
        <w:rPr>
          <w:rFonts w:eastAsia="楷体" w:hint="eastAsia"/>
          <w:color w:val="auto"/>
          <w:sz w:val="24"/>
          <w:szCs w:val="24"/>
          <w:lang w:val="en-US" w:eastAsia="zh-CN"/>
        </w:rPr>
        <w:t>紧密对接河北省智能建造和超低能耗建筑发展的区域需求，</w:t>
      </w:r>
      <w:bookmarkEnd w:id="112"/>
      <w:r>
        <w:rPr>
          <w:rFonts w:eastAsia="楷体" w:hint="eastAsia"/>
          <w:color w:val="auto"/>
          <w:sz w:val="24"/>
          <w:szCs w:val="24"/>
          <w:lang w:val="en-US" w:eastAsia="zh-CN"/>
        </w:rPr>
        <w:t>突破传统建筑材料仅作为结构基体的认知局限，聚焦将碱激发材料在储能领域的前沿应用，这是当前较少关注的领域。</w:t>
      </w:r>
      <w:bookmarkEnd w:id="111"/>
      <w:r>
        <w:rPr>
          <w:rFonts w:eastAsia="楷体" w:hint="eastAsia"/>
          <w:color w:val="auto"/>
          <w:sz w:val="24"/>
          <w:szCs w:val="24"/>
          <w:lang w:val="en-US" w:eastAsia="zh-CN"/>
        </w:rPr>
        <w:t>本项目将碱激发材料制备与电化学储能技术相结合，不仅关注碱激发材料的基础性能研究，更注重超级电容器的性能评价、机理探讨和性能提升策略。</w:t>
      </w:r>
      <w:r>
        <w:rPr>
          <w:rFonts w:eastAsia="楷体" w:hint="default"/>
          <w:color w:val="auto"/>
          <w:sz w:val="24"/>
          <w:szCs w:val="24"/>
          <w:lang w:val="en-US" w:eastAsia="zh-CN"/>
        </w:rPr>
        <w:t>研究成果有望为碱激发材料在基础设施智能发展领域的应用提供科学依据和技术支撑。</w:t>
      </w:r>
      <w:r>
        <w:rPr>
          <w:rFonts w:eastAsia="楷体"/>
          <w:color w:val="auto"/>
          <w:sz w:val="24"/>
        </w:rPr>
        <w:t>研究内容</w:t>
      </w:r>
      <w:r>
        <w:rPr>
          <w:rFonts w:eastAsia="楷体" w:hint="eastAsia"/>
          <w:color w:val="auto"/>
          <w:sz w:val="24"/>
          <w:lang w:val="en-US" w:eastAsia="zh-CN"/>
        </w:rPr>
        <w:t>符合“材料基础性能</w:t>
      </w:r>
      <w:bookmarkStart w:id="113" w:name="OLE_LINK8"/>
      <w:r>
        <w:rPr>
          <w:rFonts w:ascii="Times New Roman" w:eastAsia="楷体" w:hAnsi="Times New Roman" w:cs="Times New Roman" w:hint="default"/>
          <w:color w:val="auto"/>
          <w:sz w:val="24"/>
          <w:lang w:val="en-US" w:eastAsia="zh-CN"/>
        </w:rPr>
        <w:t>→</w:t>
      </w:r>
      <w:bookmarkEnd w:id="113"/>
      <w:r>
        <w:rPr>
          <w:rFonts w:ascii="Times New Roman" w:eastAsia="楷体" w:hAnsi="Times New Roman" w:cs="Times New Roman" w:hint="eastAsia"/>
          <w:color w:val="auto"/>
          <w:sz w:val="24"/>
          <w:lang w:val="en-US" w:eastAsia="zh-CN"/>
        </w:rPr>
        <w:t>超级电容器构建与评价</w:t>
      </w:r>
      <w:r>
        <w:rPr>
          <w:rFonts w:ascii="Times New Roman" w:eastAsia="楷体" w:hAnsi="Times New Roman" w:cs="Times New Roman" w:hint="default"/>
          <w:color w:val="auto"/>
          <w:sz w:val="24"/>
          <w:lang w:val="en-US" w:eastAsia="zh-CN"/>
        </w:rPr>
        <w:t>→</w:t>
      </w:r>
      <w:r>
        <w:rPr>
          <w:rFonts w:eastAsia="楷体" w:cs="Times New Roman" w:hint="eastAsia"/>
          <w:color w:val="auto"/>
          <w:sz w:val="24"/>
          <w:lang w:val="en-US" w:eastAsia="zh-CN"/>
        </w:rPr>
        <w:t>长期稳定性与优化</w:t>
      </w:r>
      <w:r>
        <w:rPr>
          <w:rFonts w:eastAsia="楷体" w:hint="eastAsia"/>
          <w:color w:val="auto"/>
          <w:sz w:val="24"/>
          <w:lang w:val="en-US" w:eastAsia="zh-CN"/>
        </w:rPr>
        <w:t>”，</w:t>
      </w:r>
      <w:r>
        <w:rPr>
          <w:rFonts w:eastAsia="楷体" w:hint="eastAsia"/>
          <w:color w:val="auto"/>
          <w:sz w:val="24"/>
        </w:rPr>
        <w:t>层</w:t>
      </w:r>
      <w:r>
        <w:rPr>
          <w:rFonts w:eastAsia="楷体" w:hint="eastAsia"/>
          <w:color w:val="auto"/>
          <w:sz w:val="24"/>
          <w:lang w:val="en-US" w:eastAsia="zh-CN"/>
        </w:rPr>
        <w:t>层</w:t>
      </w:r>
      <w:r>
        <w:rPr>
          <w:rFonts w:eastAsia="楷体" w:hint="eastAsia"/>
          <w:color w:val="auto"/>
          <w:sz w:val="24"/>
        </w:rPr>
        <w:t>递进、</w:t>
      </w:r>
      <w:r>
        <w:rPr>
          <w:rFonts w:eastAsia="楷体"/>
          <w:color w:val="auto"/>
          <w:sz w:val="24"/>
        </w:rPr>
        <w:t>环环相扣，充分体现了本项目的系统性和整体性，</w:t>
      </w:r>
      <w:r>
        <w:rPr>
          <w:rFonts w:eastAsia="楷体"/>
          <w:b/>
          <w:bCs/>
          <w:color w:val="auto"/>
          <w:sz w:val="24"/>
        </w:rPr>
        <w:t>是本项目最大的特色</w:t>
      </w:r>
      <w:r>
        <w:rPr>
          <w:rFonts w:eastAsia="楷体"/>
          <w:color w:val="auto"/>
          <w:sz w:val="24"/>
        </w:rPr>
        <w:t>。</w:t>
      </w:r>
    </w:p>
    <w:p>
      <w:pPr>
        <w:keepNext w:val="0"/>
        <w:keepLines w:val="0"/>
        <w:pageBreakBefore w:val="0"/>
        <w:widowControl w:val="0"/>
        <w:numPr>
          <w:ilvl w:val="255"/>
          <w:numId w:val="0"/>
        </w:numPr>
        <w:kinsoku/>
        <w:wordWrap w:val="0"/>
        <w:overflowPunct/>
        <w:topLinePunct w:val="0"/>
        <w:autoSpaceDE/>
        <w:autoSpaceDN/>
        <w:bidi w:val="0"/>
        <w:adjustRightInd/>
        <w:snapToGrid/>
        <w:spacing w:line="440" w:lineRule="exact"/>
        <w:ind w:firstLine="480" w:firstLineChars="200"/>
        <w:textAlignment w:val="auto"/>
        <w:rPr>
          <w:rFonts w:ascii="楷体" w:eastAsia="楷体" w:hAnsi="楷体" w:cs="楷体"/>
          <w:color w:val="auto"/>
        </w:rPr>
      </w:pPr>
      <w:r>
        <w:rPr>
          <w:rFonts w:eastAsia="楷体"/>
          <w:b/>
          <w:bCs/>
          <w:color w:val="auto"/>
          <w:sz w:val="24"/>
          <w:szCs w:val="24"/>
        </w:rPr>
        <w:t>创新</w:t>
      </w:r>
      <w:r>
        <w:rPr>
          <w:rFonts w:eastAsia="楷体"/>
          <w:color w:val="auto"/>
          <w:sz w:val="24"/>
          <w:szCs w:val="24"/>
        </w:rPr>
        <w:t>：</w:t>
      </w:r>
      <w:r>
        <w:rPr>
          <w:rFonts w:eastAsia="楷体" w:hint="eastAsia"/>
          <w:color w:val="auto"/>
          <w:sz w:val="24"/>
          <w:szCs w:val="24"/>
          <w:lang w:val="en-US" w:eastAsia="zh-CN"/>
        </w:rPr>
        <w:t>通过本项目研究</w:t>
      </w:r>
      <w:r>
        <w:rPr>
          <w:rFonts w:eastAsia="楷体" w:cs="Times New Roman" w:hint="eastAsia"/>
          <w:color w:val="auto"/>
          <w:sz w:val="24"/>
          <w:lang w:val="en-US" w:eastAsia="zh-CN"/>
        </w:rPr>
        <w:t>提出“孔隙-水-离子传输”多因素调控理论，深入揭示碱激发材料电解质在多因素耦合作用下的导电机制。</w:t>
      </w:r>
      <w:r>
        <w:rPr>
          <w:rFonts w:eastAsia="楷体" w:cs="Times New Roman" w:hint="eastAsia"/>
          <w:i w:val="0"/>
          <w:iCs w:val="0"/>
          <w:caps w:val="0"/>
          <w:color w:val="auto"/>
          <w:spacing w:val="0"/>
          <w:sz w:val="24"/>
          <w:szCs w:val="24"/>
          <w:shd w:val="clear" w:color="auto" w:fill="FFFFFF"/>
          <w:lang w:val="en-US" w:eastAsia="zh-CN"/>
        </w:rPr>
        <w:t>深入揭示碱激发材料超级电容器的储能机理和长时间充放电失效机</w:t>
      </w:r>
      <w:bookmarkStart w:id="114" w:name="OLE_LINK28"/>
      <w:r>
        <w:rPr>
          <w:rFonts w:eastAsia="楷体" w:cs="Times New Roman" w:hint="eastAsia"/>
          <w:i w:val="0"/>
          <w:iCs w:val="0"/>
          <w:caps w:val="0"/>
          <w:color w:val="auto"/>
          <w:spacing w:val="0"/>
          <w:sz w:val="24"/>
          <w:szCs w:val="24"/>
          <w:shd w:val="clear" w:color="auto" w:fill="FFFFFF"/>
          <w:lang w:val="en-US" w:eastAsia="zh-CN"/>
        </w:rPr>
        <w:t>理</w:t>
      </w:r>
      <w:bookmarkEnd w:id="114"/>
      <w:r>
        <w:rPr>
          <w:rFonts w:eastAsia="楷体" w:hint="eastAsia"/>
          <w:color w:val="auto"/>
          <w:sz w:val="24"/>
          <w:lang w:val="en-US" w:eastAsia="zh-CN"/>
        </w:rPr>
        <w:t>，</w:t>
      </w:r>
      <w:r>
        <w:rPr>
          <w:rFonts w:eastAsia="楷体" w:hint="eastAsia"/>
          <w:b/>
          <w:bCs/>
          <w:color w:val="auto"/>
          <w:sz w:val="24"/>
          <w:lang w:val="en-US" w:eastAsia="zh-CN"/>
        </w:rPr>
        <w:t>实现理论创新</w:t>
      </w:r>
      <w:r>
        <w:rPr>
          <w:rFonts w:eastAsia="楷体" w:hint="eastAsia"/>
          <w:color w:val="auto"/>
          <w:sz w:val="24"/>
          <w:lang w:val="en-US" w:eastAsia="zh-CN"/>
        </w:rPr>
        <w:t>。</w:t>
      </w:r>
      <w:r>
        <w:rPr>
          <w:rFonts w:eastAsia="楷体" w:hint="eastAsia"/>
          <w:color w:val="auto"/>
          <w:sz w:val="24"/>
        </w:rPr>
        <w:t>本项目</w:t>
      </w:r>
      <w:r>
        <w:rPr>
          <w:rFonts w:eastAsia="楷体" w:hint="eastAsia"/>
          <w:color w:val="auto"/>
          <w:sz w:val="24"/>
          <w:lang w:val="en-US" w:eastAsia="zh-CN"/>
        </w:rPr>
        <w:t>研究成果将拓宽碱激发材料在储能领域的应用，对</w:t>
      </w:r>
      <w:r>
        <w:rPr>
          <w:rFonts w:eastAsia="楷体" w:cs="Times New Roman" w:hint="eastAsia"/>
          <w:color w:val="auto"/>
          <w:sz w:val="24"/>
          <w:szCs w:val="24"/>
          <w:lang w:val="en-US" w:eastAsia="zh-CN"/>
        </w:rPr>
        <w:t>推动其在基础设施智能建造领域的发展</w:t>
      </w:r>
      <w:r>
        <w:rPr>
          <w:rFonts w:eastAsia="楷体"/>
          <w:color w:val="auto"/>
          <w:sz w:val="24"/>
        </w:rPr>
        <w:t>具有重要意义，</w:t>
      </w:r>
      <w:r>
        <w:rPr>
          <w:rFonts w:eastAsia="楷体"/>
          <w:b/>
          <w:bCs/>
          <w:color w:val="auto"/>
          <w:sz w:val="24"/>
        </w:rPr>
        <w:t>实现</w:t>
      </w:r>
      <w:r>
        <w:rPr>
          <w:rFonts w:eastAsia="楷体" w:hint="eastAsia"/>
          <w:b/>
          <w:bCs/>
          <w:color w:val="auto"/>
          <w:sz w:val="24"/>
          <w:lang w:val="en-US" w:eastAsia="zh-CN"/>
        </w:rPr>
        <w:t>应用价值</w:t>
      </w:r>
      <w:r>
        <w:rPr>
          <w:rFonts w:eastAsia="楷体"/>
          <w:b/>
          <w:bCs/>
          <w:color w:val="auto"/>
          <w:sz w:val="24"/>
        </w:rPr>
        <w:t>创新</w:t>
      </w:r>
      <w:r>
        <w:rPr>
          <w:rFonts w:eastAsia="楷体"/>
          <w:color w:val="auto"/>
          <w:sz w:val="24"/>
        </w:rPr>
        <w:t>。</w:t>
      </w:r>
    </w:p>
    <w:p>
      <w:pPr>
        <w:wordWrap w:val="0"/>
        <w:spacing w:line="440" w:lineRule="exact"/>
        <w:ind w:firstLine="560" w:firstLineChars="200"/>
        <w:rPr>
          <w:rFonts w:ascii="楷体" w:eastAsia="楷体" w:hAnsi="楷体" w:cs="楷体"/>
        </w:rPr>
      </w:pPr>
      <w:r>
        <w:rPr>
          <w:rFonts w:ascii="楷体" w:eastAsia="楷体" w:hAnsi="楷体" w:cs="楷体" w:hint="eastAsia"/>
        </w:rPr>
        <w:t>5.预期成果（项目成果的呈现形式及描述）</w:t>
      </w:r>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eastAsia="楷体" w:hint="default"/>
          <w:color w:val="auto"/>
          <w:sz w:val="24"/>
          <w:szCs w:val="24"/>
          <w:lang w:val="en-US" w:eastAsia="zh-CN"/>
        </w:rPr>
      </w:pPr>
      <w:r>
        <w:rPr>
          <w:rFonts w:eastAsia="楷体"/>
          <w:color w:val="auto"/>
          <w:sz w:val="24"/>
          <w:szCs w:val="24"/>
        </w:rPr>
        <w:t>研究成果将通过</w:t>
      </w:r>
      <w:r>
        <w:rPr>
          <w:rFonts w:eastAsia="楷体" w:hint="eastAsia"/>
          <w:color w:val="auto"/>
          <w:sz w:val="24"/>
          <w:szCs w:val="24"/>
        </w:rPr>
        <w:t>学术</w:t>
      </w:r>
      <w:r>
        <w:rPr>
          <w:rFonts w:eastAsia="楷体"/>
          <w:color w:val="auto"/>
          <w:sz w:val="24"/>
          <w:szCs w:val="24"/>
        </w:rPr>
        <w:t>论文、研究生培养等考核指标进行呈现</w:t>
      </w:r>
      <w:r>
        <w:rPr>
          <w:rFonts w:eastAsia="楷体" w:hint="eastAsia"/>
          <w:color w:val="auto"/>
          <w:sz w:val="24"/>
          <w:szCs w:val="24"/>
          <w:lang w:eastAsia="zh-CN"/>
        </w:rPr>
        <w:t>，</w:t>
      </w:r>
      <w:r>
        <w:rPr>
          <w:rFonts w:eastAsia="楷体" w:hint="eastAsia"/>
          <w:b/>
          <w:bCs/>
          <w:color w:val="auto"/>
          <w:sz w:val="24"/>
          <w:szCs w:val="24"/>
          <w:lang w:val="en-US" w:eastAsia="zh-CN"/>
        </w:rPr>
        <w:t>可量化的预期研究成果如下</w:t>
      </w:r>
      <w:r>
        <w:rPr>
          <w:rFonts w:eastAsia="楷体" w:hint="eastAsia"/>
          <w:color w:val="auto"/>
          <w:sz w:val="24"/>
          <w:szCs w:val="24"/>
          <w:lang w:val="en-US" w:eastAsia="zh-CN"/>
        </w:rPr>
        <w:t>：</w:t>
      </w:r>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ascii="Times New Roman" w:eastAsia="楷体" w:hAnsi="Times New Roman" w:cs="Times New Roman" w:hint="default"/>
          <w:color w:val="auto"/>
          <w:sz w:val="24"/>
          <w:szCs w:val="24"/>
        </w:rPr>
      </w:pPr>
      <w:r>
        <w:rPr>
          <w:rFonts w:ascii="Times New Roman" w:eastAsia="楷体" w:hAnsi="Times New Roman" w:cs="Times New Roman" w:hint="default"/>
          <w:color w:val="auto"/>
          <w:sz w:val="24"/>
          <w:szCs w:val="24"/>
        </w:rPr>
        <w:t>（1）</w:t>
      </w:r>
      <w:r>
        <w:rPr>
          <w:rFonts w:ascii="Times New Roman" w:eastAsia="楷体" w:hAnsi="Times New Roman" w:cs="Times New Roman" w:hint="default"/>
          <w:color w:val="auto"/>
          <w:sz w:val="24"/>
          <w:szCs w:val="24"/>
          <w:lang w:val="en-US" w:eastAsia="zh-CN"/>
        </w:rPr>
        <w:t>发表论文</w:t>
      </w:r>
      <w:r>
        <w:rPr>
          <w:rFonts w:ascii="Times New Roman" w:eastAsia="楷体" w:hAnsi="Times New Roman" w:cs="Times New Roman" w:hint="default"/>
          <w:color w:val="auto"/>
          <w:sz w:val="24"/>
          <w:szCs w:val="24"/>
        </w:rPr>
        <w:t>：通过本项目研究拟发表国内外高水平</w:t>
      </w:r>
      <w:r>
        <w:rPr>
          <w:rFonts w:ascii="Times New Roman" w:eastAsia="楷体" w:hAnsi="Times New Roman" w:cs="Times New Roman" w:hint="default"/>
          <w:color w:val="auto"/>
          <w:sz w:val="24"/>
          <w:szCs w:val="24"/>
          <w:lang w:val="en-US" w:eastAsia="zh-CN"/>
        </w:rPr>
        <w:t>SCI/EI</w:t>
      </w:r>
      <w:r>
        <w:rPr>
          <w:rFonts w:ascii="Times New Roman" w:eastAsia="楷体" w:hAnsi="Times New Roman" w:cs="Times New Roman" w:hint="default"/>
          <w:color w:val="auto"/>
          <w:sz w:val="24"/>
          <w:szCs w:val="24"/>
        </w:rPr>
        <w:t>学术论文</w:t>
      </w:r>
      <w:r>
        <w:rPr>
          <w:rFonts w:ascii="Times New Roman" w:eastAsia="楷体" w:hAnsi="Times New Roman" w:cs="Times New Roman" w:hint="default"/>
          <w:color w:val="auto"/>
          <w:sz w:val="24"/>
          <w:szCs w:val="24"/>
          <w:lang w:val="en-US" w:eastAsia="zh-CN"/>
        </w:rPr>
        <w:t>4</w:t>
      </w:r>
      <w:r>
        <w:rPr>
          <w:rFonts w:eastAsia="楷体" w:cs="Times New Roman" w:hint="eastAsia"/>
          <w:color w:val="auto"/>
          <w:sz w:val="24"/>
          <w:szCs w:val="24"/>
          <w:lang w:val="en-US" w:eastAsia="zh-CN"/>
        </w:rPr>
        <w:t>-</w:t>
      </w:r>
      <w:r>
        <w:rPr>
          <w:rFonts w:ascii="Times New Roman" w:eastAsia="楷体" w:hAnsi="Times New Roman" w:cs="Times New Roman" w:hint="default"/>
          <w:color w:val="auto"/>
          <w:sz w:val="24"/>
          <w:szCs w:val="24"/>
          <w:lang w:val="en-US" w:eastAsia="zh-CN"/>
        </w:rPr>
        <w:t>6</w:t>
      </w:r>
      <w:r>
        <w:rPr>
          <w:rFonts w:ascii="Times New Roman" w:eastAsia="楷体" w:hAnsi="Times New Roman" w:cs="Times New Roman" w:hint="default"/>
          <w:color w:val="auto"/>
          <w:sz w:val="24"/>
          <w:szCs w:val="24"/>
        </w:rPr>
        <w:t>篇。</w:t>
      </w:r>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ascii="Times New Roman" w:eastAsia="楷体" w:hAnsi="Times New Roman" w:cs="Times New Roman" w:hint="default"/>
          <w:color w:val="auto"/>
          <w:sz w:val="24"/>
          <w:szCs w:val="24"/>
        </w:rPr>
      </w:pPr>
      <w:r>
        <w:rPr>
          <w:rFonts w:ascii="Times New Roman" w:eastAsia="楷体" w:hAnsi="Times New Roman" w:cs="Times New Roman" w:hint="default"/>
          <w:color w:val="auto"/>
          <w:sz w:val="24"/>
          <w:szCs w:val="24"/>
        </w:rPr>
        <w:t>（2）</w:t>
      </w:r>
      <w:r>
        <w:rPr>
          <w:rFonts w:ascii="Times New Roman" w:eastAsia="楷体" w:hAnsi="Times New Roman" w:cs="Times New Roman" w:hint="default"/>
          <w:color w:val="auto"/>
          <w:sz w:val="24"/>
          <w:szCs w:val="24"/>
          <w:lang w:val="en-US" w:eastAsia="zh-CN"/>
        </w:rPr>
        <w:t>学生</w:t>
      </w:r>
      <w:r>
        <w:rPr>
          <w:rFonts w:ascii="Times New Roman" w:eastAsia="楷体" w:hAnsi="Times New Roman" w:cs="Times New Roman" w:hint="default"/>
          <w:color w:val="auto"/>
          <w:sz w:val="24"/>
          <w:szCs w:val="24"/>
        </w:rPr>
        <w:t>培养：通过本项目研究拟培养硕士研究生</w:t>
      </w:r>
      <w:r>
        <w:rPr>
          <w:rFonts w:ascii="Times New Roman" w:eastAsia="楷体" w:hAnsi="Times New Roman" w:cs="Times New Roman" w:hint="default"/>
          <w:color w:val="auto"/>
          <w:sz w:val="24"/>
          <w:szCs w:val="24"/>
          <w:lang w:val="en-US" w:eastAsia="zh-CN"/>
        </w:rPr>
        <w:t>3-4</w:t>
      </w:r>
      <w:r>
        <w:rPr>
          <w:rFonts w:ascii="Times New Roman" w:eastAsia="楷体" w:hAnsi="Times New Roman" w:cs="Times New Roman" w:hint="default"/>
          <w:color w:val="auto"/>
          <w:sz w:val="24"/>
          <w:szCs w:val="24"/>
        </w:rPr>
        <w:t>名。</w:t>
      </w:r>
    </w:p>
    <w:p>
      <w:pPr>
        <w:keepNext w:val="0"/>
        <w:keepLines w:val="0"/>
        <w:pageBreakBefore w:val="0"/>
        <w:widowControl w:val="0"/>
        <w:kinsoku/>
        <w:wordWrap w:val="0"/>
        <w:overflowPunct/>
        <w:topLinePunct w:val="0"/>
        <w:autoSpaceDE/>
        <w:autoSpaceDN/>
        <w:bidi w:val="0"/>
        <w:adjustRightInd/>
        <w:snapToGrid/>
        <w:spacing w:line="440" w:lineRule="exact"/>
        <w:ind w:firstLine="480" w:firstLineChars="200"/>
        <w:textAlignment w:val="auto"/>
        <w:rPr>
          <w:rFonts w:ascii="楷体" w:eastAsia="楷体" w:hAnsi="楷体" w:cs="楷体"/>
          <w:color w:val="auto"/>
        </w:rPr>
      </w:pPr>
      <w:r>
        <w:rPr>
          <w:rFonts w:ascii="Times New Roman" w:eastAsia="楷体" w:hAnsi="Times New Roman" w:cs="Times New Roman" w:hint="default"/>
          <w:color w:val="auto"/>
          <w:sz w:val="24"/>
          <w:szCs w:val="24"/>
          <w:lang w:eastAsia="zh-CN"/>
        </w:rPr>
        <w:t>（</w:t>
      </w:r>
      <w:r>
        <w:rPr>
          <w:rFonts w:ascii="Times New Roman" w:eastAsia="楷体" w:hAnsi="Times New Roman" w:cs="Times New Roman" w:hint="default"/>
          <w:color w:val="auto"/>
          <w:sz w:val="24"/>
          <w:szCs w:val="24"/>
          <w:lang w:val="en-US" w:eastAsia="zh-CN"/>
        </w:rPr>
        <w:t>3）学术交流：</w:t>
      </w:r>
      <w:r>
        <w:rPr>
          <w:rFonts w:ascii="Times New Roman" w:eastAsia="楷体" w:hAnsi="Times New Roman" w:cs="Times New Roman" w:hint="default"/>
          <w:color w:val="auto"/>
          <w:sz w:val="24"/>
        </w:rPr>
        <w:t>每年度参加</w:t>
      </w:r>
      <w:r>
        <w:rPr>
          <w:rFonts w:ascii="Times New Roman" w:eastAsia="楷体" w:hAnsi="Times New Roman" w:cs="Times New Roman" w:hint="default"/>
          <w:color w:val="auto"/>
          <w:sz w:val="24"/>
          <w:lang w:val="en-US" w:eastAsia="zh-CN"/>
        </w:rPr>
        <w:t>1</w:t>
      </w:r>
      <w:r>
        <w:rPr>
          <w:rFonts w:eastAsia="楷体" w:cs="Times New Roman" w:hint="eastAsia"/>
          <w:color w:val="auto"/>
          <w:sz w:val="24"/>
          <w:lang w:val="en-US" w:eastAsia="zh-CN"/>
        </w:rPr>
        <w:t>-</w:t>
      </w:r>
      <w:r>
        <w:rPr>
          <w:rFonts w:ascii="Times New Roman" w:eastAsia="楷体" w:hAnsi="Times New Roman" w:cs="Times New Roman" w:hint="default"/>
          <w:color w:val="auto"/>
          <w:sz w:val="24"/>
          <w:lang w:val="en-US" w:eastAsia="zh-CN"/>
        </w:rPr>
        <w:t>2</w:t>
      </w:r>
      <w:r>
        <w:rPr>
          <w:rFonts w:ascii="Times New Roman" w:eastAsia="楷体" w:hAnsi="Times New Roman" w:cs="Times New Roman" w:hint="default"/>
          <w:color w:val="auto"/>
          <w:sz w:val="24"/>
        </w:rPr>
        <w:t>人次的国内/国际学术会议，并作学术报告，与同行交流最新研究成果。</w:t>
      </w:r>
    </w:p>
    <w:p>
      <w:pPr>
        <w:wordWrap w:val="0"/>
        <w:spacing w:line="440" w:lineRule="exact"/>
        <w:ind w:firstLine="560" w:firstLineChars="200"/>
        <w:outlineLvl w:val="0"/>
        <w:rPr>
          <w:rFonts w:ascii="楷体" w:eastAsia="楷体" w:hAnsi="楷体" w:cs="楷体"/>
          <w:b/>
        </w:rPr>
      </w:pPr>
      <w:bookmarkStart w:id="115" w:name="bm_six"/>
      <w:r>
        <w:rPr>
          <w:rFonts w:ascii="楷体" w:eastAsia="楷体" w:hAnsi="楷体" w:cs="楷体" w:hint="eastAsia"/>
          <w:b/>
        </w:rPr>
        <w:t>三、研究方案及可行性分析</w:t>
      </w:r>
    </w:p>
    <w:bookmarkEnd w:id="77"/>
    <w:bookmarkEnd w:id="115"/>
    <w:p>
      <w:pPr>
        <w:wordWrap w:val="0"/>
        <w:spacing w:line="440" w:lineRule="exact"/>
        <w:ind w:firstLine="560" w:firstLineChars="200"/>
        <w:rPr>
          <w:rFonts w:ascii="楷体" w:eastAsia="楷体" w:hAnsi="楷体" w:cs="楷体"/>
        </w:rPr>
      </w:pPr>
      <w:r>
        <w:rPr>
          <w:rFonts w:ascii="楷体" w:eastAsia="楷体" w:hAnsi="楷体" w:cs="楷体" w:hint="eastAsia"/>
        </w:rPr>
        <w:t>1.研究方案（有关方法、技术路线、实验手段、关键技术等说明，项目可行性分析）</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rPr>
          <w:rFonts w:eastAsia="楷体" w:hint="default"/>
          <w:b/>
          <w:bCs/>
          <w:color w:val="auto"/>
          <w:sz w:val="24"/>
          <w:szCs w:val="24"/>
          <w:lang w:val="en-US" w:eastAsia="zh-CN"/>
        </w:rPr>
      </w:pPr>
      <w:r>
        <w:rPr>
          <w:rFonts w:eastAsia="楷体" w:hint="eastAsia"/>
          <w:b/>
          <w:bCs/>
          <w:color w:val="auto"/>
          <w:sz w:val="24"/>
          <w:szCs w:val="24"/>
          <w:lang w:val="en-US" w:eastAsia="zh-CN"/>
        </w:rPr>
        <w:t>1.1 总体技术路线</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rPr>
          <w:rFonts w:eastAsia="楷体" w:hint="eastAsia"/>
          <w:color w:val="auto"/>
          <w:sz w:val="24"/>
          <w:szCs w:val="24"/>
          <w:lang w:val="en-US" w:eastAsia="zh-CN"/>
        </w:rPr>
      </w:pPr>
      <w:r>
        <w:rPr>
          <w:rFonts w:eastAsia="楷体" w:hint="eastAsia"/>
          <w:b w:val="0"/>
          <w:bCs w:val="0"/>
          <w:color w:val="auto"/>
          <w:sz w:val="24"/>
          <w:szCs w:val="24"/>
          <w:lang w:val="en-US" w:eastAsia="zh-CN"/>
        </w:rPr>
        <w:t>本项目采用多尺度研究方法体系，集成常规测试方法和先进表征技术，结合模型建立和机理分析，系统开展碱激发粉煤灰-矿渣胶凝材料热电特性和调控机制研究。基于“试验测试</w:t>
      </w:r>
      <w:r>
        <w:rPr>
          <w:rFonts w:ascii="Times New Roman" w:eastAsia="楷体" w:hAnsi="Times New Roman" w:cs="Times New Roman" w:hint="default"/>
          <w:b w:val="0"/>
          <w:bCs w:val="0"/>
          <w:color w:val="auto"/>
          <w:sz w:val="24"/>
          <w:szCs w:val="24"/>
          <w:lang w:val="en-US" w:eastAsia="zh-CN"/>
        </w:rPr>
        <w:t>→</w:t>
      </w:r>
      <w:r>
        <w:rPr>
          <w:rFonts w:eastAsia="楷体" w:hint="eastAsia"/>
          <w:b w:val="0"/>
          <w:bCs w:val="0"/>
          <w:color w:val="auto"/>
          <w:sz w:val="24"/>
          <w:szCs w:val="24"/>
          <w:lang w:val="en-US" w:eastAsia="zh-CN"/>
        </w:rPr>
        <w:t>性能表征</w:t>
      </w:r>
      <w:r>
        <w:rPr>
          <w:rFonts w:ascii="Times New Roman" w:eastAsia="楷体" w:hAnsi="Times New Roman" w:cs="Times New Roman" w:hint="default"/>
          <w:b w:val="0"/>
          <w:bCs w:val="0"/>
          <w:color w:val="auto"/>
          <w:sz w:val="24"/>
          <w:szCs w:val="24"/>
          <w:lang w:val="en-US" w:eastAsia="zh-CN"/>
        </w:rPr>
        <w:t>→</w:t>
      </w:r>
      <w:r>
        <w:rPr>
          <w:rFonts w:eastAsia="楷体" w:hint="eastAsia"/>
          <w:b w:val="0"/>
          <w:bCs w:val="0"/>
          <w:color w:val="auto"/>
          <w:sz w:val="24"/>
          <w:szCs w:val="24"/>
          <w:lang w:val="en-US" w:eastAsia="zh-CN"/>
        </w:rPr>
        <w:t>机理分析</w:t>
      </w:r>
      <w:r>
        <w:rPr>
          <w:rFonts w:ascii="Times New Roman" w:eastAsia="楷体" w:hAnsi="Times New Roman" w:cs="Times New Roman" w:hint="default"/>
          <w:b w:val="0"/>
          <w:bCs w:val="0"/>
          <w:color w:val="auto"/>
          <w:sz w:val="24"/>
          <w:szCs w:val="24"/>
          <w:lang w:val="en-US" w:eastAsia="zh-CN"/>
        </w:rPr>
        <w:t>→</w:t>
      </w:r>
      <w:r>
        <w:rPr>
          <w:rFonts w:eastAsia="楷体" w:hint="eastAsia"/>
          <w:b w:val="0"/>
          <w:bCs w:val="0"/>
          <w:color w:val="auto"/>
          <w:sz w:val="24"/>
          <w:szCs w:val="24"/>
          <w:lang w:val="en-US" w:eastAsia="zh-CN"/>
        </w:rPr>
        <w:t>性能调控”的多层次递进研究思路，深入揭示碱激发粉煤灰-矿渣材料的储能机理和长时间充放电失效机理。</w:t>
      </w:r>
      <w:r>
        <w:rPr>
          <w:rFonts w:eastAsia="楷体" w:hint="eastAsia"/>
          <w:b/>
          <w:bCs/>
          <w:color w:val="auto"/>
          <w:sz w:val="24"/>
          <w:szCs w:val="24"/>
          <w:lang w:val="en-US" w:eastAsia="zh-CN"/>
        </w:rPr>
        <w:t>本项目的整体研究构思如图2所示</w:t>
      </w:r>
      <w:r>
        <w:rPr>
          <w:rFonts w:eastAsia="楷体" w:hint="eastAsia"/>
          <w:color w:val="auto"/>
          <w:sz w:val="24"/>
          <w:szCs w:val="24"/>
          <w:lang w:val="en-US" w:eastAsia="zh-CN"/>
        </w:rPr>
        <w:t>。</w:t>
      </w:r>
    </w:p>
    <w:p>
      <w:pPr>
        <w:spacing w:line="240" w:lineRule="auto"/>
        <w:jc w:val="center"/>
        <w:rPr>
          <w:rFonts w:eastAsia="楷体" w:hint="eastAsia"/>
          <w:color w:val="auto"/>
          <w:sz w:val="24"/>
          <w:szCs w:val="24"/>
          <w:lang w:val="en-US" w:eastAsia="zh-CN"/>
        </w:rPr>
      </w:pPr>
      <w:r>
        <w:rPr>
          <w:rFonts w:eastAsia="楷体" w:hint="eastAsia"/>
          <w:color w:val="auto"/>
          <w:sz w:val="24"/>
          <w:szCs w:val="24"/>
          <w:lang w:val="en-US"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35pt;height:425pt" o:oleicon="f" o:ole="" coordsize="21600,21600" o:preferrelative="t" filled="f" stroked="f">
            <v:imagedata r:id="rId6" o:title=""/>
            <o:lock v:ext="edit" aspectratio="f"/>
            <w10:anchorlock/>
          </v:shape>
          <o:OLEObject Type="Embed" ProgID="Visio.Drawing.15" ShapeID="_x0000_i1025" DrawAspect="Content" ObjectID="_1468075725" r:id="rId7"/>
        </w:object>
      </w: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eastAsia="楷体" w:hint="eastAsia"/>
          <w:color w:val="auto"/>
          <w:sz w:val="24"/>
          <w:szCs w:val="24"/>
          <w:lang w:val="en-US" w:eastAsia="zh-CN"/>
        </w:rPr>
      </w:pPr>
      <w:r>
        <w:rPr>
          <w:rFonts w:eastAsia="楷体" w:hint="eastAsia"/>
          <w:b/>
          <w:bCs/>
          <w:color w:val="auto"/>
          <w:sz w:val="24"/>
          <w:szCs w:val="24"/>
          <w:lang w:val="en-US" w:eastAsia="zh-CN"/>
        </w:rPr>
        <w:t>图2</w:t>
      </w:r>
      <w:r>
        <w:rPr>
          <w:rFonts w:eastAsia="楷体" w:hint="eastAsia"/>
          <w:color w:val="auto"/>
          <w:sz w:val="24"/>
          <w:szCs w:val="24"/>
          <w:lang w:val="en-US" w:eastAsia="zh-CN"/>
        </w:rPr>
        <w:t xml:space="preserve"> 本项目的整体研究构思</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rPr>
          <w:rFonts w:ascii="Times New Roman" w:eastAsia="楷体" w:hAnsi="Times New Roman" w:cs="Times New Roman" w:hint="default"/>
          <w:b/>
          <w:bCs/>
          <w:color w:val="auto"/>
          <w:sz w:val="24"/>
          <w:szCs w:val="24"/>
          <w:lang w:val="en-US" w:eastAsia="zh-CN"/>
        </w:rPr>
      </w:pPr>
      <w:r>
        <w:rPr>
          <w:rFonts w:ascii="Times New Roman" w:eastAsia="楷体" w:hAnsi="Times New Roman" w:cs="Times New Roman" w:hint="default"/>
          <w:b/>
          <w:bCs/>
          <w:color w:val="auto"/>
          <w:sz w:val="24"/>
          <w:szCs w:val="24"/>
          <w:lang w:val="en-US" w:eastAsia="zh-CN"/>
        </w:rPr>
        <w:t>1.2 分项研究方法和技术路线等</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rPr>
          <w:rFonts w:ascii="Times New Roman" w:eastAsia="楷体" w:hAnsi="Times New Roman" w:cs="Times New Roman" w:hint="default"/>
          <w:color w:val="auto"/>
          <w:sz w:val="24"/>
          <w:szCs w:val="24"/>
          <w:lang w:val="en-US" w:eastAsia="zh-CN"/>
        </w:rPr>
      </w:pPr>
      <w:r>
        <w:rPr>
          <w:rFonts w:ascii="Times New Roman" w:eastAsia="楷体" w:hAnsi="Times New Roman" w:cs="Times New Roman" w:hint="default"/>
          <w:b/>
          <w:bCs/>
          <w:color w:val="auto"/>
          <w:sz w:val="24"/>
          <w:szCs w:val="24"/>
          <w:lang w:val="en-US" w:eastAsia="zh-CN"/>
        </w:rPr>
        <w:t>（1）碱激发材料电解质的导电机制研究</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rPr>
          <w:rFonts w:eastAsia="楷体" w:hint="default"/>
          <w:color w:val="auto"/>
          <w:sz w:val="24"/>
          <w:szCs w:val="24"/>
          <w:lang w:val="en-US" w:eastAsia="zh-CN"/>
        </w:rPr>
      </w:pPr>
      <w:r>
        <w:rPr>
          <w:rFonts w:eastAsia="楷体" w:hint="eastAsia"/>
          <w:color w:val="auto"/>
          <w:sz w:val="24"/>
          <w:szCs w:val="24"/>
          <w:lang w:val="en-US" w:eastAsia="zh-CN"/>
        </w:rPr>
        <w:t>以碱激发粉煤灰-矿渣材料净浆体系为研究对象，选用Class F一级粉煤灰和S95级矿渣为碱激发粉末原材料，根据粉煤灰-矿渣质量比设置</w:t>
      </w:r>
      <w:r>
        <w:rPr>
          <w:rFonts w:ascii="Times New Roman" w:eastAsia="楷体" w:hAnsi="Times New Roman" w:cs="Times New Roman" w:hint="eastAsia"/>
          <w:i w:val="0"/>
          <w:iCs w:val="0"/>
          <w:caps w:val="0"/>
          <w:color w:val="auto"/>
          <w:spacing w:val="0"/>
          <w:sz w:val="24"/>
          <w:szCs w:val="24"/>
          <w:shd w:val="clear" w:color="auto" w:fill="FFFFFF"/>
          <w:lang w:val="en-US" w:eastAsia="zh-CN"/>
        </w:rPr>
        <w:t>高钙</w:t>
      </w:r>
      <w:r>
        <w:rPr>
          <w:rFonts w:eastAsia="楷体" w:cs="Times New Roman" w:hint="eastAsia"/>
          <w:i w:val="0"/>
          <w:iCs w:val="0"/>
          <w:caps w:val="0"/>
          <w:color w:val="auto"/>
          <w:spacing w:val="0"/>
          <w:sz w:val="24"/>
          <w:szCs w:val="24"/>
          <w:shd w:val="clear" w:color="auto" w:fill="FFFFFF"/>
          <w:lang w:val="en-US" w:eastAsia="zh-CN"/>
        </w:rPr>
        <w:t>（</w:t>
      </w:r>
      <w:r>
        <w:rPr>
          <w:rFonts w:ascii="Times New Roman" w:eastAsia="楷体" w:hAnsi="Times New Roman" w:cs="Times New Roman" w:hint="eastAsia"/>
          <w:i w:val="0"/>
          <w:iCs w:val="0"/>
          <w:caps w:val="0"/>
          <w:color w:val="auto"/>
          <w:spacing w:val="0"/>
          <w:sz w:val="24"/>
          <w:szCs w:val="24"/>
          <w:shd w:val="clear" w:color="auto" w:fill="FFFFFF"/>
          <w:lang w:val="en-US" w:eastAsia="zh-CN"/>
        </w:rPr>
        <w:t>0:1</w:t>
      </w:r>
      <w:r>
        <w:rPr>
          <w:rFonts w:eastAsia="楷体" w:cs="Times New Roman" w:hint="eastAsia"/>
          <w:i w:val="0"/>
          <w:iCs w:val="0"/>
          <w:caps w:val="0"/>
          <w:color w:val="auto"/>
          <w:spacing w:val="0"/>
          <w:sz w:val="24"/>
          <w:szCs w:val="24"/>
          <w:shd w:val="clear" w:color="auto" w:fill="FFFFFF"/>
          <w:lang w:val="en-US" w:eastAsia="zh-CN"/>
        </w:rPr>
        <w:t>）</w:t>
      </w:r>
      <w:r>
        <w:rPr>
          <w:rFonts w:ascii="Times New Roman" w:eastAsia="楷体" w:hAnsi="Times New Roman" w:cs="Times New Roman" w:hint="eastAsia"/>
          <w:i w:val="0"/>
          <w:iCs w:val="0"/>
          <w:caps w:val="0"/>
          <w:color w:val="auto"/>
          <w:spacing w:val="0"/>
          <w:sz w:val="24"/>
          <w:szCs w:val="24"/>
          <w:shd w:val="clear" w:color="auto" w:fill="FFFFFF"/>
          <w:lang w:val="en-US" w:eastAsia="zh-CN"/>
        </w:rPr>
        <w:t>、中钙</w:t>
      </w:r>
      <w:r>
        <w:rPr>
          <w:rFonts w:eastAsia="楷体" w:cs="Times New Roman" w:hint="eastAsia"/>
          <w:i w:val="0"/>
          <w:iCs w:val="0"/>
          <w:caps w:val="0"/>
          <w:color w:val="auto"/>
          <w:spacing w:val="0"/>
          <w:sz w:val="24"/>
          <w:szCs w:val="24"/>
          <w:shd w:val="clear" w:color="auto" w:fill="FFFFFF"/>
          <w:lang w:val="en-US" w:eastAsia="zh-CN"/>
        </w:rPr>
        <w:t>（</w:t>
      </w:r>
      <w:r>
        <w:rPr>
          <w:rFonts w:ascii="Times New Roman" w:eastAsia="楷体" w:hAnsi="Times New Roman" w:cs="Times New Roman" w:hint="eastAsia"/>
          <w:i w:val="0"/>
          <w:iCs w:val="0"/>
          <w:caps w:val="0"/>
          <w:color w:val="auto"/>
          <w:spacing w:val="0"/>
          <w:sz w:val="24"/>
          <w:szCs w:val="24"/>
          <w:shd w:val="clear" w:color="auto" w:fill="FFFFFF"/>
          <w:lang w:val="en-US" w:eastAsia="zh-CN"/>
        </w:rPr>
        <w:t>1:1</w:t>
      </w:r>
      <w:r>
        <w:rPr>
          <w:rFonts w:eastAsia="楷体" w:cs="Times New Roman" w:hint="eastAsia"/>
          <w:i w:val="0"/>
          <w:iCs w:val="0"/>
          <w:caps w:val="0"/>
          <w:color w:val="auto"/>
          <w:spacing w:val="0"/>
          <w:sz w:val="24"/>
          <w:szCs w:val="24"/>
          <w:shd w:val="clear" w:color="auto" w:fill="FFFFFF"/>
          <w:lang w:val="en-US" w:eastAsia="zh-CN"/>
        </w:rPr>
        <w:t>）</w:t>
      </w:r>
      <w:r>
        <w:rPr>
          <w:rFonts w:ascii="Times New Roman" w:eastAsia="楷体" w:hAnsi="Times New Roman" w:cs="Times New Roman" w:hint="eastAsia"/>
          <w:i w:val="0"/>
          <w:iCs w:val="0"/>
          <w:caps w:val="0"/>
          <w:color w:val="auto"/>
          <w:spacing w:val="0"/>
          <w:sz w:val="24"/>
          <w:szCs w:val="24"/>
          <w:shd w:val="clear" w:color="auto" w:fill="FFFFFF"/>
          <w:lang w:val="en-US" w:eastAsia="zh-CN"/>
        </w:rPr>
        <w:t>和低钙</w:t>
      </w:r>
      <w:r>
        <w:rPr>
          <w:rFonts w:eastAsia="楷体" w:cs="Times New Roman" w:hint="eastAsia"/>
          <w:i w:val="0"/>
          <w:iCs w:val="0"/>
          <w:caps w:val="0"/>
          <w:color w:val="auto"/>
          <w:spacing w:val="0"/>
          <w:sz w:val="24"/>
          <w:szCs w:val="24"/>
          <w:shd w:val="clear" w:color="auto" w:fill="FFFFFF"/>
          <w:lang w:val="en-US" w:eastAsia="zh-CN"/>
        </w:rPr>
        <w:t>（</w:t>
      </w:r>
      <w:r>
        <w:rPr>
          <w:rFonts w:ascii="Times New Roman" w:eastAsia="楷体" w:hAnsi="Times New Roman" w:cs="Times New Roman" w:hint="eastAsia"/>
          <w:i w:val="0"/>
          <w:iCs w:val="0"/>
          <w:caps w:val="0"/>
          <w:color w:val="auto"/>
          <w:spacing w:val="0"/>
          <w:sz w:val="24"/>
          <w:szCs w:val="24"/>
          <w:shd w:val="clear" w:color="auto" w:fill="FFFFFF"/>
          <w:lang w:val="en-US" w:eastAsia="zh-CN"/>
        </w:rPr>
        <w:t>1:0</w:t>
      </w:r>
      <w:r>
        <w:rPr>
          <w:rFonts w:eastAsia="楷体" w:cs="Times New Roman" w:hint="eastAsia"/>
          <w:i w:val="0"/>
          <w:iCs w:val="0"/>
          <w:caps w:val="0"/>
          <w:color w:val="auto"/>
          <w:spacing w:val="0"/>
          <w:sz w:val="24"/>
          <w:szCs w:val="24"/>
          <w:shd w:val="clear" w:color="auto" w:fill="FFFFFF"/>
          <w:lang w:val="en-US" w:eastAsia="zh-CN"/>
        </w:rPr>
        <w:t>）含量</w:t>
      </w:r>
      <w:r>
        <w:rPr>
          <w:rFonts w:eastAsia="楷体" w:hint="eastAsia"/>
          <w:color w:val="auto"/>
          <w:sz w:val="24"/>
          <w:szCs w:val="24"/>
          <w:lang w:val="en-US" w:eastAsia="zh-CN"/>
        </w:rPr>
        <w:t>碱激发材料电解质体系。设置阳离子类型（Na</w:t>
      </w:r>
      <w:r>
        <w:rPr>
          <w:rFonts w:eastAsia="楷体" w:hint="eastAsia"/>
          <w:color w:val="auto"/>
          <w:sz w:val="24"/>
          <w:szCs w:val="24"/>
          <w:vertAlign w:val="superscript"/>
          <w:lang w:val="en-US" w:eastAsia="zh-CN"/>
        </w:rPr>
        <w:t>+</w:t>
      </w:r>
      <w:r>
        <w:rPr>
          <w:rFonts w:eastAsia="楷体" w:hint="eastAsia"/>
          <w:color w:val="auto"/>
          <w:sz w:val="24"/>
          <w:szCs w:val="24"/>
          <w:lang w:val="en-US" w:eastAsia="zh-CN"/>
        </w:rPr>
        <w:t>和K</w:t>
      </w:r>
      <w:r>
        <w:rPr>
          <w:rFonts w:eastAsia="楷体" w:hint="eastAsia"/>
          <w:color w:val="auto"/>
          <w:sz w:val="24"/>
          <w:szCs w:val="24"/>
          <w:vertAlign w:val="superscript"/>
          <w:lang w:val="en-US" w:eastAsia="zh-CN"/>
        </w:rPr>
        <w:t>+</w:t>
      </w:r>
      <w:r>
        <w:rPr>
          <w:rFonts w:eastAsia="楷体" w:hint="eastAsia"/>
          <w:color w:val="auto"/>
          <w:sz w:val="24"/>
          <w:szCs w:val="24"/>
          <w:lang w:val="en-US" w:eastAsia="zh-CN"/>
        </w:rPr>
        <w:t>）、碱当量（2%、4%、6%和8%）和</w:t>
      </w:r>
      <w:r>
        <w:rPr>
          <w:rFonts w:ascii="Times New Roman" w:eastAsia="楷体" w:hAnsi="Times New Roman" w:cs="Times New Roman" w:hint="default"/>
          <w:color w:val="auto"/>
          <w:sz w:val="24"/>
          <w:szCs w:val="24"/>
          <w:lang w:val="en-US" w:eastAsia="zh-CN"/>
        </w:rPr>
        <w:t>碱激发剂模数（0.5、1.0、1.5和2.0）为研究变量。</w:t>
      </w:r>
      <w:r>
        <w:rPr>
          <w:rFonts w:eastAsia="楷体" w:hint="eastAsia"/>
          <w:color w:val="auto"/>
          <w:sz w:val="24"/>
          <w:szCs w:val="24"/>
          <w:lang w:val="en-US" w:eastAsia="zh-CN"/>
        </w:rPr>
        <w:t>以NaOH+Na</w:t>
      </w:r>
      <w:r>
        <w:rPr>
          <w:rFonts w:eastAsia="楷体" w:hint="eastAsia"/>
          <w:color w:val="auto"/>
          <w:sz w:val="24"/>
          <w:szCs w:val="24"/>
          <w:vertAlign w:val="subscript"/>
          <w:lang w:val="en-US" w:eastAsia="zh-CN"/>
        </w:rPr>
        <w:t>2</w:t>
      </w:r>
      <w:r>
        <w:rPr>
          <w:rFonts w:eastAsia="楷体" w:hint="eastAsia"/>
          <w:color w:val="auto"/>
          <w:sz w:val="24"/>
          <w:szCs w:val="24"/>
          <w:lang w:val="en-US" w:eastAsia="zh-CN"/>
        </w:rPr>
        <w:t>SiO</w:t>
      </w:r>
      <w:r>
        <w:rPr>
          <w:rFonts w:eastAsia="楷体" w:hint="eastAsia"/>
          <w:color w:val="auto"/>
          <w:sz w:val="24"/>
          <w:szCs w:val="24"/>
          <w:vertAlign w:val="subscript"/>
          <w:lang w:val="en-US" w:eastAsia="zh-CN"/>
        </w:rPr>
        <w:t>3</w:t>
      </w:r>
      <w:r>
        <w:rPr>
          <w:rFonts w:eastAsia="楷体" w:hint="eastAsia"/>
          <w:color w:val="auto"/>
          <w:sz w:val="24"/>
          <w:szCs w:val="24"/>
          <w:lang w:val="en-US" w:eastAsia="zh-CN"/>
        </w:rPr>
        <w:t>和KOH+K</w:t>
      </w:r>
      <w:r>
        <w:rPr>
          <w:rFonts w:eastAsia="楷体" w:hint="eastAsia"/>
          <w:color w:val="auto"/>
          <w:sz w:val="24"/>
          <w:szCs w:val="24"/>
          <w:vertAlign w:val="subscript"/>
          <w:lang w:val="en-US" w:eastAsia="zh-CN"/>
        </w:rPr>
        <w:t>2</w:t>
      </w:r>
      <w:r>
        <w:rPr>
          <w:rFonts w:eastAsia="楷体" w:hint="eastAsia"/>
          <w:color w:val="auto"/>
          <w:sz w:val="24"/>
          <w:szCs w:val="24"/>
          <w:lang w:val="en-US" w:eastAsia="zh-CN"/>
        </w:rPr>
        <w:t>SiO</w:t>
      </w:r>
      <w:r>
        <w:rPr>
          <w:rFonts w:eastAsia="楷体" w:hint="eastAsia"/>
          <w:color w:val="auto"/>
          <w:sz w:val="24"/>
          <w:szCs w:val="24"/>
          <w:vertAlign w:val="subscript"/>
          <w:lang w:val="en-US" w:eastAsia="zh-CN"/>
        </w:rPr>
        <w:t>3</w:t>
      </w:r>
      <w:r>
        <w:rPr>
          <w:rFonts w:eastAsia="楷体" w:hint="eastAsia"/>
          <w:color w:val="auto"/>
          <w:sz w:val="24"/>
          <w:szCs w:val="24"/>
          <w:lang w:val="en-US" w:eastAsia="zh-CN"/>
        </w:rPr>
        <w:t>为碱激发剂，</w:t>
      </w:r>
      <w:r>
        <w:rPr>
          <w:rFonts w:eastAsia="楷体" w:hint="eastAsia"/>
          <w:b/>
          <w:bCs/>
          <w:color w:val="auto"/>
          <w:sz w:val="24"/>
          <w:szCs w:val="24"/>
          <w:lang w:val="en-US" w:eastAsia="zh-CN"/>
        </w:rPr>
        <w:t>试验用水全部采用去离子水</w:t>
      </w:r>
      <w:r>
        <w:rPr>
          <w:rFonts w:eastAsia="楷体" w:hint="eastAsia"/>
          <w:color w:val="auto"/>
          <w:sz w:val="24"/>
          <w:szCs w:val="24"/>
          <w:lang w:val="en-US" w:eastAsia="zh-CN"/>
        </w:rPr>
        <w:t>，液固比为0.32。</w:t>
      </w:r>
      <w:r>
        <w:rPr>
          <w:rFonts w:eastAsia="楷体" w:hint="eastAsia"/>
          <w:b/>
          <w:bCs/>
          <w:color w:val="auto"/>
          <w:sz w:val="24"/>
          <w:szCs w:val="24"/>
          <w:lang w:val="en-US" w:eastAsia="zh-CN"/>
        </w:rPr>
        <w:t>本研究内容的技术路线图如图3所示</w:t>
      </w:r>
      <w:r>
        <w:rPr>
          <w:rFonts w:eastAsia="楷体" w:hint="eastAsia"/>
          <w:color w:val="auto"/>
          <w:sz w:val="24"/>
          <w:szCs w:val="24"/>
          <w:lang w:val="en-US" w:eastAsia="zh-CN"/>
        </w:rPr>
        <w:t>。</w:t>
      </w:r>
    </w:p>
    <w:p>
      <w:pPr>
        <w:spacing w:line="360" w:lineRule="auto"/>
        <w:jc w:val="center"/>
        <w:rPr>
          <w:rFonts w:eastAsia="楷体" w:hint="eastAsia"/>
          <w:color w:val="auto"/>
          <w:sz w:val="24"/>
          <w:szCs w:val="24"/>
          <w:lang w:val="en-US" w:eastAsia="zh-CN"/>
        </w:rPr>
      </w:pPr>
      <w:r>
        <w:rPr>
          <w:rFonts w:eastAsia="楷体" w:hint="eastAsia"/>
          <w:color w:val="auto"/>
          <w:sz w:val="24"/>
          <w:szCs w:val="24"/>
          <w:lang w:val="en-US" w:eastAsia="zh-CN"/>
        </w:rPr>
        <w:object>
          <v:shape id="_x0000_i1026" type="#_x0000_t75" style="width:453.1pt;height:465.85pt" o:oleicon="f" o:ole="" coordsize="21600,21600" o:preferrelative="t" filled="f" stroked="f">
            <v:imagedata r:id="rId8" o:title=""/>
            <o:lock v:ext="edit" aspectratio="f"/>
            <w10:anchorlock/>
          </v:shape>
          <o:OLEObject Type="Embed" ProgID="Visio.Drawing.15" ShapeID="_x0000_i1026" DrawAspect="Content" ObjectID="_1468075726" r:id="rId9"/>
        </w:object>
      </w: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eastAsia="楷体" w:hAnsi="Times New Roman" w:cs="Times New Roman" w:hint="default"/>
          <w:color w:val="auto"/>
          <w:sz w:val="24"/>
          <w:szCs w:val="24"/>
          <w:lang w:val="en-US" w:eastAsia="zh-CN"/>
        </w:rPr>
      </w:pPr>
      <w:r>
        <w:rPr>
          <w:rFonts w:eastAsia="楷体" w:hint="eastAsia"/>
          <w:b/>
          <w:bCs/>
          <w:color w:val="auto"/>
          <w:sz w:val="24"/>
          <w:szCs w:val="24"/>
          <w:lang w:val="en-US" w:eastAsia="zh-CN"/>
        </w:rPr>
        <w:t>图3</w:t>
      </w:r>
      <w:r>
        <w:rPr>
          <w:rFonts w:eastAsia="楷体" w:hint="eastAsia"/>
          <w:color w:val="auto"/>
          <w:sz w:val="24"/>
          <w:szCs w:val="24"/>
          <w:lang w:val="en-US" w:eastAsia="zh-CN"/>
        </w:rPr>
        <w:t xml:space="preserve"> </w:t>
      </w:r>
      <w:r>
        <w:rPr>
          <w:rFonts w:eastAsia="楷体" w:cs="Times New Roman" w:hint="eastAsia"/>
          <w:b w:val="0"/>
          <w:bCs w:val="0"/>
          <w:color w:val="auto"/>
          <w:sz w:val="24"/>
          <w:szCs w:val="24"/>
          <w:lang w:val="en-US" w:eastAsia="zh-CN"/>
        </w:rPr>
        <w:t>碱激发材料电解质</w:t>
      </w:r>
      <w:r>
        <w:rPr>
          <w:rFonts w:ascii="Times New Roman" w:eastAsia="楷体" w:hAnsi="Times New Roman" w:cs="Times New Roman" w:hint="default"/>
          <w:b w:val="0"/>
          <w:bCs w:val="0"/>
          <w:color w:val="auto"/>
          <w:sz w:val="24"/>
          <w:szCs w:val="24"/>
          <w:lang w:val="en-US" w:eastAsia="zh-CN"/>
        </w:rPr>
        <w:t>的</w:t>
      </w:r>
      <w:r>
        <w:rPr>
          <w:rFonts w:eastAsia="楷体" w:cs="Times New Roman" w:hint="eastAsia"/>
          <w:b w:val="0"/>
          <w:bCs w:val="0"/>
          <w:color w:val="auto"/>
          <w:sz w:val="24"/>
          <w:szCs w:val="24"/>
          <w:lang w:val="en-US" w:eastAsia="zh-CN"/>
        </w:rPr>
        <w:t>导电机制研究的技术路线图</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rPr>
          <w:rFonts w:ascii="Times New Roman" w:eastAsia="楷体" w:hAnsi="Times New Roman" w:cs="Times New Roman" w:hint="default"/>
          <w:color w:val="auto"/>
          <w:sz w:val="24"/>
          <w:lang w:eastAsia="zh-CN"/>
        </w:rPr>
      </w:pPr>
      <w:r>
        <w:rPr>
          <w:rFonts w:ascii="Times New Roman" w:eastAsia="楷体" w:hAnsi="Times New Roman" w:cs="Times New Roman" w:hint="default"/>
          <w:color w:val="auto"/>
          <w:sz w:val="24"/>
          <w:szCs w:val="24"/>
          <w:lang w:val="en-US" w:eastAsia="zh-CN"/>
        </w:rPr>
        <w:t>导电性能测试试样尺寸为20mm×20mm×80mm，</w:t>
      </w:r>
      <w:r>
        <w:rPr>
          <w:rFonts w:eastAsia="楷体" w:hint="eastAsia"/>
          <w:color w:val="auto"/>
          <w:sz w:val="24"/>
          <w:szCs w:val="24"/>
          <w:lang w:val="en-US" w:eastAsia="zh-CN"/>
        </w:rPr>
        <w:t>制备的碱激发材料电解质试样脱模后，</w:t>
      </w:r>
      <w:r>
        <w:rPr>
          <w:rFonts w:eastAsia="楷体" w:hint="default"/>
          <w:color w:val="auto"/>
          <w:sz w:val="24"/>
          <w:szCs w:val="24"/>
          <w:lang w:val="en-US" w:eastAsia="zh-CN"/>
        </w:rPr>
        <w:t>用400目砂纸打磨试样至四面平整均匀，在试块两端1</w:t>
      </w:r>
      <w:r>
        <w:rPr>
          <w:rFonts w:eastAsia="楷体" w:hint="eastAsia"/>
          <w:color w:val="auto"/>
          <w:sz w:val="24"/>
          <w:szCs w:val="24"/>
          <w:lang w:val="en-US" w:eastAsia="zh-CN"/>
        </w:rPr>
        <w:t>-2</w:t>
      </w:r>
      <w:r>
        <w:rPr>
          <w:rFonts w:eastAsia="楷体" w:hint="default"/>
          <w:color w:val="auto"/>
          <w:sz w:val="24"/>
          <w:szCs w:val="24"/>
          <w:lang w:val="en-US" w:eastAsia="zh-CN"/>
        </w:rPr>
        <w:t>mm</w:t>
      </w:r>
      <w:r>
        <w:rPr>
          <w:rFonts w:eastAsia="楷体" w:hint="eastAsia"/>
          <w:color w:val="auto"/>
          <w:sz w:val="24"/>
          <w:szCs w:val="24"/>
          <w:lang w:val="en-US" w:eastAsia="zh-CN"/>
        </w:rPr>
        <w:t>处</w:t>
      </w:r>
      <w:r>
        <w:rPr>
          <w:rFonts w:eastAsia="楷体" w:hint="default"/>
          <w:color w:val="auto"/>
          <w:sz w:val="24"/>
          <w:szCs w:val="24"/>
          <w:lang w:val="en-US" w:eastAsia="zh-CN"/>
        </w:rPr>
        <w:t>用齿锯磨出轻微锯痕并在锯痕处均匀涂抹导电银浆一周，套上铜线圈</w:t>
      </w:r>
      <w:r>
        <w:rPr>
          <w:rFonts w:eastAsia="楷体" w:hint="eastAsia"/>
          <w:color w:val="auto"/>
          <w:sz w:val="24"/>
          <w:szCs w:val="24"/>
          <w:lang w:val="en-US" w:eastAsia="zh-CN"/>
        </w:rPr>
        <w:t>，</w:t>
      </w:r>
      <w:r>
        <w:rPr>
          <w:rFonts w:eastAsia="楷体" w:hint="default"/>
          <w:color w:val="auto"/>
          <w:sz w:val="24"/>
          <w:szCs w:val="24"/>
          <w:lang w:val="en-US" w:eastAsia="zh-CN"/>
        </w:rPr>
        <w:t>并使用</w:t>
      </w:r>
      <w:r>
        <w:rPr>
          <w:rFonts w:eastAsia="楷体" w:hint="eastAsia"/>
          <w:color w:val="auto"/>
          <w:sz w:val="24"/>
          <w:szCs w:val="24"/>
          <w:lang w:val="en-US" w:eastAsia="zh-CN"/>
        </w:rPr>
        <w:t>微型</w:t>
      </w:r>
      <w:r>
        <w:rPr>
          <w:rFonts w:eastAsia="楷体" w:hint="default"/>
          <w:color w:val="auto"/>
          <w:sz w:val="24"/>
          <w:szCs w:val="24"/>
          <w:lang w:val="en-US" w:eastAsia="zh-CN"/>
        </w:rPr>
        <w:t>加热器在150℃下加热</w:t>
      </w:r>
      <w:r>
        <w:rPr>
          <w:rFonts w:eastAsia="楷体" w:hint="eastAsia"/>
          <w:color w:val="auto"/>
          <w:sz w:val="24"/>
          <w:szCs w:val="24"/>
          <w:lang w:val="en-US" w:eastAsia="zh-CN"/>
        </w:rPr>
        <w:t>导电银浆2</w:t>
      </w:r>
      <w:r>
        <w:rPr>
          <w:rFonts w:eastAsia="楷体" w:hint="default"/>
          <w:color w:val="auto"/>
          <w:sz w:val="24"/>
          <w:szCs w:val="24"/>
          <w:lang w:val="en-US" w:eastAsia="zh-CN"/>
        </w:rPr>
        <w:t>分钟</w:t>
      </w:r>
      <w:r>
        <w:rPr>
          <w:rFonts w:eastAsia="楷体" w:hint="eastAsia"/>
          <w:color w:val="auto"/>
          <w:sz w:val="24"/>
          <w:szCs w:val="24"/>
          <w:lang w:val="en-US" w:eastAsia="zh-CN"/>
        </w:rPr>
        <w:t>，使导</w:t>
      </w:r>
      <w:r>
        <w:rPr>
          <w:rFonts w:ascii="Times New Roman" w:eastAsia="楷体" w:hAnsi="Times New Roman" w:cs="Times New Roman" w:hint="default"/>
          <w:color w:val="auto"/>
          <w:sz w:val="24"/>
          <w:szCs w:val="24"/>
          <w:lang w:val="en-US" w:eastAsia="zh-CN"/>
        </w:rPr>
        <w:t>电银浆固化，加热前用保鲜膜密封包裹试块防止加热过程中试样内部水分过量散失，最后在线圈拧结处做防锈蚀处理用保鲜膜包裹，放至标准养护室（温度20±2℃，湿度&gt;95%）。</w:t>
      </w:r>
      <w:r>
        <w:rPr>
          <w:rFonts w:ascii="Times New Roman" w:eastAsia="楷体" w:hAnsi="Times New Roman" w:cs="Times New Roman" w:hint="eastAsia"/>
          <w:color w:val="auto"/>
          <w:sz w:val="24"/>
          <w:szCs w:val="24"/>
          <w:lang w:val="en-US" w:eastAsia="zh-CN"/>
        </w:rPr>
        <w:t>电阻率测试设备</w:t>
      </w:r>
      <w:r>
        <w:rPr>
          <w:rFonts w:ascii="Times New Roman" w:eastAsia="楷体" w:hAnsi="Times New Roman" w:cs="Times New Roman" w:hint="default"/>
          <w:color w:val="auto"/>
          <w:sz w:val="24"/>
          <w:szCs w:val="24"/>
          <w:lang w:val="en-US" w:eastAsia="zh-CN"/>
        </w:rPr>
        <w:t>选用Agilent 34972A数据采集仪和34901A数据采集卡，</w:t>
      </w:r>
      <w:r>
        <w:rPr>
          <w:rFonts w:eastAsia="楷体" w:cs="Times New Roman" w:hint="eastAsia"/>
          <w:color w:val="auto"/>
          <w:sz w:val="24"/>
          <w:szCs w:val="24"/>
          <w:lang w:val="en-US" w:eastAsia="zh-CN"/>
        </w:rPr>
        <w:t>测试过程如图</w:t>
      </w:r>
      <w:r>
        <w:rPr>
          <w:rFonts w:ascii="Times New Roman" w:eastAsia="楷体" w:hAnsi="Times New Roman" w:cs="Times New Roman" w:hint="default"/>
          <w:color w:val="auto"/>
          <w:sz w:val="24"/>
          <w:szCs w:val="24"/>
          <w:lang w:val="en-US" w:eastAsia="zh-CN"/>
        </w:rPr>
        <w:t>如图4所示，分别测试养护龄期为3d、7d、28d和90d试样的电阻值。根据公式σ=l/</w:t>
      </w:r>
      <w:r>
        <w:rPr>
          <w:rFonts w:eastAsia="楷体" w:cs="Times New Roman" w:hint="eastAsia"/>
          <w:color w:val="auto"/>
          <w:sz w:val="24"/>
          <w:szCs w:val="24"/>
          <w:lang w:val="en-US" w:eastAsia="zh-CN"/>
        </w:rPr>
        <w:t>(</w:t>
      </w:r>
      <w:r>
        <w:rPr>
          <w:rFonts w:ascii="Times New Roman" w:eastAsia="楷体" w:hAnsi="Times New Roman" w:cs="Times New Roman" w:hint="default"/>
          <w:color w:val="auto"/>
          <w:sz w:val="24"/>
          <w:szCs w:val="24"/>
          <w:lang w:val="en-US" w:eastAsia="zh-CN"/>
        </w:rPr>
        <w:t>S×R</w:t>
      </w:r>
      <w:r>
        <w:rPr>
          <w:rFonts w:eastAsia="楷体" w:cs="Times New Roman" w:hint="eastAsia"/>
          <w:color w:val="auto"/>
          <w:sz w:val="24"/>
          <w:szCs w:val="24"/>
          <w:lang w:val="en-US" w:eastAsia="zh-CN"/>
        </w:rPr>
        <w:t>)</w:t>
      </w:r>
      <w:r>
        <w:rPr>
          <w:rFonts w:ascii="Times New Roman" w:eastAsia="楷体" w:hAnsi="Times New Roman" w:cs="Times New Roman" w:hint="default"/>
          <w:color w:val="auto"/>
          <w:sz w:val="24"/>
          <w:szCs w:val="24"/>
          <w:lang w:val="en-US" w:eastAsia="zh-CN"/>
        </w:rPr>
        <w:t>计算得到碱激发材料电解质的电导率</w:t>
      </w:r>
      <w:r>
        <w:rPr>
          <w:rFonts w:ascii="Times New Roman" w:eastAsia="楷体" w:hAnsi="Times New Roman" w:cs="Times New Roman" w:hint="eastAsia"/>
          <w:color w:val="auto"/>
          <w:sz w:val="24"/>
          <w:szCs w:val="24"/>
          <w:lang w:val="en-US" w:eastAsia="zh-CN"/>
        </w:rPr>
        <w:t>（</w:t>
      </w:r>
      <w:r>
        <w:rPr>
          <w:rFonts w:eastAsia="楷体" w:cs="Times New Roman" w:hint="eastAsia"/>
          <w:color w:val="auto"/>
          <w:sz w:val="24"/>
          <w:szCs w:val="24"/>
          <w:lang w:val="en-US" w:eastAsia="zh-CN"/>
        </w:rPr>
        <w:t>其中：</w:t>
      </w:r>
      <w:r>
        <w:rPr>
          <w:rFonts w:ascii="Times New Roman" w:eastAsia="楷体" w:hAnsi="Times New Roman" w:cs="Times New Roman" w:hint="default"/>
          <w:color w:val="auto"/>
          <w:sz w:val="24"/>
          <w:szCs w:val="24"/>
          <w:lang w:val="en-US" w:eastAsia="zh-CN"/>
        </w:rPr>
        <w:t>σ为试样电导率（S/m）；l为试样两电极之间的距离（m）；S为试样的横截面积（m</w:t>
      </w:r>
      <w:r>
        <w:rPr>
          <w:rFonts w:ascii="Times New Roman" w:eastAsia="楷体" w:hAnsi="Times New Roman" w:cs="Times New Roman" w:hint="default"/>
          <w:color w:val="auto"/>
          <w:sz w:val="24"/>
          <w:szCs w:val="24"/>
          <w:vertAlign w:val="superscript"/>
          <w:lang w:val="en-US" w:eastAsia="zh-CN"/>
        </w:rPr>
        <w:t>2</w:t>
      </w:r>
      <w:r>
        <w:rPr>
          <w:rFonts w:ascii="Times New Roman" w:eastAsia="楷体" w:hAnsi="Times New Roman" w:cs="Times New Roman" w:hint="default"/>
          <w:color w:val="auto"/>
          <w:sz w:val="24"/>
          <w:szCs w:val="24"/>
          <w:lang w:val="en-US" w:eastAsia="zh-CN"/>
        </w:rPr>
        <w:t>）；R为试样的电阻（Ω）</w:t>
      </w:r>
      <w:r>
        <w:rPr>
          <w:rFonts w:ascii="Times New Roman" w:eastAsia="楷体" w:hAnsi="Times New Roman" w:cs="Times New Roman" w:hint="eastAsia"/>
          <w:color w:val="auto"/>
          <w:sz w:val="24"/>
          <w:szCs w:val="24"/>
          <w:lang w:val="en-US" w:eastAsia="zh-CN"/>
        </w:rPr>
        <w:t>）</w:t>
      </w:r>
      <w:r>
        <w:rPr>
          <w:rFonts w:ascii="Times New Roman" w:eastAsia="楷体" w:hAnsi="Times New Roman" w:cs="Times New Roman" w:hint="default"/>
          <w:color w:val="auto"/>
          <w:sz w:val="24"/>
          <w:szCs w:val="24"/>
          <w:lang w:val="en-US" w:eastAsia="zh-CN"/>
        </w:rPr>
        <w:t>。</w:t>
      </w:r>
      <w:r>
        <w:rPr>
          <w:rFonts w:ascii="Times New Roman" w:eastAsia="楷体" w:hAnsi="Times New Roman" w:cs="Times New Roman" w:hint="default"/>
          <w:color w:val="auto"/>
          <w:sz w:val="24"/>
        </w:rPr>
        <w:t>量化研究变量与</w:t>
      </w:r>
      <w:r>
        <w:rPr>
          <w:rFonts w:eastAsia="楷体" w:cs="Times New Roman" w:hint="eastAsia"/>
          <w:color w:val="auto"/>
          <w:sz w:val="24"/>
          <w:lang w:val="en-US" w:eastAsia="zh-CN"/>
        </w:rPr>
        <w:t>高/中/低钙含量碱激发材料电解质</w:t>
      </w:r>
      <w:r>
        <w:rPr>
          <w:rFonts w:ascii="Times New Roman" w:eastAsia="楷体" w:hAnsi="Times New Roman" w:cs="Times New Roman" w:hint="default"/>
          <w:color w:val="auto"/>
          <w:sz w:val="24"/>
        </w:rPr>
        <w:t>导电性能之间的关系，剖析影响导电性能的关键参数和因素</w:t>
      </w:r>
      <w:r>
        <w:rPr>
          <w:rFonts w:ascii="Times New Roman" w:eastAsia="楷体" w:hAnsi="Times New Roman" w:cs="Times New Roman" w:hint="default"/>
          <w:color w:val="auto"/>
          <w:sz w:val="24"/>
          <w:lang w:eastAsia="zh-CN"/>
        </w:rPr>
        <w:t>。</w:t>
      </w:r>
    </w:p>
    <w:p>
      <w:pPr>
        <w:spacing w:line="360" w:lineRule="auto"/>
        <w:jc w:val="center"/>
        <w:rPr>
          <w:rFonts w:eastAsia="楷体" w:cs="Times New Roman" w:hint="default"/>
          <w:b w:val="0"/>
          <w:bCs w:val="0"/>
          <w:color w:val="auto"/>
          <w:sz w:val="24"/>
          <w:szCs w:val="24"/>
          <w:lang w:val="en-US" w:eastAsia="zh-CN"/>
        </w:rPr>
      </w:pPr>
      <w:r>
        <w:rPr>
          <w:rFonts w:eastAsia="楷体" w:cs="Times New Roman" w:hint="default"/>
          <w:b w:val="0"/>
          <w:bCs w:val="0"/>
          <w:color w:val="auto"/>
          <w:sz w:val="24"/>
          <w:szCs w:val="24"/>
          <w:lang w:val="en-US" w:eastAsia="zh-CN"/>
        </w:rPr>
        <w:object>
          <v:shape id="_x0000_i1027" type="#_x0000_t75" style="width:169.6pt;height:142.9pt" o:oleicon="f" o:ole="" coordsize="21600,21600" o:preferrelative="t" filled="f" stroked="f">
            <v:imagedata r:id="rId10" o:title=""/>
            <o:lock v:ext="edit" aspectratio="f"/>
            <w10:anchorlock/>
          </v:shape>
          <o:OLEObject Type="Embed" ProgID="Visio.Drawing.15" ShapeID="_x0000_i1027" DrawAspect="Content" ObjectID="_1468075727" r:id="rId11"/>
        </w:object>
      </w: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eastAsia="楷体" w:hAnsi="Times New Roman" w:cs="Times New Roman" w:hint="default"/>
          <w:color w:val="auto"/>
          <w:sz w:val="24"/>
          <w:lang w:val="en-US" w:eastAsia="zh-CN"/>
        </w:rPr>
      </w:pPr>
      <w:r>
        <w:rPr>
          <w:rFonts w:eastAsia="楷体" w:cs="Times New Roman" w:hint="eastAsia"/>
          <w:b/>
          <w:bCs/>
          <w:color w:val="auto"/>
          <w:sz w:val="24"/>
          <w:szCs w:val="24"/>
          <w:lang w:val="en-US" w:eastAsia="zh-CN"/>
        </w:rPr>
        <w:t>图4</w:t>
      </w:r>
      <w:r>
        <w:rPr>
          <w:rFonts w:eastAsia="楷体" w:cs="Times New Roman" w:hint="eastAsia"/>
          <w:b w:val="0"/>
          <w:bCs w:val="0"/>
          <w:color w:val="auto"/>
          <w:sz w:val="24"/>
          <w:szCs w:val="24"/>
          <w:lang w:val="en-US" w:eastAsia="zh-CN"/>
        </w:rPr>
        <w:t xml:space="preserve"> 二电极法测试试样电阻</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eastAsia="楷体" w:cs="Times New Roman" w:hint="eastAsia"/>
          <w:color w:val="auto"/>
          <w:sz w:val="24"/>
          <w:lang w:val="en-US" w:eastAsia="zh-CN"/>
        </w:rPr>
      </w:pPr>
      <w:r>
        <w:rPr>
          <w:rFonts w:ascii="Times New Roman" w:eastAsia="楷体" w:hAnsi="Times New Roman" w:cs="Times New Roman" w:hint="eastAsia"/>
          <w:color w:val="auto"/>
          <w:sz w:val="24"/>
          <w:lang w:val="en-US" w:eastAsia="zh-CN"/>
        </w:rPr>
        <w:t>微观尺度孔隙结构测试选用</w:t>
      </w:r>
      <w:r>
        <w:rPr>
          <w:rFonts w:ascii="Times New Roman" w:eastAsia="楷体" w:hAnsi="Times New Roman" w:cs="Times New Roman" w:hint="default"/>
          <w:color w:val="auto"/>
          <w:sz w:val="24"/>
        </w:rPr>
        <w:t>MIP测试，测试定量结果包括孔隙率、中值孔径、平均孔径、颗粒间孔隙率和颗粒内孔隙率，并根据测试得到的增量孔隙体积和累积孔隙体积分布曲线，获得微孔、介孔、大孔和超大孔的体积分布。细观尺度孔隙结构采用X-CT测试，使用Avizo软件对不同X-CT图像灰度值切片数据进行阈值分割，三维重建获得试样内部空间的角孔几何，绘制试样孔隙结构的三维骨架，提取孔隙率、孔径分布、孔隙体积等重要信息，获得孔隙的直径、裂纹的长度和三维孔隙结构的骨架长度、连通性和弯曲度的结果。</w:t>
      </w:r>
      <w:r>
        <w:rPr>
          <w:rFonts w:eastAsia="楷体" w:cs="Times New Roman" w:hint="eastAsia"/>
          <w:color w:val="auto"/>
          <w:sz w:val="24"/>
          <w:lang w:val="en-US" w:eastAsia="zh-CN"/>
        </w:rPr>
        <w:t>建立多尺度孔隙结构特征与导电性能的关联关系，评价关键孔隙结构和细观尺度孔隙连通性等对碱激发材料电解质导电性能的影响。</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ascii="Times New Roman" w:eastAsia="楷体" w:hAnsi="Times New Roman" w:cs="Times New Roman" w:hint="default"/>
          <w:color w:val="auto"/>
          <w:sz w:val="24"/>
          <w:lang w:val="en-US" w:eastAsia="zh-CN"/>
        </w:rPr>
      </w:pPr>
      <w:r>
        <w:rPr>
          <w:rFonts w:ascii="Times New Roman" w:eastAsia="楷体" w:hAnsi="Times New Roman" w:cs="Times New Roman" w:hint="default"/>
          <w:color w:val="auto"/>
          <w:sz w:val="24"/>
        </w:rPr>
        <w:t>将包膜密封养护28d的试样置于真空饱水机中饱水2h，测试其电阻值，计算得到直流电阻率和电导率；然后将饱水试样置于60℃真空干燥箱中烘干1h、3h、6h、12h、1d、3d和7d（不考虑高温作用对水化作用的影响，课题组前期试验研究发现60℃持续作用下碱激发粉煤灰-矿渣的质量损失在7d时趋于平稳，相关研究成果发表在Construction</w:t>
      </w:r>
      <w:r>
        <w:rPr>
          <w:rFonts w:eastAsia="楷体" w:cs="Times New Roman" w:hint="eastAsia"/>
          <w:color w:val="auto"/>
          <w:sz w:val="24"/>
          <w:lang w:val="en-US" w:eastAsia="zh-CN"/>
        </w:rPr>
        <w:t xml:space="preserve"> </w:t>
      </w:r>
      <w:r>
        <w:rPr>
          <w:rFonts w:ascii="Times New Roman" w:eastAsia="楷体" w:hAnsi="Times New Roman" w:cs="Times New Roman" w:hint="default"/>
          <w:color w:val="auto"/>
          <w:sz w:val="24"/>
        </w:rPr>
        <w:t>and</w:t>
      </w:r>
      <w:r>
        <w:rPr>
          <w:rFonts w:eastAsia="楷体" w:cs="Times New Roman" w:hint="eastAsia"/>
          <w:color w:val="auto"/>
          <w:sz w:val="24"/>
          <w:lang w:val="en-US" w:eastAsia="zh-CN"/>
        </w:rPr>
        <w:t xml:space="preserve"> </w:t>
      </w:r>
      <w:r>
        <w:rPr>
          <w:rFonts w:ascii="Times New Roman" w:eastAsia="楷体" w:hAnsi="Times New Roman" w:cs="Times New Roman" w:hint="default"/>
          <w:color w:val="auto"/>
          <w:sz w:val="24"/>
        </w:rPr>
        <w:t>Building Materials期刊），分别测试非饱水状态下试样的电阻值。</w:t>
      </w:r>
      <w:r>
        <w:rPr>
          <w:rFonts w:ascii="Times New Roman" w:eastAsia="楷体" w:hAnsi="Times New Roman" w:cs="Times New Roman" w:hint="default"/>
          <w:color w:val="auto"/>
          <w:sz w:val="24"/>
          <w:vertAlign w:val="superscript"/>
        </w:rPr>
        <w:t>1</w:t>
      </w:r>
      <w:r>
        <w:rPr>
          <w:rFonts w:ascii="Times New Roman" w:eastAsia="楷体" w:hAnsi="Times New Roman" w:cs="Times New Roman" w:hint="default"/>
          <w:color w:val="auto"/>
          <w:sz w:val="24"/>
        </w:rPr>
        <w:t>H</w:t>
      </w:r>
      <w:r>
        <w:rPr>
          <w:rFonts w:eastAsia="楷体" w:cs="Times New Roman" w:hint="eastAsia"/>
          <w:color w:val="auto"/>
          <w:sz w:val="24"/>
          <w:lang w:val="en-US" w:eastAsia="zh-CN"/>
        </w:rPr>
        <w:t xml:space="preserve"> </w:t>
      </w:r>
      <w:r>
        <w:rPr>
          <w:rFonts w:ascii="Times New Roman" w:eastAsia="楷体" w:hAnsi="Times New Roman" w:cs="Times New Roman" w:hint="default"/>
          <w:color w:val="auto"/>
          <w:sz w:val="24"/>
        </w:rPr>
        <w:t>LF-NMR测试提供了原位和实时的测量，检测与其化学和物理环境有关的氢质子状态。制备1.5英寸（直径3.8cm，高6cm）圆柱体试样，与测试导电性的试样进行相同的养护、饱水和烘干步骤。将饱水和非饱水试样置于高性能核磁共振微观分析仪（品牌：青檬艾柯LIME-MRI-D2）中，利用</w:t>
      </w:r>
      <w:r>
        <w:rPr>
          <w:rFonts w:ascii="Times New Roman" w:eastAsia="楷体" w:hAnsi="Times New Roman" w:cs="Times New Roman" w:hint="default"/>
          <w:color w:val="auto"/>
          <w:sz w:val="24"/>
          <w:vertAlign w:val="superscript"/>
        </w:rPr>
        <w:t>1</w:t>
      </w:r>
      <w:r>
        <w:rPr>
          <w:rFonts w:ascii="Times New Roman" w:eastAsia="楷体" w:hAnsi="Times New Roman" w:cs="Times New Roman" w:hint="default"/>
          <w:color w:val="auto"/>
          <w:sz w:val="24"/>
        </w:rPr>
        <w:t>H</w:t>
      </w:r>
      <w:r>
        <w:rPr>
          <w:rFonts w:eastAsia="楷体" w:cs="Times New Roman" w:hint="eastAsia"/>
          <w:color w:val="auto"/>
          <w:sz w:val="24"/>
          <w:lang w:val="en-US" w:eastAsia="zh-CN"/>
        </w:rPr>
        <w:t xml:space="preserve"> </w:t>
      </w:r>
      <w:r>
        <w:rPr>
          <w:rFonts w:ascii="Times New Roman" w:eastAsia="楷体" w:hAnsi="Times New Roman" w:cs="Times New Roman" w:hint="default"/>
          <w:color w:val="auto"/>
          <w:sz w:val="24"/>
        </w:rPr>
        <w:t>LF-NMR测试不同体积孔隙中孔隙水的横向弛豫时间（T</w:t>
      </w:r>
      <w:r>
        <w:rPr>
          <w:rFonts w:ascii="Times New Roman" w:eastAsia="楷体" w:hAnsi="Times New Roman" w:cs="Times New Roman" w:hint="default"/>
          <w:color w:val="auto"/>
          <w:sz w:val="24"/>
          <w:vertAlign w:val="subscript"/>
        </w:rPr>
        <w:t>2</w:t>
      </w:r>
      <w:r>
        <w:rPr>
          <w:rFonts w:ascii="Times New Roman" w:eastAsia="楷体" w:hAnsi="Times New Roman" w:cs="Times New Roman" w:hint="default"/>
          <w:color w:val="auto"/>
          <w:sz w:val="24"/>
        </w:rPr>
        <w:t>），估算孔隙水分布。根据T</w:t>
      </w:r>
      <w:r>
        <w:rPr>
          <w:rFonts w:ascii="Times New Roman" w:eastAsia="楷体" w:hAnsi="Times New Roman" w:cs="Times New Roman" w:hint="default"/>
          <w:color w:val="auto"/>
          <w:sz w:val="24"/>
          <w:vertAlign w:val="subscript"/>
        </w:rPr>
        <w:t>2</w:t>
      </w:r>
      <w:r>
        <w:rPr>
          <w:rFonts w:ascii="Times New Roman" w:eastAsia="楷体" w:hAnsi="Times New Roman" w:cs="Times New Roman" w:hint="default"/>
          <w:color w:val="auto"/>
          <w:sz w:val="24"/>
        </w:rPr>
        <w:t>与孔隙特征的关系（T</w:t>
      </w:r>
      <w:r>
        <w:rPr>
          <w:rFonts w:ascii="Times New Roman" w:eastAsia="楷体" w:hAnsi="Times New Roman" w:cs="Times New Roman" w:hint="default"/>
          <w:color w:val="auto"/>
          <w:sz w:val="24"/>
          <w:vertAlign w:val="subscript"/>
        </w:rPr>
        <w:t>2</w:t>
      </w:r>
      <w:r>
        <w:rPr>
          <w:rFonts w:ascii="Times New Roman" w:eastAsia="楷体" w:hAnsi="Times New Roman" w:cs="Times New Roman" w:hint="default"/>
          <w:color w:val="auto"/>
          <w:sz w:val="24"/>
        </w:rPr>
        <w:t>&lt;1.5ms表示凝胶孔；1.5ms&lt;T</w:t>
      </w:r>
      <w:r>
        <w:rPr>
          <w:rFonts w:ascii="Times New Roman" w:eastAsia="楷体" w:hAnsi="Times New Roman" w:cs="Times New Roman" w:hint="default"/>
          <w:color w:val="auto"/>
          <w:sz w:val="24"/>
          <w:vertAlign w:val="subscript"/>
        </w:rPr>
        <w:t>2</w:t>
      </w:r>
      <w:r>
        <w:rPr>
          <w:rFonts w:eastAsia="楷体" w:cs="Times New Roman" w:hint="eastAsia"/>
          <w:color w:val="auto"/>
          <w:sz w:val="24"/>
          <w:lang w:val="en-US" w:eastAsia="zh-CN"/>
        </w:rPr>
        <w:t>&lt;</w:t>
      </w:r>
      <w:r>
        <w:rPr>
          <w:rFonts w:ascii="Times New Roman" w:eastAsia="楷体" w:hAnsi="Times New Roman" w:cs="Times New Roman" w:hint="default"/>
          <w:color w:val="auto"/>
          <w:sz w:val="24"/>
        </w:rPr>
        <w:t>7.2ms表示大孔隙体积），量化试样中水的分布状态和孔隙特征。评价水量分配对碱激发材料</w:t>
      </w:r>
      <w:r>
        <w:rPr>
          <w:rFonts w:eastAsia="楷体" w:cs="Times New Roman" w:hint="eastAsia"/>
          <w:color w:val="auto"/>
          <w:sz w:val="24"/>
          <w:lang w:val="en-US" w:eastAsia="zh-CN"/>
        </w:rPr>
        <w:t>电解质</w:t>
      </w:r>
      <w:r>
        <w:rPr>
          <w:rFonts w:ascii="Times New Roman" w:eastAsia="楷体" w:hAnsi="Times New Roman" w:cs="Times New Roman" w:hint="default"/>
          <w:color w:val="auto"/>
          <w:sz w:val="24"/>
        </w:rPr>
        <w:t>直流电阻率和电导率的影响。将包膜密封养护后的试样放入3L去离子水中真空饱水2h（假定真空饱水2h的状态为离子浸出试验的起始状态），取出后立即进行电阻值测量；然后将试样继续浸泡在原去离子水中进行离子浸出试验，将其密封在密闭塑料盒内，移至标准养护箱。离子浸出试验设定时间为0h、6h、12h、1d、3d、7d、14d和28d，用上海雷磁牌pH计（精确至0.001）直接测量浸出液pH值，计算浸出OH</w:t>
      </w:r>
      <w:r>
        <w:rPr>
          <w:rFonts w:ascii="Times New Roman" w:eastAsia="楷体" w:hAnsi="Times New Roman" w:cs="Times New Roman" w:hint="default"/>
          <w:color w:val="auto"/>
          <w:sz w:val="24"/>
          <w:vertAlign w:val="superscript"/>
        </w:rPr>
        <w:t>-</w:t>
      </w:r>
      <w:r>
        <w:rPr>
          <w:rFonts w:ascii="Times New Roman" w:eastAsia="楷体" w:hAnsi="Times New Roman" w:cs="Times New Roman" w:hint="default"/>
          <w:color w:val="auto"/>
          <w:sz w:val="24"/>
        </w:rPr>
        <w:t>浓度；通过电感耦合等离子体发射光谱法</w:t>
      </w:r>
      <w:r>
        <w:rPr>
          <w:rFonts w:eastAsia="楷体" w:cs="Times New Roman" w:hint="eastAsia"/>
          <w:color w:val="auto"/>
          <w:sz w:val="24"/>
          <w:lang w:eastAsia="zh-CN"/>
        </w:rPr>
        <w:t>（</w:t>
      </w:r>
      <w:r>
        <w:rPr>
          <w:rFonts w:eastAsia="楷体" w:cs="Times New Roman" w:hint="eastAsia"/>
          <w:color w:val="auto"/>
          <w:sz w:val="24"/>
          <w:lang w:val="en-US" w:eastAsia="zh-CN"/>
        </w:rPr>
        <w:t>ICP-AES</w:t>
      </w:r>
      <w:r>
        <w:rPr>
          <w:rFonts w:eastAsia="楷体" w:cs="Times New Roman" w:hint="eastAsia"/>
          <w:color w:val="auto"/>
          <w:sz w:val="24"/>
          <w:lang w:eastAsia="zh-CN"/>
        </w:rPr>
        <w:t>）</w:t>
      </w:r>
      <w:r>
        <w:rPr>
          <w:rFonts w:ascii="Times New Roman" w:eastAsia="楷体" w:hAnsi="Times New Roman" w:cs="Times New Roman" w:hint="default"/>
          <w:color w:val="auto"/>
          <w:sz w:val="24"/>
        </w:rPr>
        <w:t>测定浸出液中Na</w:t>
      </w:r>
      <w:r>
        <w:rPr>
          <w:rFonts w:ascii="Times New Roman" w:eastAsia="楷体" w:hAnsi="Times New Roman" w:cs="Times New Roman" w:hint="default"/>
          <w:color w:val="auto"/>
          <w:sz w:val="24"/>
          <w:vertAlign w:val="superscript"/>
        </w:rPr>
        <w:t>+</w:t>
      </w:r>
      <w:r>
        <w:rPr>
          <w:rFonts w:ascii="Times New Roman" w:eastAsia="楷体" w:hAnsi="Times New Roman" w:cs="Times New Roman" w:hint="default"/>
          <w:color w:val="auto"/>
          <w:sz w:val="24"/>
        </w:rPr>
        <w:t>、</w:t>
      </w:r>
      <w:r>
        <w:rPr>
          <w:rFonts w:eastAsia="楷体" w:cs="Times New Roman" w:hint="eastAsia"/>
          <w:color w:val="auto"/>
          <w:sz w:val="24"/>
          <w:lang w:val="en-US" w:eastAsia="zh-CN"/>
        </w:rPr>
        <w:t>K</w:t>
      </w:r>
      <w:r>
        <w:rPr>
          <w:rFonts w:eastAsia="楷体" w:cs="Times New Roman" w:hint="eastAsia"/>
          <w:color w:val="auto"/>
          <w:sz w:val="24"/>
          <w:vertAlign w:val="superscript"/>
          <w:lang w:val="en-US" w:eastAsia="zh-CN"/>
        </w:rPr>
        <w:t>+</w:t>
      </w:r>
      <w:r>
        <w:rPr>
          <w:rFonts w:eastAsia="楷体" w:cs="Times New Roman" w:hint="eastAsia"/>
          <w:color w:val="auto"/>
          <w:sz w:val="24"/>
          <w:lang w:val="en-US" w:eastAsia="zh-CN"/>
        </w:rPr>
        <w:t>、</w:t>
      </w:r>
      <w:r>
        <w:rPr>
          <w:rFonts w:ascii="Times New Roman" w:eastAsia="楷体" w:hAnsi="Times New Roman" w:cs="Times New Roman" w:hint="default"/>
          <w:color w:val="auto"/>
          <w:sz w:val="24"/>
        </w:rPr>
        <w:t>Ca</w:t>
      </w:r>
      <w:r>
        <w:rPr>
          <w:rFonts w:ascii="Times New Roman" w:eastAsia="楷体" w:hAnsi="Times New Roman" w:cs="Times New Roman" w:hint="default"/>
          <w:color w:val="auto"/>
          <w:sz w:val="24"/>
          <w:vertAlign w:val="superscript"/>
        </w:rPr>
        <w:t>2+</w:t>
      </w:r>
      <w:r>
        <w:rPr>
          <w:rFonts w:ascii="Times New Roman" w:eastAsia="楷体" w:hAnsi="Times New Roman" w:cs="Times New Roman" w:hint="default"/>
          <w:color w:val="auto"/>
          <w:sz w:val="24"/>
        </w:rPr>
        <w:t>和Mg</w:t>
      </w:r>
      <w:r>
        <w:rPr>
          <w:rFonts w:ascii="Times New Roman" w:eastAsia="楷体" w:hAnsi="Times New Roman" w:cs="Times New Roman" w:hint="default"/>
          <w:color w:val="auto"/>
          <w:sz w:val="24"/>
          <w:vertAlign w:val="superscript"/>
        </w:rPr>
        <w:t>2+</w:t>
      </w:r>
      <w:r>
        <w:rPr>
          <w:rFonts w:ascii="Times New Roman" w:eastAsia="楷体" w:hAnsi="Times New Roman" w:cs="Times New Roman" w:hint="default"/>
          <w:color w:val="auto"/>
          <w:sz w:val="24"/>
        </w:rPr>
        <w:t>等浓度。定量评价孔隙溶液中离子类型和离子浸出速率对导电性能的影响规律，</w:t>
      </w:r>
      <w:r>
        <w:rPr>
          <w:rFonts w:eastAsia="楷体" w:cs="Times New Roman" w:hint="eastAsia"/>
          <w:color w:val="auto"/>
          <w:sz w:val="24"/>
          <w:lang w:val="en-US" w:eastAsia="zh-CN"/>
        </w:rPr>
        <w:t>提出“孔隙-水-离子传输”多因素调控理论，深入揭示碱激发材料电解质在多因素耦合作用下的导电机制。</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eastAsia="楷体" w:cs="Times New Roman" w:hint="eastAsia"/>
          <w:b/>
          <w:bCs/>
          <w:color w:val="auto"/>
          <w:sz w:val="24"/>
          <w:szCs w:val="24"/>
          <w:lang w:val="en-US" w:eastAsia="zh-CN"/>
        </w:rPr>
      </w:pPr>
      <w:r>
        <w:rPr>
          <w:rFonts w:eastAsia="楷体" w:cs="Times New Roman" w:hint="eastAsia"/>
          <w:b/>
          <w:bCs/>
          <w:color w:val="auto"/>
          <w:sz w:val="24"/>
          <w:szCs w:val="24"/>
          <w:lang w:val="en-US" w:eastAsia="zh-CN"/>
        </w:rPr>
        <w:t>（2）</w:t>
      </w:r>
      <w:r>
        <w:rPr>
          <w:rFonts w:ascii="Times New Roman" w:eastAsia="楷体" w:hAnsi="Times New Roman" w:cs="Times New Roman" w:hint="default"/>
          <w:b/>
          <w:bCs/>
          <w:color w:val="auto"/>
          <w:sz w:val="24"/>
          <w:szCs w:val="24"/>
          <w:lang w:val="en-US" w:eastAsia="zh-CN"/>
        </w:rPr>
        <w:t>碱激发材料超级电容器的</w:t>
      </w:r>
      <w:r>
        <w:rPr>
          <w:rFonts w:eastAsia="楷体" w:cs="Times New Roman" w:hint="eastAsia"/>
          <w:b/>
          <w:bCs/>
          <w:color w:val="auto"/>
          <w:sz w:val="24"/>
          <w:szCs w:val="24"/>
          <w:lang w:val="en-US" w:eastAsia="zh-CN"/>
        </w:rPr>
        <w:t>性能评价</w:t>
      </w:r>
      <w:r>
        <w:rPr>
          <w:rFonts w:ascii="Times New Roman" w:eastAsia="楷体" w:hAnsi="Times New Roman" w:cs="Times New Roman" w:hint="default"/>
          <w:b/>
          <w:bCs/>
          <w:color w:val="auto"/>
          <w:sz w:val="24"/>
          <w:szCs w:val="24"/>
          <w:lang w:val="en-US" w:eastAsia="zh-CN"/>
        </w:rPr>
        <w:t>与储能</w:t>
      </w:r>
      <w:r>
        <w:rPr>
          <w:rFonts w:eastAsia="楷体" w:cs="Times New Roman" w:hint="eastAsia"/>
          <w:b/>
          <w:bCs/>
          <w:color w:val="auto"/>
          <w:sz w:val="24"/>
          <w:szCs w:val="24"/>
          <w:lang w:val="en-US" w:eastAsia="zh-CN"/>
        </w:rPr>
        <w:t>机理研究</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rPr>
          <w:rFonts w:eastAsia="楷体" w:hint="eastAsia"/>
          <w:color w:val="auto"/>
          <w:sz w:val="24"/>
          <w:szCs w:val="24"/>
          <w:lang w:val="en-US" w:eastAsia="zh-CN"/>
        </w:rPr>
      </w:pPr>
      <w:r>
        <w:rPr>
          <w:rFonts w:eastAsia="楷体" w:cs="Times New Roman" w:hint="eastAsia"/>
          <w:color w:val="auto"/>
          <w:kern w:val="2"/>
          <w:sz w:val="24"/>
          <w:szCs w:val="28"/>
          <w:lang w:val="en-US" w:eastAsia="zh-CN" w:bidi="ar-SA"/>
        </w:rPr>
        <w:t>研究体系与</w:t>
      </w:r>
      <w:r>
        <w:rPr>
          <w:rFonts w:eastAsia="楷体" w:cs="Times New Roman" w:hint="eastAsia"/>
          <w:b/>
          <w:bCs/>
          <w:color w:val="auto"/>
          <w:kern w:val="2"/>
          <w:sz w:val="24"/>
          <w:szCs w:val="28"/>
          <w:lang w:val="en-US" w:eastAsia="zh-CN" w:bidi="ar-SA"/>
        </w:rPr>
        <w:t>研究内容（1）</w:t>
      </w:r>
      <w:r>
        <w:rPr>
          <w:rFonts w:eastAsia="楷体" w:cs="Times New Roman" w:hint="eastAsia"/>
          <w:color w:val="auto"/>
          <w:kern w:val="2"/>
          <w:sz w:val="24"/>
          <w:szCs w:val="28"/>
          <w:lang w:val="en-US" w:eastAsia="zh-CN" w:bidi="ar-SA"/>
        </w:rPr>
        <w:t>相同，基于</w:t>
      </w:r>
      <w:r>
        <w:rPr>
          <w:rFonts w:eastAsia="楷体" w:cs="Times New Roman" w:hint="eastAsia"/>
          <w:b/>
          <w:bCs/>
          <w:color w:val="auto"/>
          <w:kern w:val="2"/>
          <w:sz w:val="24"/>
          <w:szCs w:val="28"/>
          <w:lang w:val="en-US" w:eastAsia="zh-CN" w:bidi="ar-SA"/>
        </w:rPr>
        <w:t>研究内容（1）</w:t>
      </w:r>
      <w:r>
        <w:rPr>
          <w:rFonts w:eastAsia="楷体" w:cs="Times New Roman" w:hint="eastAsia"/>
          <w:color w:val="auto"/>
          <w:kern w:val="2"/>
          <w:sz w:val="24"/>
          <w:szCs w:val="28"/>
          <w:lang w:val="en-US" w:eastAsia="zh-CN" w:bidi="ar-SA"/>
        </w:rPr>
        <w:t>的</w:t>
      </w:r>
      <w:r>
        <w:rPr>
          <w:rFonts w:ascii="Times New Roman" w:eastAsia="楷体" w:hAnsi="Times New Roman" w:cs="Times New Roman" w:hint="default"/>
          <w:i w:val="0"/>
          <w:iCs w:val="0"/>
          <w:caps w:val="0"/>
          <w:color w:val="auto"/>
          <w:spacing w:val="0"/>
          <w:sz w:val="24"/>
          <w:szCs w:val="24"/>
          <w:shd w:val="clear" w:color="auto" w:fill="FFFFFF"/>
          <w:lang w:val="en-US" w:eastAsia="zh-CN"/>
        </w:rPr>
        <w:t>导电性能测试选择</w:t>
      </w:r>
      <w:r>
        <w:rPr>
          <w:rFonts w:eastAsia="楷体" w:cs="Times New Roman" w:hint="eastAsia"/>
          <w:i w:val="0"/>
          <w:iCs w:val="0"/>
          <w:caps w:val="0"/>
          <w:color w:val="auto"/>
          <w:spacing w:val="0"/>
          <w:sz w:val="24"/>
          <w:szCs w:val="24"/>
          <w:shd w:val="clear" w:color="auto" w:fill="FFFFFF"/>
          <w:lang w:val="en-US" w:eastAsia="zh-CN"/>
        </w:rPr>
        <w:t>1种</w:t>
      </w:r>
      <w:r>
        <w:rPr>
          <w:rFonts w:ascii="Times New Roman" w:eastAsia="楷体" w:hAnsi="Times New Roman" w:cs="Times New Roman" w:hint="default"/>
          <w:i w:val="0"/>
          <w:iCs w:val="0"/>
          <w:caps w:val="0"/>
          <w:color w:val="auto"/>
          <w:spacing w:val="0"/>
          <w:sz w:val="24"/>
          <w:szCs w:val="24"/>
          <w:shd w:val="clear" w:color="auto" w:fill="FFFFFF"/>
          <w:lang w:val="en-US" w:eastAsia="zh-CN"/>
        </w:rPr>
        <w:t>阳离子类型碱激发剂</w:t>
      </w:r>
      <w:r>
        <w:rPr>
          <w:rFonts w:eastAsia="楷体" w:cs="Times New Roman" w:hint="eastAsia"/>
          <w:i w:val="0"/>
          <w:iCs w:val="0"/>
          <w:caps w:val="0"/>
          <w:color w:val="auto"/>
          <w:spacing w:val="0"/>
          <w:sz w:val="24"/>
          <w:szCs w:val="24"/>
          <w:shd w:val="clear" w:color="auto" w:fill="FFFFFF"/>
          <w:lang w:val="en-US" w:eastAsia="zh-CN"/>
        </w:rPr>
        <w:t>。</w:t>
      </w:r>
      <w:r>
        <w:rPr>
          <w:rFonts w:ascii="Times New Roman" w:eastAsia="楷体" w:hAnsi="Times New Roman" w:cs="Times New Roman" w:hint="default"/>
          <w:b/>
          <w:bCs/>
          <w:color w:val="auto"/>
          <w:sz w:val="24"/>
          <w:szCs w:val="24"/>
          <w:lang w:val="en-US" w:eastAsia="zh-CN"/>
        </w:rPr>
        <w:t>本研究内容的技术路线如图</w:t>
      </w:r>
      <w:r>
        <w:rPr>
          <w:rFonts w:eastAsia="楷体" w:cs="Times New Roman" w:hint="eastAsia"/>
          <w:b/>
          <w:bCs/>
          <w:color w:val="auto"/>
          <w:sz w:val="24"/>
          <w:szCs w:val="24"/>
          <w:lang w:val="en-US" w:eastAsia="zh-CN"/>
        </w:rPr>
        <w:t>5</w:t>
      </w:r>
      <w:r>
        <w:rPr>
          <w:rFonts w:ascii="Times New Roman" w:eastAsia="楷体" w:hAnsi="Times New Roman" w:cs="Times New Roman" w:hint="default"/>
          <w:b/>
          <w:bCs/>
          <w:color w:val="auto"/>
          <w:sz w:val="24"/>
          <w:szCs w:val="24"/>
          <w:lang w:val="en-US" w:eastAsia="zh-CN"/>
        </w:rPr>
        <w:t>所示</w:t>
      </w:r>
      <w:r>
        <w:rPr>
          <w:rFonts w:ascii="Times New Roman" w:eastAsia="楷体" w:hAnsi="Times New Roman" w:cs="Times New Roman" w:hint="default"/>
          <w:color w:val="auto"/>
          <w:sz w:val="24"/>
          <w:szCs w:val="24"/>
          <w:lang w:val="en-US" w:eastAsia="zh-CN"/>
        </w:rPr>
        <w:t>。</w:t>
      </w:r>
    </w:p>
    <w:p>
      <w:pPr>
        <w:spacing w:line="360" w:lineRule="auto"/>
        <w:jc w:val="center"/>
        <w:rPr>
          <w:rFonts w:eastAsia="楷体" w:hint="eastAsia"/>
          <w:color w:val="auto"/>
          <w:sz w:val="24"/>
          <w:szCs w:val="24"/>
          <w:lang w:val="en-US" w:eastAsia="zh-CN"/>
        </w:rPr>
      </w:pPr>
      <w:r>
        <w:rPr>
          <w:rFonts w:eastAsia="楷体" w:hint="eastAsia"/>
          <w:color w:val="auto"/>
          <w:sz w:val="24"/>
          <w:szCs w:val="24"/>
          <w:lang w:val="en-US" w:eastAsia="zh-CN"/>
        </w:rPr>
        <w:object>
          <v:shape id="_x0000_i1028" type="#_x0000_t75" style="width:387pt;height:405pt" o:oleicon="f" o:ole="" coordsize="21600,21600" o:preferrelative="t" filled="f" stroked="f">
            <v:imagedata r:id="rId12" o:title=""/>
            <o:lock v:ext="edit" aspectratio="f"/>
            <w10:anchorlock/>
          </v:shape>
          <o:OLEObject Type="Embed" ProgID="Visio.Drawing.15" ShapeID="_x0000_i1028" DrawAspect="Content" ObjectID="_1468075728" r:id="rId13"/>
        </w:object>
      </w: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eastAsia="楷体" w:hAnsi="Times New Roman" w:cs="Times New Roman" w:hint="default"/>
          <w:color w:val="auto"/>
          <w:sz w:val="24"/>
          <w:szCs w:val="24"/>
          <w:lang w:val="en-US" w:eastAsia="zh-CN"/>
        </w:rPr>
      </w:pPr>
      <w:r>
        <w:rPr>
          <w:rFonts w:eastAsia="楷体" w:hint="eastAsia"/>
          <w:b/>
          <w:bCs/>
          <w:color w:val="auto"/>
          <w:sz w:val="24"/>
          <w:szCs w:val="24"/>
          <w:lang w:val="en-US" w:eastAsia="zh-CN"/>
        </w:rPr>
        <w:t>图5</w:t>
      </w:r>
      <w:r>
        <w:rPr>
          <w:rFonts w:eastAsia="楷体" w:hint="eastAsia"/>
          <w:color w:val="auto"/>
          <w:sz w:val="24"/>
          <w:szCs w:val="24"/>
          <w:lang w:val="en-US" w:eastAsia="zh-CN"/>
        </w:rPr>
        <w:t xml:space="preserve"> </w:t>
      </w:r>
      <w:r>
        <w:rPr>
          <w:rFonts w:eastAsia="楷体" w:cs="Times New Roman" w:hint="default"/>
          <w:b w:val="0"/>
          <w:bCs w:val="0"/>
          <w:color w:val="auto"/>
          <w:sz w:val="24"/>
          <w:szCs w:val="24"/>
          <w:lang w:val="en-US" w:eastAsia="zh-CN"/>
        </w:rPr>
        <w:t>碱激发材料超级电容器的</w:t>
      </w:r>
      <w:r>
        <w:rPr>
          <w:rFonts w:eastAsia="楷体" w:cs="Times New Roman" w:hint="eastAsia"/>
          <w:b w:val="0"/>
          <w:bCs w:val="0"/>
          <w:color w:val="auto"/>
          <w:sz w:val="24"/>
          <w:szCs w:val="24"/>
          <w:lang w:val="en-US" w:eastAsia="zh-CN"/>
        </w:rPr>
        <w:t>性能评价</w:t>
      </w:r>
      <w:r>
        <w:rPr>
          <w:rFonts w:eastAsia="楷体" w:cs="Times New Roman" w:hint="default"/>
          <w:b w:val="0"/>
          <w:bCs w:val="0"/>
          <w:color w:val="auto"/>
          <w:sz w:val="24"/>
          <w:szCs w:val="24"/>
          <w:lang w:val="en-US" w:eastAsia="zh-CN"/>
        </w:rPr>
        <w:t>与储能</w:t>
      </w:r>
      <w:r>
        <w:rPr>
          <w:rFonts w:eastAsia="楷体" w:cs="Times New Roman" w:hint="eastAsia"/>
          <w:b w:val="0"/>
          <w:bCs w:val="0"/>
          <w:color w:val="auto"/>
          <w:sz w:val="24"/>
          <w:szCs w:val="24"/>
          <w:lang w:val="en-US" w:eastAsia="zh-CN"/>
        </w:rPr>
        <w:t>机理研究的技术路线图</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rPr>
          <w:rFonts w:eastAsia="楷体" w:cs="Times New Roman" w:hint="eastAsia"/>
          <w:color w:val="auto"/>
          <w:sz w:val="24"/>
          <w:szCs w:val="24"/>
          <w:lang w:val="en-US" w:eastAsia="zh-CN"/>
        </w:rPr>
      </w:pPr>
      <w:r>
        <w:rPr>
          <w:rFonts w:ascii="Times New Roman" w:eastAsia="楷体" w:hAnsi="Times New Roman" w:cs="Times New Roman" w:hint="default"/>
          <w:color w:val="auto"/>
          <w:kern w:val="2"/>
          <w:sz w:val="24"/>
          <w:szCs w:val="24"/>
          <w:lang w:val="en-US" w:eastAsia="zh-CN" w:bidi="ar-SA"/>
        </w:rPr>
        <w:t>将泡沫镍裁剪成2×2cm</w:t>
      </w:r>
      <w:r>
        <w:rPr>
          <w:rFonts w:ascii="Times New Roman" w:eastAsia="楷体" w:hAnsi="Times New Roman" w:cs="Times New Roman" w:hint="default"/>
          <w:color w:val="auto"/>
          <w:kern w:val="2"/>
          <w:sz w:val="24"/>
          <w:szCs w:val="24"/>
          <w:vertAlign w:val="superscript"/>
          <w:lang w:val="en-US" w:eastAsia="zh-CN" w:bidi="ar-SA"/>
        </w:rPr>
        <w:t>2</w:t>
      </w:r>
      <w:r>
        <w:rPr>
          <w:rFonts w:ascii="Times New Roman" w:eastAsia="楷体" w:hAnsi="Times New Roman" w:cs="Times New Roman" w:hint="default"/>
          <w:color w:val="auto"/>
          <w:kern w:val="2"/>
          <w:sz w:val="24"/>
          <w:szCs w:val="24"/>
          <w:lang w:val="en-US" w:eastAsia="zh-CN" w:bidi="ar-SA"/>
        </w:rPr>
        <w:t>大小，使用稀盐酸</w:t>
      </w:r>
      <w:r>
        <w:rPr>
          <w:rFonts w:ascii="Times New Roman" w:eastAsia="楷体" w:hAnsi="Times New Roman" w:cs="Times New Roman" w:hint="eastAsia"/>
          <w:color w:val="auto"/>
          <w:kern w:val="2"/>
          <w:sz w:val="24"/>
          <w:szCs w:val="24"/>
          <w:lang w:val="en-US" w:eastAsia="zh-CN" w:bidi="ar-SA"/>
        </w:rPr>
        <w:t>（</w:t>
      </w:r>
      <w:r>
        <w:rPr>
          <w:rFonts w:ascii="Times New Roman" w:eastAsia="楷体" w:hAnsi="Times New Roman" w:cs="Times New Roman" w:hint="default"/>
          <w:color w:val="auto"/>
          <w:kern w:val="2"/>
          <w:sz w:val="24"/>
          <w:szCs w:val="24"/>
          <w:lang w:val="en-US" w:eastAsia="zh-CN" w:bidi="ar-SA"/>
        </w:rPr>
        <w:t>HCl</w:t>
      </w:r>
      <w:r>
        <w:rPr>
          <w:rFonts w:ascii="Times New Roman" w:eastAsia="楷体" w:hAnsi="Times New Roman" w:cs="Times New Roman" w:hint="eastAsia"/>
          <w:color w:val="auto"/>
          <w:kern w:val="2"/>
          <w:sz w:val="24"/>
          <w:szCs w:val="24"/>
          <w:lang w:val="en-US" w:eastAsia="zh-CN" w:bidi="ar-SA"/>
        </w:rPr>
        <w:t>）</w:t>
      </w:r>
      <w:r>
        <w:rPr>
          <w:rFonts w:ascii="Times New Roman" w:eastAsia="楷体" w:hAnsi="Times New Roman" w:cs="Times New Roman" w:hint="default"/>
          <w:color w:val="auto"/>
          <w:kern w:val="2"/>
          <w:sz w:val="24"/>
          <w:szCs w:val="24"/>
          <w:lang w:val="en-US" w:eastAsia="zh-CN" w:bidi="ar-SA"/>
        </w:rPr>
        <w:t>超声清洗泡沫镍，然后用大量乙醇与去离子水反复冲洗，去除泡沫镍表面氧化物和有机污染物，待其干燥后使用。采用聚偏二氟乙烯</w:t>
      </w:r>
      <w:r>
        <w:rPr>
          <w:rFonts w:eastAsia="楷体" w:cs="Times New Roman" w:hint="eastAsia"/>
          <w:color w:val="auto"/>
          <w:kern w:val="2"/>
          <w:sz w:val="24"/>
          <w:szCs w:val="24"/>
          <w:lang w:val="en-US" w:eastAsia="zh-CN" w:bidi="ar-SA"/>
        </w:rPr>
        <w:t>（</w:t>
      </w:r>
      <w:r>
        <w:rPr>
          <w:rFonts w:ascii="Times New Roman" w:eastAsia="楷体" w:hAnsi="Times New Roman" w:cs="Times New Roman" w:hint="default"/>
          <w:color w:val="auto"/>
          <w:kern w:val="2"/>
          <w:sz w:val="24"/>
          <w:szCs w:val="24"/>
          <w:lang w:val="en-US" w:eastAsia="zh-CN" w:bidi="ar-SA"/>
        </w:rPr>
        <w:t>PVDF</w:t>
      </w:r>
      <w:r>
        <w:rPr>
          <w:rFonts w:eastAsia="楷体" w:cs="Times New Roman" w:hint="eastAsia"/>
          <w:color w:val="auto"/>
          <w:kern w:val="2"/>
          <w:sz w:val="24"/>
          <w:szCs w:val="24"/>
          <w:lang w:val="en-US" w:eastAsia="zh-CN" w:bidi="ar-SA"/>
        </w:rPr>
        <w:t>）</w:t>
      </w:r>
      <w:r>
        <w:rPr>
          <w:rFonts w:ascii="Times New Roman" w:eastAsia="楷体" w:hAnsi="Times New Roman" w:cs="Times New Roman" w:hint="default"/>
          <w:color w:val="auto"/>
          <w:kern w:val="2"/>
          <w:sz w:val="24"/>
          <w:szCs w:val="24"/>
          <w:lang w:val="en-US" w:eastAsia="zh-CN" w:bidi="ar-SA"/>
        </w:rPr>
        <w:t>作为粘合剂，N-甲基-吡咯烷酮</w:t>
      </w:r>
      <w:r>
        <w:rPr>
          <w:rFonts w:eastAsia="楷体" w:cs="Times New Roman" w:hint="eastAsia"/>
          <w:color w:val="auto"/>
          <w:kern w:val="2"/>
          <w:sz w:val="24"/>
          <w:szCs w:val="24"/>
          <w:lang w:val="en-US" w:eastAsia="zh-CN" w:bidi="ar-SA"/>
        </w:rPr>
        <w:t>（</w:t>
      </w:r>
      <w:r>
        <w:rPr>
          <w:rFonts w:ascii="Times New Roman" w:eastAsia="楷体" w:hAnsi="Times New Roman" w:cs="Times New Roman" w:hint="default"/>
          <w:color w:val="auto"/>
          <w:kern w:val="2"/>
          <w:sz w:val="24"/>
          <w:szCs w:val="24"/>
          <w:lang w:val="en-US" w:eastAsia="zh-CN" w:bidi="ar-SA"/>
        </w:rPr>
        <w:t>NMP</w:t>
      </w:r>
      <w:r>
        <w:rPr>
          <w:rFonts w:eastAsia="楷体" w:cs="Times New Roman" w:hint="eastAsia"/>
          <w:color w:val="auto"/>
          <w:kern w:val="2"/>
          <w:sz w:val="24"/>
          <w:szCs w:val="24"/>
          <w:lang w:val="en-US" w:eastAsia="zh-CN" w:bidi="ar-SA"/>
        </w:rPr>
        <w:t>）</w:t>
      </w:r>
      <w:r>
        <w:rPr>
          <w:rFonts w:ascii="Times New Roman" w:eastAsia="楷体" w:hAnsi="Times New Roman" w:cs="Times New Roman" w:hint="default"/>
          <w:color w:val="auto"/>
          <w:kern w:val="2"/>
          <w:sz w:val="24"/>
          <w:szCs w:val="24"/>
          <w:lang w:val="en-US" w:eastAsia="zh-CN" w:bidi="ar-SA"/>
        </w:rPr>
        <w:t>作为溶剂与活性炭混合形成均匀浆料，确保其负载稳定性。将浆料均匀地涂抹在泡沫镍上，于80℃真空干燥箱中干燥获得AC/Ni电极。</w:t>
      </w:r>
      <w:r>
        <w:rPr>
          <w:rFonts w:ascii="Times New Roman" w:eastAsia="楷体" w:hAnsi="Times New Roman" w:cs="Times New Roman" w:hint="default"/>
          <w:color w:val="auto"/>
          <w:kern w:val="2"/>
          <w:sz w:val="24"/>
          <w:szCs w:val="28"/>
          <w:lang w:val="en-US" w:eastAsia="zh-CN" w:bidi="ar-SA"/>
        </w:rPr>
        <w:t>以</w:t>
      </w:r>
      <w:r>
        <w:rPr>
          <w:rFonts w:ascii="Times New Roman" w:eastAsia="楷体" w:hAnsi="Times New Roman" w:cs="Times New Roman" w:hint="eastAsia"/>
          <w:color w:val="auto"/>
          <w:sz w:val="24"/>
          <w:szCs w:val="24"/>
          <w:lang w:val="en-US" w:eastAsia="zh-CN"/>
        </w:rPr>
        <w:t>碱激发材料电解质</w:t>
      </w:r>
      <w:r>
        <w:rPr>
          <w:rFonts w:ascii="Times New Roman" w:eastAsia="楷体" w:hAnsi="Times New Roman" w:cs="Times New Roman" w:hint="default"/>
          <w:color w:val="auto"/>
          <w:sz w:val="24"/>
          <w:szCs w:val="24"/>
          <w:lang w:val="en-US" w:eastAsia="zh-CN"/>
        </w:rPr>
        <w:t>作负载支撑物和隔膜，采用对称电极制备</w:t>
      </w:r>
      <w:r>
        <w:rPr>
          <w:rFonts w:ascii="楷体" w:eastAsia="楷体" w:hAnsi="楷体" w:cs="楷体" w:hint="eastAsia"/>
          <w:color w:val="auto"/>
          <w:sz w:val="24"/>
          <w:szCs w:val="24"/>
          <w:lang w:val="en-US" w:eastAsia="zh-CN"/>
        </w:rPr>
        <w:t>“三明治”</w:t>
      </w:r>
      <w:r>
        <w:rPr>
          <w:rFonts w:ascii="Times New Roman" w:eastAsia="楷体" w:hAnsi="Times New Roman" w:cs="Times New Roman" w:hint="default"/>
          <w:color w:val="auto"/>
          <w:sz w:val="24"/>
          <w:szCs w:val="24"/>
          <w:lang w:val="en-US" w:eastAsia="zh-CN"/>
        </w:rPr>
        <w:t>结构的超级电容器。选用电化学工作站（</w:t>
      </w:r>
      <w:bookmarkStart w:id="116" w:name="OLE_LINK38"/>
      <w:r>
        <w:rPr>
          <w:rFonts w:ascii="Times New Roman" w:eastAsia="楷体" w:hAnsi="Times New Roman" w:cs="Times New Roman" w:hint="default"/>
          <w:color w:val="auto"/>
          <w:sz w:val="24"/>
          <w:szCs w:val="24"/>
          <w:lang w:val="en-US" w:eastAsia="zh-CN"/>
        </w:rPr>
        <w:t>CHI760E</w:t>
      </w:r>
      <w:bookmarkEnd w:id="116"/>
      <w:r>
        <w:rPr>
          <w:rFonts w:ascii="Times New Roman" w:eastAsia="楷体" w:hAnsi="Times New Roman" w:cs="Times New Roman" w:hint="default"/>
          <w:color w:val="auto"/>
          <w:sz w:val="24"/>
          <w:szCs w:val="24"/>
          <w:lang w:val="en-US" w:eastAsia="zh-CN"/>
        </w:rPr>
        <w:t>）进行电化学阻抗谱、循环伏安和恒流充放电测试</w:t>
      </w:r>
      <w:r>
        <w:rPr>
          <w:rFonts w:eastAsia="楷体" w:cs="Times New Roman" w:hint="eastAsia"/>
          <w:color w:val="auto"/>
          <w:sz w:val="24"/>
          <w:szCs w:val="24"/>
          <w:lang w:val="en-US" w:eastAsia="zh-CN"/>
        </w:rPr>
        <w:t>，如图</w:t>
      </w:r>
      <w:r>
        <w:rPr>
          <w:rFonts w:ascii="Times New Roman" w:eastAsia="楷体" w:hAnsi="Times New Roman" w:cs="Times New Roman" w:hint="default"/>
          <w:color w:val="auto"/>
          <w:sz w:val="24"/>
          <w:szCs w:val="24"/>
          <w:lang w:val="en-US" w:eastAsia="zh-CN"/>
        </w:rPr>
        <w:t>6</w:t>
      </w:r>
      <w:r>
        <w:rPr>
          <w:rFonts w:eastAsia="楷体" w:cs="Times New Roman" w:hint="eastAsia"/>
          <w:color w:val="auto"/>
          <w:sz w:val="24"/>
          <w:szCs w:val="24"/>
          <w:lang w:val="en-US" w:eastAsia="zh-CN"/>
        </w:rPr>
        <w:t>所示。</w:t>
      </w:r>
      <w:r>
        <w:rPr>
          <w:rFonts w:eastAsia="楷体" w:cs="Times New Roman" w:hint="eastAsia"/>
          <w:i w:val="0"/>
          <w:iCs w:val="0"/>
          <w:caps w:val="0"/>
          <w:color w:val="auto"/>
          <w:spacing w:val="0"/>
          <w:sz w:val="24"/>
          <w:szCs w:val="24"/>
          <w:shd w:val="clear" w:color="auto" w:fill="FFFFFF"/>
          <w:lang w:val="en-US" w:eastAsia="zh-CN"/>
        </w:rPr>
        <w:t>测试超级电容器的</w:t>
      </w:r>
      <w:r>
        <w:rPr>
          <w:rFonts w:ascii="Times New Roman" w:eastAsia="楷体" w:hAnsi="Times New Roman" w:cs="Times New Roman" w:hint="default"/>
          <w:color w:val="auto"/>
          <w:sz w:val="24"/>
          <w:szCs w:val="24"/>
          <w:lang w:val="en-US" w:eastAsia="zh-CN"/>
        </w:rPr>
        <w:t>电化学阻抗谱、循环伏安</w:t>
      </w:r>
      <w:r>
        <w:rPr>
          <w:rFonts w:eastAsia="楷体" w:cs="Times New Roman" w:hint="eastAsia"/>
          <w:color w:val="auto"/>
          <w:sz w:val="24"/>
          <w:szCs w:val="24"/>
          <w:lang w:val="en-US" w:eastAsia="zh-CN"/>
        </w:rPr>
        <w:t>曲线</w:t>
      </w:r>
      <w:r>
        <w:rPr>
          <w:rFonts w:ascii="Times New Roman" w:eastAsia="楷体" w:hAnsi="Times New Roman" w:cs="Times New Roman" w:hint="default"/>
          <w:color w:val="auto"/>
          <w:sz w:val="24"/>
          <w:szCs w:val="24"/>
          <w:lang w:val="en-US" w:eastAsia="zh-CN"/>
        </w:rPr>
        <w:t>和恒流充放电</w:t>
      </w:r>
      <w:r>
        <w:rPr>
          <w:rFonts w:eastAsia="楷体" w:cs="Times New Roman" w:hint="eastAsia"/>
          <w:color w:val="auto"/>
          <w:sz w:val="24"/>
          <w:szCs w:val="24"/>
          <w:lang w:val="en-US" w:eastAsia="zh-CN"/>
        </w:rPr>
        <w:t>曲线，</w:t>
      </w:r>
      <w:r>
        <w:rPr>
          <w:rFonts w:ascii="Times New Roman" w:eastAsia="楷体" w:hAnsi="Times New Roman" w:cs="Times New Roman" w:hint="default"/>
          <w:color w:val="auto"/>
          <w:sz w:val="24"/>
          <w:szCs w:val="24"/>
          <w:lang w:val="en-US" w:eastAsia="zh-CN"/>
        </w:rPr>
        <w:t>记录电势-电流密度之间的关系，</w:t>
      </w:r>
      <w:r>
        <w:rPr>
          <w:rFonts w:eastAsia="楷体" w:cs="Times New Roman" w:hint="eastAsia"/>
          <w:color w:val="auto"/>
          <w:sz w:val="24"/>
          <w:szCs w:val="24"/>
          <w:lang w:val="en-US" w:eastAsia="zh-CN"/>
        </w:rPr>
        <w:t>获得双层电容器的交流阻抗、电容器容量、能量密度、功率密度和</w:t>
      </w:r>
      <w:r>
        <w:rPr>
          <w:rFonts w:ascii="Times New Roman" w:eastAsia="楷体" w:hAnsi="Times New Roman" w:cs="Times New Roman" w:hint="default"/>
          <w:color w:val="auto"/>
          <w:sz w:val="24"/>
          <w:szCs w:val="24"/>
          <w:lang w:val="en-US" w:eastAsia="zh-CN"/>
        </w:rPr>
        <w:t>充放电行为</w:t>
      </w:r>
      <w:r>
        <w:rPr>
          <w:rFonts w:eastAsia="楷体" w:cs="Times New Roman" w:hint="eastAsia"/>
          <w:color w:val="auto"/>
          <w:sz w:val="24"/>
          <w:szCs w:val="24"/>
          <w:lang w:val="en-US" w:eastAsia="zh-CN"/>
        </w:rPr>
        <w:t>等关键指标，评价碱激发材料超级电容器的电荷存储能力、能量转换效率和循环稳定性等。评价碱激发材料超级电容器的电荷存储能力、能量转换效率和循环稳定性等。</w:t>
      </w:r>
    </w:p>
    <w:p>
      <w:pPr>
        <w:spacing w:line="360" w:lineRule="auto"/>
        <w:jc w:val="center"/>
        <w:rPr>
          <w:rFonts w:eastAsia="楷体" w:hint="eastAsia"/>
          <w:color w:val="auto"/>
          <w:sz w:val="24"/>
          <w:szCs w:val="24"/>
          <w:lang w:val="en-US" w:eastAsia="zh-CN"/>
        </w:rPr>
      </w:pPr>
      <w:r>
        <w:rPr>
          <w:rFonts w:eastAsia="楷体"/>
          <w:color w:val="auto"/>
          <w:sz w:val="24"/>
          <w:szCs w:val="24"/>
        </w:rPr>
        <w:drawing>
          <wp:inline distT="0" distB="0" distL="0" distR="0">
            <wp:extent cx="4180205" cy="1480185"/>
            <wp:effectExtent l="0" t="0" r="10795" b="5715"/>
            <wp:docPr id="11848258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52988" name="图片 2"/>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a:xfrm>
                      <a:off x="0" y="0"/>
                      <a:ext cx="4180205" cy="148018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eastAsia="楷体" w:cs="Times New Roman" w:hint="default"/>
          <w:color w:val="auto"/>
          <w:sz w:val="24"/>
          <w:szCs w:val="24"/>
          <w:lang w:val="en-US" w:eastAsia="zh-CN"/>
        </w:rPr>
      </w:pPr>
      <w:r>
        <w:rPr>
          <w:rFonts w:eastAsia="楷体" w:hint="eastAsia"/>
          <w:b/>
          <w:bCs/>
          <w:color w:val="auto"/>
          <w:sz w:val="24"/>
          <w:szCs w:val="24"/>
          <w:lang w:val="en-US" w:eastAsia="zh-CN"/>
        </w:rPr>
        <w:t>图6</w:t>
      </w:r>
      <w:r>
        <w:rPr>
          <w:rFonts w:eastAsia="楷体" w:hint="eastAsia"/>
          <w:color w:val="auto"/>
          <w:sz w:val="24"/>
          <w:szCs w:val="24"/>
          <w:lang w:val="en-US" w:eastAsia="zh-CN"/>
        </w:rPr>
        <w:t xml:space="preserve"> 碱激发材料超级电容器的电化学性能测试</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ascii="Times New Roman" w:eastAsia="楷体" w:hAnsi="Times New Roman" w:cs="Times New Roman" w:hint="default"/>
          <w:color w:val="auto"/>
          <w:sz w:val="24"/>
          <w:szCs w:val="24"/>
          <w:lang w:val="en-US" w:eastAsia="zh-CN"/>
        </w:rPr>
      </w:pPr>
      <w:r>
        <w:rPr>
          <w:rFonts w:ascii="Times New Roman" w:eastAsia="楷体" w:hAnsi="Times New Roman" w:cs="Times New Roman" w:hint="default"/>
          <w:color w:val="auto"/>
          <w:sz w:val="24"/>
          <w:szCs w:val="24"/>
          <w:lang w:val="en-US" w:eastAsia="zh-CN"/>
        </w:rPr>
        <w:t>建筑材料多在受荷载状态下使用，应力作用下的材料变形、微裂纹、电极-电解质材料相互作用等均会影响电容器的电化学性能，从而影响其储能性能、循环稳定和使用寿命。基于此，开展受荷状态（施加平均应力的15%、30%和50%的荷载）下碱激发材料超级电容器的电化学特性（电化学阻抗谱、循环伏安曲线和恒流充放电曲线），评价受荷状态下超级电容器的电化学响应特性。</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ascii="Times New Roman" w:eastAsia="楷体" w:hAnsi="Times New Roman" w:cs="Times New Roman" w:hint="default"/>
          <w:color w:val="auto"/>
          <w:sz w:val="24"/>
          <w:szCs w:val="24"/>
          <w:lang w:val="en-US" w:eastAsia="zh-CN"/>
        </w:rPr>
      </w:pPr>
      <w:r>
        <w:rPr>
          <w:rFonts w:ascii="Times New Roman" w:eastAsia="楷体" w:hAnsi="Times New Roman" w:cs="Times New Roman" w:hint="default"/>
          <w:color w:val="auto"/>
          <w:sz w:val="24"/>
          <w:szCs w:val="24"/>
          <w:lang w:val="en-US" w:eastAsia="zh-CN"/>
        </w:rPr>
        <w:t>水化产物测试采用先进的测试方法：通过XRD测定水化产物的物相，且通过XRD Rietveld精修定量分析测试试样的物相组成、含量和结晶度等；通过热重分析（TG-DTG）测试水化产物的结合水量；通过傅里叶红外光谱（FT-IR）、Si谱固体核磁（</w:t>
      </w:r>
      <w:r>
        <w:rPr>
          <w:rFonts w:ascii="Times New Roman" w:eastAsia="楷体" w:hAnsi="Times New Roman" w:cs="Times New Roman" w:hint="default"/>
          <w:color w:val="auto"/>
          <w:sz w:val="24"/>
          <w:szCs w:val="24"/>
          <w:vertAlign w:val="superscript"/>
          <w:lang w:val="en-US" w:eastAsia="zh-CN"/>
        </w:rPr>
        <w:t>29</w:t>
      </w:r>
      <w:r>
        <w:rPr>
          <w:rFonts w:ascii="Times New Roman" w:eastAsia="楷体" w:hAnsi="Times New Roman" w:cs="Times New Roman" w:hint="default"/>
          <w:color w:val="auto"/>
          <w:sz w:val="24"/>
          <w:szCs w:val="24"/>
          <w:lang w:val="en-US" w:eastAsia="zh-CN"/>
        </w:rPr>
        <w:t>Si MAS-NMR）和Peakfit反褶积计算测定反应产物中四面体[SiO4]和[AlO4]的聚合度，计算凝胶产物的平均链长。微观/细观孔隙结构特征测试方法与</w:t>
      </w:r>
      <w:r>
        <w:rPr>
          <w:rFonts w:ascii="Times New Roman" w:eastAsia="楷体" w:hAnsi="Times New Roman" w:cs="Times New Roman" w:hint="default"/>
          <w:b/>
          <w:bCs/>
          <w:color w:val="auto"/>
          <w:sz w:val="24"/>
          <w:szCs w:val="24"/>
          <w:lang w:val="en-US" w:eastAsia="zh-CN"/>
        </w:rPr>
        <w:t>研究内容（1）</w:t>
      </w:r>
      <w:r>
        <w:rPr>
          <w:rFonts w:ascii="Times New Roman" w:eastAsia="楷体" w:hAnsi="Times New Roman" w:cs="Times New Roman" w:hint="default"/>
          <w:color w:val="auto"/>
          <w:sz w:val="24"/>
          <w:szCs w:val="24"/>
          <w:lang w:val="en-US" w:eastAsia="zh-CN"/>
        </w:rPr>
        <w:t>完全相同。建立</w:t>
      </w:r>
      <w:r>
        <w:rPr>
          <w:rFonts w:ascii="楷体" w:eastAsia="楷体" w:hAnsi="楷体" w:cs="楷体" w:hint="eastAsia"/>
          <w:color w:val="auto"/>
          <w:sz w:val="24"/>
          <w:szCs w:val="24"/>
          <w:lang w:val="en-US" w:eastAsia="zh-CN"/>
        </w:rPr>
        <w:t>“</w:t>
      </w:r>
      <w:r>
        <w:rPr>
          <w:rFonts w:ascii="Times New Roman" w:eastAsia="楷体" w:hAnsi="Times New Roman" w:cs="Times New Roman" w:hint="default"/>
          <w:color w:val="auto"/>
          <w:sz w:val="24"/>
          <w:szCs w:val="24"/>
          <w:lang w:val="en-US" w:eastAsia="zh-CN"/>
        </w:rPr>
        <w:t>水化产物-孔隙结构-电化学性能</w:t>
      </w:r>
      <w:r>
        <w:rPr>
          <w:rFonts w:ascii="楷体" w:eastAsia="楷体" w:hAnsi="楷体" w:cs="楷体" w:hint="eastAsia"/>
          <w:color w:val="auto"/>
          <w:sz w:val="24"/>
          <w:szCs w:val="24"/>
          <w:lang w:val="en-US" w:eastAsia="zh-CN"/>
        </w:rPr>
        <w:t>”</w:t>
      </w:r>
      <w:r>
        <w:rPr>
          <w:rFonts w:ascii="Times New Roman" w:eastAsia="楷体" w:hAnsi="Times New Roman" w:cs="Times New Roman" w:hint="default"/>
          <w:color w:val="auto"/>
          <w:sz w:val="24"/>
          <w:szCs w:val="24"/>
          <w:lang w:val="en-US" w:eastAsia="zh-CN"/>
        </w:rPr>
        <w:t>的定量模型。结合</w:t>
      </w:r>
      <w:r>
        <w:rPr>
          <w:rFonts w:ascii="Times New Roman" w:eastAsia="楷体" w:hAnsi="Times New Roman" w:cs="Times New Roman" w:hint="default"/>
          <w:b/>
          <w:bCs/>
          <w:color w:val="auto"/>
          <w:sz w:val="24"/>
          <w:szCs w:val="24"/>
          <w:lang w:val="en-US" w:eastAsia="zh-CN"/>
        </w:rPr>
        <w:t>研究内容（1）</w:t>
      </w:r>
      <w:r>
        <w:rPr>
          <w:rFonts w:ascii="Times New Roman" w:eastAsia="楷体" w:hAnsi="Times New Roman" w:cs="Times New Roman" w:hint="default"/>
          <w:color w:val="auto"/>
          <w:sz w:val="24"/>
          <w:szCs w:val="24"/>
          <w:lang w:val="en-US" w:eastAsia="zh-CN"/>
        </w:rPr>
        <w:t>，厘清影响碱激发材料超级电容器性能的关键因素，探明离子在电极与电解质内的传输路径和动力学过程，深入揭示碱激发材料超级电容器的储能机理。</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rPr>
          <w:rFonts w:ascii="Times New Roman" w:eastAsia="楷体" w:hAnsi="Times New Roman" w:cs="Times New Roman" w:hint="default"/>
          <w:color w:val="auto"/>
          <w:sz w:val="24"/>
          <w:szCs w:val="24"/>
          <w:lang w:val="en-US" w:eastAsia="zh-CN"/>
        </w:rPr>
      </w:pPr>
      <w:r>
        <w:rPr>
          <w:rFonts w:ascii="Times New Roman" w:eastAsia="楷体" w:hAnsi="Times New Roman" w:cs="Times New Roman" w:hint="default"/>
          <w:b/>
          <w:bCs/>
          <w:color w:val="auto"/>
          <w:sz w:val="24"/>
          <w:szCs w:val="24"/>
          <w:lang w:val="en-US" w:eastAsia="zh-CN"/>
        </w:rPr>
        <w:t>（3）碱激发材料超级电容器长期稳定性与性能调控研究</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ascii="Times New Roman" w:eastAsia="楷体" w:hAnsi="Times New Roman" w:cs="Times New Roman" w:hint="default"/>
          <w:color w:val="auto"/>
          <w:sz w:val="24"/>
          <w:szCs w:val="24"/>
          <w:lang w:val="en-US" w:eastAsia="zh-CN"/>
        </w:rPr>
      </w:pPr>
      <w:r>
        <w:rPr>
          <w:rFonts w:ascii="Times New Roman" w:eastAsia="楷体" w:hAnsi="Times New Roman" w:cs="Times New Roman" w:hint="default"/>
          <w:color w:val="auto"/>
          <w:sz w:val="24"/>
          <w:szCs w:val="24"/>
          <w:lang w:val="en-US" w:eastAsia="zh-CN"/>
        </w:rPr>
        <w:t>研究体系与</w:t>
      </w:r>
      <w:r>
        <w:rPr>
          <w:rFonts w:ascii="Times New Roman" w:eastAsia="楷体" w:hAnsi="Times New Roman" w:cs="Times New Roman" w:hint="default"/>
          <w:b/>
          <w:bCs/>
          <w:color w:val="auto"/>
          <w:sz w:val="24"/>
          <w:szCs w:val="24"/>
          <w:lang w:val="en-US" w:eastAsia="zh-CN"/>
        </w:rPr>
        <w:t>研究内容（2）</w:t>
      </w:r>
      <w:r>
        <w:rPr>
          <w:rFonts w:ascii="Times New Roman" w:eastAsia="楷体" w:hAnsi="Times New Roman" w:cs="Times New Roman" w:hint="default"/>
          <w:color w:val="auto"/>
          <w:sz w:val="24"/>
          <w:szCs w:val="24"/>
          <w:lang w:val="en-US" w:eastAsia="zh-CN"/>
        </w:rPr>
        <w:t>相同。本研究内容的技术路线如图</w:t>
      </w:r>
      <w:r>
        <w:rPr>
          <w:rFonts w:eastAsia="楷体" w:cs="Times New Roman" w:hint="eastAsia"/>
          <w:color w:val="auto"/>
          <w:sz w:val="24"/>
          <w:szCs w:val="24"/>
          <w:lang w:val="en-US" w:eastAsia="zh-CN"/>
        </w:rPr>
        <w:t>7</w:t>
      </w:r>
      <w:r>
        <w:rPr>
          <w:rFonts w:ascii="Times New Roman" w:eastAsia="楷体" w:hAnsi="Times New Roman" w:cs="Times New Roman" w:hint="default"/>
          <w:color w:val="auto"/>
          <w:sz w:val="24"/>
          <w:szCs w:val="24"/>
          <w:lang w:val="en-US" w:eastAsia="zh-CN"/>
        </w:rPr>
        <w:t>所示。超级电容器作为一种新型能源存储装置，长期稳定性是提升市场竞争力的重要指标。基于</w:t>
      </w:r>
      <w:r>
        <w:rPr>
          <w:rFonts w:ascii="Times New Roman" w:eastAsia="楷体" w:hAnsi="Times New Roman" w:cs="Times New Roman" w:hint="default"/>
          <w:b/>
          <w:bCs/>
          <w:color w:val="auto"/>
          <w:sz w:val="24"/>
          <w:szCs w:val="24"/>
          <w:lang w:val="en-US" w:eastAsia="zh-CN"/>
        </w:rPr>
        <w:t>研究内容（2）</w:t>
      </w:r>
      <w:r>
        <w:rPr>
          <w:rFonts w:ascii="Times New Roman" w:eastAsia="楷体" w:hAnsi="Times New Roman" w:cs="Times New Roman" w:hint="default"/>
          <w:color w:val="auto"/>
          <w:sz w:val="24"/>
          <w:szCs w:val="24"/>
          <w:lang w:val="en-US" w:eastAsia="zh-CN"/>
        </w:rPr>
        <w:t>中电化学性能较好的3-5组超级电容器作为测试样品，开展长时间充放电循环测试，观察并记录超级电容器在持续工作过程中的性能变化，包括内阻、电容量等关键指标，以及可能出现的故障模式，评估超级电容器在长时间工作条件下的稳定性和可靠性。</w:t>
      </w:r>
    </w:p>
    <w:p>
      <w:pPr>
        <w:spacing w:line="360" w:lineRule="auto"/>
        <w:jc w:val="center"/>
        <w:rPr>
          <w:rFonts w:ascii="Times New Roman" w:eastAsia="楷体" w:hAnsi="Times New Roman" w:cs="Times New Roman" w:hint="default"/>
          <w:color w:val="auto"/>
          <w:sz w:val="24"/>
          <w:szCs w:val="24"/>
          <w:lang w:val="en-US" w:eastAsia="zh-CN"/>
        </w:rPr>
      </w:pPr>
      <w:r>
        <w:rPr>
          <w:rFonts w:ascii="Times New Roman" w:eastAsia="楷体" w:hAnsi="Times New Roman" w:cs="Times New Roman" w:hint="default"/>
          <w:color w:val="auto"/>
          <w:sz w:val="24"/>
          <w:szCs w:val="24"/>
          <w:lang w:val="en-US" w:eastAsia="zh-CN"/>
        </w:rPr>
        <w:object>
          <v:shape id="_x0000_i1029" type="#_x0000_t75" style="width:442.5pt;height:436.5pt" o:oleicon="f" o:ole="" coordsize="21600,21600" o:preferrelative="t" filled="f" stroked="f">
            <v:imagedata r:id="rId15" o:title=""/>
            <o:lock v:ext="edit" aspectratio="f"/>
            <w10:anchorlock/>
          </v:shape>
          <o:OLEObject Type="Embed" ProgID="Visio.Drawing.15" ShapeID="_x0000_i1029" DrawAspect="Content" ObjectID="_1468075729" r:id="rId16"/>
        </w:object>
      </w: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eastAsia="楷体" w:hAnsi="Times New Roman" w:cs="Times New Roman" w:hint="default"/>
          <w:color w:val="auto"/>
          <w:sz w:val="24"/>
          <w:szCs w:val="24"/>
          <w:lang w:val="en-US" w:eastAsia="zh-CN"/>
        </w:rPr>
      </w:pPr>
      <w:r>
        <w:rPr>
          <w:rFonts w:eastAsia="楷体" w:cs="Times New Roman" w:hint="eastAsia"/>
          <w:b/>
          <w:bCs/>
          <w:color w:val="auto"/>
          <w:sz w:val="24"/>
          <w:szCs w:val="24"/>
          <w:lang w:val="en-US" w:eastAsia="zh-CN"/>
        </w:rPr>
        <w:t>图7</w:t>
      </w:r>
      <w:r>
        <w:rPr>
          <w:rFonts w:eastAsia="楷体" w:cs="Times New Roman" w:hint="eastAsia"/>
          <w:color w:val="auto"/>
          <w:sz w:val="24"/>
          <w:szCs w:val="24"/>
          <w:lang w:val="en-US" w:eastAsia="zh-CN"/>
        </w:rPr>
        <w:t xml:space="preserve"> 碱激发材料超级电容器长期稳定性与性能调控研究的技术路线图</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ascii="Times New Roman" w:eastAsia="楷体" w:hAnsi="Times New Roman" w:cs="Times New Roman" w:hint="default"/>
          <w:color w:val="auto"/>
          <w:sz w:val="24"/>
          <w:szCs w:val="24"/>
          <w:lang w:val="en-US" w:eastAsia="zh-CN"/>
        </w:rPr>
      </w:pPr>
      <w:r>
        <w:rPr>
          <w:rFonts w:ascii="Times New Roman" w:eastAsia="楷体" w:hAnsi="Times New Roman" w:cs="Times New Roman" w:hint="default"/>
          <w:color w:val="auto"/>
          <w:sz w:val="24"/>
          <w:szCs w:val="24"/>
          <w:lang w:val="en-US" w:eastAsia="zh-CN"/>
        </w:rPr>
        <w:t>长时间充放电过程中，电极-电解质界面和电解质基体均会发生变化，选定循环次数0次、1000次、2000次、3000次、5000次和10000次循环（根据实际承受循环次数，可能会调整），开展电极-电解质界面化学分析和电解质的微观/细观结构表征测试。采用时间飞行二次离子质谱仪测试碱激发材料电解质对AC/Ni电极材料的腐蚀产物（包括Ni</w:t>
      </w:r>
      <w:r>
        <w:rPr>
          <w:rFonts w:eastAsia="楷体" w:cs="Times New Roman" w:hint="eastAsia"/>
          <w:color w:val="auto"/>
          <w:sz w:val="24"/>
          <w:szCs w:val="24"/>
          <w:lang w:val="en-US" w:eastAsia="zh-CN"/>
        </w:rPr>
        <w:t>(</w:t>
      </w:r>
      <w:r>
        <w:rPr>
          <w:rFonts w:ascii="Times New Roman" w:eastAsia="楷体" w:hAnsi="Times New Roman" w:cs="Times New Roman" w:hint="default"/>
          <w:color w:val="auto"/>
          <w:sz w:val="24"/>
          <w:szCs w:val="24"/>
          <w:lang w:val="en-US" w:eastAsia="zh-CN"/>
        </w:rPr>
        <w:t>OH</w:t>
      </w:r>
      <w:r>
        <w:rPr>
          <w:rFonts w:eastAsia="楷体" w:cs="Times New Roman" w:hint="eastAsia"/>
          <w:color w:val="auto"/>
          <w:sz w:val="24"/>
          <w:szCs w:val="24"/>
          <w:lang w:val="en-US" w:eastAsia="zh-CN"/>
        </w:rPr>
        <w:t>)</w:t>
      </w:r>
      <w:r>
        <w:rPr>
          <w:rFonts w:ascii="Times New Roman" w:eastAsia="楷体" w:hAnsi="Times New Roman" w:cs="Times New Roman" w:hint="default"/>
          <w:color w:val="auto"/>
          <w:sz w:val="24"/>
          <w:szCs w:val="24"/>
          <w:vertAlign w:val="subscript"/>
          <w:lang w:val="en-US" w:eastAsia="zh-CN"/>
        </w:rPr>
        <w:t>2</w:t>
      </w:r>
      <w:r>
        <w:rPr>
          <w:rFonts w:ascii="Times New Roman" w:eastAsia="楷体" w:hAnsi="Times New Roman" w:cs="Times New Roman" w:hint="default"/>
          <w:color w:val="auto"/>
          <w:sz w:val="24"/>
          <w:szCs w:val="24"/>
          <w:lang w:val="en-US" w:eastAsia="zh-CN"/>
        </w:rPr>
        <w:t>和硅酸盐沉积等）；采用拉曼光谱仪测试AC/Ni基体结构演变，分析循环过程中AC石墨化程度变化和Ni基体氧化变化；采用扫描电镜-能谱（SEN-EDS）分析电极-电解质的界面微观形貌和元素分布。电解质微观结构变化和微观/细观孔隙结构变化需要的测试方法（包括XRD、TG-DTG、</w:t>
      </w:r>
      <w:r>
        <w:rPr>
          <w:rFonts w:ascii="Times New Roman" w:eastAsia="楷体" w:hAnsi="Times New Roman" w:cs="Times New Roman" w:hint="default"/>
          <w:color w:val="auto"/>
          <w:sz w:val="24"/>
          <w:szCs w:val="24"/>
          <w:vertAlign w:val="superscript"/>
          <w:lang w:val="en-US" w:eastAsia="zh-CN"/>
        </w:rPr>
        <w:t>29</w:t>
      </w:r>
      <w:r>
        <w:rPr>
          <w:rFonts w:ascii="Times New Roman" w:eastAsia="楷体" w:hAnsi="Times New Roman" w:cs="Times New Roman" w:hint="default"/>
          <w:color w:val="auto"/>
          <w:sz w:val="24"/>
          <w:szCs w:val="24"/>
          <w:lang w:val="en-US" w:eastAsia="zh-CN"/>
        </w:rPr>
        <w:t>Si MAS-NMR、MIP和X-CT测试等）均与</w:t>
      </w:r>
      <w:r>
        <w:rPr>
          <w:rFonts w:ascii="Times New Roman" w:eastAsia="楷体" w:hAnsi="Times New Roman" w:cs="Times New Roman" w:hint="default"/>
          <w:b/>
          <w:bCs/>
          <w:color w:val="auto"/>
          <w:sz w:val="24"/>
          <w:szCs w:val="24"/>
          <w:lang w:val="en-US" w:eastAsia="zh-CN"/>
        </w:rPr>
        <w:t>研究内容（2）</w:t>
      </w:r>
      <w:r>
        <w:rPr>
          <w:rFonts w:ascii="Times New Roman" w:eastAsia="楷体" w:hAnsi="Times New Roman" w:cs="Times New Roman" w:hint="default"/>
          <w:b w:val="0"/>
          <w:bCs w:val="0"/>
          <w:color w:val="auto"/>
          <w:sz w:val="24"/>
          <w:szCs w:val="24"/>
          <w:lang w:val="en-US" w:eastAsia="zh-CN"/>
        </w:rPr>
        <w:t>和</w:t>
      </w:r>
      <w:r>
        <w:rPr>
          <w:rFonts w:ascii="Times New Roman" w:eastAsia="楷体" w:hAnsi="Times New Roman" w:cs="Times New Roman" w:hint="default"/>
          <w:b/>
          <w:bCs/>
          <w:color w:val="auto"/>
          <w:sz w:val="24"/>
          <w:szCs w:val="24"/>
          <w:lang w:val="en-US" w:eastAsia="zh-CN"/>
        </w:rPr>
        <w:t>研究内容（1）</w:t>
      </w:r>
      <w:r>
        <w:rPr>
          <w:rFonts w:ascii="Times New Roman" w:eastAsia="楷体" w:hAnsi="Times New Roman" w:cs="Times New Roman" w:hint="default"/>
          <w:color w:val="auto"/>
          <w:sz w:val="24"/>
          <w:szCs w:val="24"/>
          <w:lang w:val="en-US" w:eastAsia="zh-CN"/>
        </w:rPr>
        <w:t>完全相同。评价充放电过程中电极-电解质界面退化、电解质水化产物相变和孔隙结构特征演化与电化学性能的关联关系，揭示长时间充放电失效机理。</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rPr>
          <w:rFonts w:eastAsia="楷体" w:cs="Times New Roman" w:hint="default"/>
          <w:color w:val="auto"/>
          <w:sz w:val="24"/>
          <w:szCs w:val="24"/>
          <w:lang w:val="en-US" w:eastAsia="zh-CN"/>
        </w:rPr>
      </w:pPr>
      <w:r>
        <w:rPr>
          <w:rFonts w:eastAsia="楷体" w:cs="Times New Roman" w:hint="eastAsia"/>
          <w:color w:val="auto"/>
          <w:sz w:val="24"/>
          <w:szCs w:val="24"/>
          <w:lang w:val="en-US" w:eastAsia="zh-CN"/>
        </w:rPr>
        <w:t>研究的最终目标是将碱激发材料用作超级电容器的电解质，实现其高离子电导率、多孔结构，实现低成本、大体积、高性能的绿色储能器件开发。基于研究内容</w:t>
      </w:r>
      <w:r>
        <w:rPr>
          <w:rFonts w:ascii="Times New Roman" w:eastAsia="楷体" w:hAnsi="Times New Roman" w:cs="Times New Roman" w:hint="default"/>
          <w:color w:val="auto"/>
          <w:sz w:val="24"/>
          <w:szCs w:val="24"/>
          <w:lang w:val="en-US" w:eastAsia="zh-CN"/>
        </w:rPr>
        <w:t>（1）-（3）</w:t>
      </w:r>
      <w:r>
        <w:rPr>
          <w:rFonts w:eastAsia="楷体" w:cs="Times New Roman" w:hint="eastAsia"/>
          <w:color w:val="auto"/>
          <w:sz w:val="24"/>
          <w:szCs w:val="24"/>
          <w:lang w:val="en-US" w:eastAsia="zh-CN"/>
        </w:rPr>
        <w:t>研究，从电极-电解质界面强化、电解质原料配比优化、孔隙调控和添加导电材料等方面，开展提升碱激发材料超级电容器的比电容、倍率性能和循环稳定性测试。为了验证调控的有效性，</w:t>
      </w:r>
      <w:r>
        <w:rPr>
          <w:rFonts w:eastAsia="楷体" w:cs="Times New Roman" w:hint="eastAsia"/>
          <w:i w:val="0"/>
          <w:iCs w:val="0"/>
          <w:caps w:val="0"/>
          <w:color w:val="auto"/>
          <w:spacing w:val="0"/>
          <w:sz w:val="24"/>
          <w:szCs w:val="24"/>
          <w:shd w:val="clear" w:color="auto" w:fill="FFFFFF"/>
          <w:lang w:val="en-US" w:eastAsia="zh-CN"/>
        </w:rPr>
        <w:t>基于调控后的碱激发材料超级电容器，进行电化学性能和力学性能测试。对比不同调控策略下超级电容器的性能差异，系统给出提升碱激发材料超级电容器性能的优化方案</w:t>
      </w:r>
      <w:r>
        <w:rPr>
          <w:rFonts w:eastAsia="楷体" w:hint="eastAsia"/>
          <w:color w:val="auto"/>
          <w:sz w:val="24"/>
          <w:szCs w:val="24"/>
          <w:lang w:val="en-US" w:eastAsia="zh-CN"/>
        </w:rPr>
        <w:t>。</w:t>
      </w:r>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eastAsia="楷体"/>
          <w:b/>
          <w:bCs/>
          <w:color w:val="auto"/>
          <w:sz w:val="24"/>
          <w:szCs w:val="24"/>
        </w:rPr>
      </w:pPr>
      <w:r>
        <w:rPr>
          <w:rFonts w:eastAsia="楷体" w:hint="eastAsia"/>
          <w:b/>
          <w:bCs/>
          <w:color w:val="auto"/>
          <w:sz w:val="24"/>
          <w:szCs w:val="24"/>
          <w:lang w:val="en-US" w:eastAsia="zh-CN"/>
        </w:rPr>
        <w:t>1.3</w:t>
      </w:r>
      <w:r>
        <w:rPr>
          <w:rFonts w:eastAsia="楷体"/>
          <w:b/>
          <w:bCs/>
          <w:color w:val="auto"/>
          <w:sz w:val="24"/>
          <w:szCs w:val="24"/>
        </w:rPr>
        <w:t>项目的可行性分析</w:t>
      </w:r>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eastAsia="楷体"/>
          <w:b/>
          <w:bCs/>
          <w:color w:val="auto"/>
          <w:sz w:val="24"/>
          <w:szCs w:val="24"/>
        </w:rPr>
      </w:pPr>
      <w:r>
        <w:rPr>
          <w:rFonts w:eastAsia="楷体" w:hint="eastAsia"/>
          <w:b/>
          <w:bCs/>
          <w:color w:val="auto"/>
          <w:sz w:val="24"/>
          <w:szCs w:val="24"/>
        </w:rPr>
        <w:t>（1）</w:t>
      </w:r>
      <w:r>
        <w:rPr>
          <w:rFonts w:eastAsia="楷体"/>
          <w:b/>
          <w:bCs/>
          <w:color w:val="auto"/>
          <w:sz w:val="24"/>
          <w:szCs w:val="24"/>
        </w:rPr>
        <w:t>研究思路的可行性</w:t>
      </w:r>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eastAsia="楷体"/>
          <w:color w:val="auto"/>
          <w:sz w:val="24"/>
          <w:szCs w:val="24"/>
        </w:rPr>
      </w:pPr>
      <w:r>
        <w:rPr>
          <w:rFonts w:eastAsia="楷体" w:hint="eastAsia"/>
          <w:color w:val="auto"/>
          <w:sz w:val="24"/>
          <w:szCs w:val="24"/>
          <w:lang w:val="en-US" w:eastAsia="zh-CN"/>
        </w:rPr>
        <w:t>绿色-智能建筑材料将在智能建造发展中起关键作用。将建筑材料作为超级电容器，有助于提升建筑的能源效率和可持续性，也为学科交叉提供绝佳的课题方向。本项目聚焦将碱激发材料作为超级电容器的电解质材料，从</w:t>
      </w:r>
      <w:r>
        <w:rPr>
          <w:rFonts w:eastAsia="楷体" w:hint="eastAsia"/>
          <w:b/>
          <w:bCs/>
          <w:color w:val="auto"/>
          <w:sz w:val="24"/>
          <w:szCs w:val="24"/>
          <w:lang w:val="en-US" w:eastAsia="zh-CN"/>
        </w:rPr>
        <w:t>碱激发材料导电性能</w:t>
      </w:r>
      <w:r>
        <w:rPr>
          <w:rFonts w:hint="eastAsia"/>
          <w:b/>
          <w:bCs/>
          <w:color w:val="auto"/>
          <w:sz w:val="24"/>
          <w:szCs w:val="24"/>
        </w:rPr>
        <w:t>→</w:t>
      </w:r>
      <w:r>
        <w:rPr>
          <w:rFonts w:eastAsia="楷体" w:hint="eastAsia"/>
          <w:b/>
          <w:bCs/>
          <w:color w:val="auto"/>
          <w:sz w:val="24"/>
          <w:szCs w:val="24"/>
          <w:lang w:val="en-US" w:eastAsia="zh-CN"/>
        </w:rPr>
        <w:t>孔隙特征</w:t>
      </w:r>
      <w:r>
        <w:rPr>
          <w:rFonts w:hint="eastAsia"/>
          <w:b/>
          <w:bCs/>
          <w:color w:val="auto"/>
          <w:sz w:val="24"/>
          <w:szCs w:val="24"/>
        </w:rPr>
        <w:t>→</w:t>
      </w:r>
      <w:r>
        <w:rPr>
          <w:rFonts w:eastAsia="楷体" w:hint="eastAsia"/>
          <w:b/>
          <w:bCs/>
          <w:color w:val="auto"/>
          <w:sz w:val="24"/>
          <w:szCs w:val="24"/>
          <w:lang w:val="en-US" w:eastAsia="zh-CN"/>
        </w:rPr>
        <w:t>超级电容器电化学特性</w:t>
      </w:r>
      <w:r>
        <w:rPr>
          <w:rFonts w:hint="eastAsia"/>
          <w:b/>
          <w:bCs/>
          <w:color w:val="auto"/>
          <w:sz w:val="24"/>
          <w:szCs w:val="24"/>
        </w:rPr>
        <w:t>→</w:t>
      </w:r>
      <w:r>
        <w:rPr>
          <w:rFonts w:eastAsia="楷体" w:hint="eastAsia"/>
          <w:b/>
          <w:bCs/>
          <w:color w:val="auto"/>
          <w:sz w:val="24"/>
          <w:szCs w:val="24"/>
          <w:lang w:val="en-US" w:eastAsia="zh-CN"/>
        </w:rPr>
        <w:t>受荷状态下电化学特性</w:t>
      </w:r>
      <w:r>
        <w:rPr>
          <w:rFonts w:hint="eastAsia"/>
          <w:b/>
          <w:bCs/>
          <w:color w:val="auto"/>
          <w:sz w:val="24"/>
          <w:szCs w:val="24"/>
        </w:rPr>
        <w:t>→</w:t>
      </w:r>
      <w:r>
        <w:rPr>
          <w:rFonts w:eastAsia="楷体" w:hint="eastAsia"/>
          <w:b/>
          <w:bCs/>
          <w:color w:val="auto"/>
          <w:sz w:val="24"/>
          <w:szCs w:val="24"/>
          <w:lang w:val="en-US" w:eastAsia="zh-CN"/>
        </w:rPr>
        <w:t>电容器储能机理</w:t>
      </w:r>
      <w:r>
        <w:rPr>
          <w:rFonts w:hint="eastAsia"/>
          <w:b/>
          <w:bCs/>
          <w:color w:val="auto"/>
          <w:sz w:val="24"/>
          <w:szCs w:val="24"/>
        </w:rPr>
        <w:t>→</w:t>
      </w:r>
      <w:r>
        <w:rPr>
          <w:rFonts w:eastAsia="楷体" w:hint="eastAsia"/>
          <w:b/>
          <w:bCs/>
          <w:color w:val="auto"/>
          <w:sz w:val="24"/>
          <w:szCs w:val="24"/>
          <w:lang w:val="en-US" w:eastAsia="zh-CN"/>
        </w:rPr>
        <w:t>长时间充放电失效机理</w:t>
      </w:r>
      <w:r>
        <w:rPr>
          <w:rFonts w:hint="eastAsia"/>
          <w:b/>
          <w:bCs/>
          <w:color w:val="auto"/>
          <w:sz w:val="24"/>
          <w:szCs w:val="24"/>
        </w:rPr>
        <w:t>→</w:t>
      </w:r>
      <w:r>
        <w:rPr>
          <w:rFonts w:eastAsia="楷体" w:hint="eastAsia"/>
          <w:b/>
          <w:bCs/>
          <w:color w:val="auto"/>
          <w:sz w:val="24"/>
          <w:szCs w:val="24"/>
          <w:lang w:val="en-US" w:eastAsia="zh-CN"/>
        </w:rPr>
        <w:t>性能调控等</w:t>
      </w:r>
      <w:r>
        <w:rPr>
          <w:rFonts w:eastAsia="楷体" w:hint="eastAsia"/>
          <w:color w:val="auto"/>
          <w:sz w:val="24"/>
          <w:szCs w:val="24"/>
          <w:lang w:val="en-US" w:eastAsia="zh-CN"/>
        </w:rPr>
        <w:t>，以多层次、循序递进的研究思路，系统开展碱激发材料超级电容器的关键性能研究。</w:t>
      </w:r>
      <w:r>
        <w:rPr>
          <w:rFonts w:eastAsia="楷体" w:hint="eastAsia"/>
          <w:b/>
          <w:bCs/>
          <w:color w:val="auto"/>
          <w:sz w:val="24"/>
          <w:szCs w:val="24"/>
          <w:lang w:val="en-US" w:eastAsia="zh-CN"/>
        </w:rPr>
        <w:t>关键科学问题把握准确，</w:t>
      </w:r>
      <w:r>
        <w:rPr>
          <w:rFonts w:eastAsia="楷体"/>
          <w:b/>
          <w:bCs/>
          <w:color w:val="auto"/>
          <w:sz w:val="24"/>
          <w:szCs w:val="24"/>
        </w:rPr>
        <w:t>研究内容</w:t>
      </w:r>
      <w:r>
        <w:rPr>
          <w:rFonts w:eastAsia="楷体" w:hint="eastAsia"/>
          <w:b/>
          <w:bCs/>
          <w:color w:val="auto"/>
          <w:sz w:val="24"/>
          <w:szCs w:val="24"/>
          <w:lang w:val="en-US" w:eastAsia="zh-CN"/>
        </w:rPr>
        <w:t>环环相扣</w:t>
      </w:r>
      <w:r>
        <w:rPr>
          <w:rFonts w:eastAsia="楷体" w:hint="eastAsia"/>
          <w:b/>
          <w:bCs/>
          <w:color w:val="auto"/>
          <w:sz w:val="24"/>
          <w:szCs w:val="24"/>
          <w:lang w:eastAsia="zh-CN"/>
        </w:rPr>
        <w:t>、</w:t>
      </w:r>
      <w:r>
        <w:rPr>
          <w:rFonts w:eastAsia="楷体" w:hint="eastAsia"/>
          <w:b/>
          <w:bCs/>
          <w:color w:val="auto"/>
          <w:sz w:val="24"/>
          <w:szCs w:val="24"/>
          <w:lang w:val="en-US" w:eastAsia="zh-CN"/>
        </w:rPr>
        <w:t>研究思路清晰、技术路线明确</w:t>
      </w:r>
      <w:r>
        <w:rPr>
          <w:rFonts w:eastAsia="楷体"/>
          <w:b/>
          <w:bCs/>
          <w:color w:val="auto"/>
          <w:sz w:val="24"/>
          <w:szCs w:val="24"/>
        </w:rPr>
        <w:t>。</w:t>
      </w:r>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eastAsia="楷体"/>
          <w:b/>
          <w:bCs/>
          <w:color w:val="auto"/>
          <w:sz w:val="24"/>
          <w:szCs w:val="24"/>
        </w:rPr>
      </w:pPr>
      <w:r>
        <w:rPr>
          <w:rFonts w:eastAsia="楷体" w:hint="eastAsia"/>
          <w:b/>
          <w:bCs/>
          <w:color w:val="auto"/>
          <w:sz w:val="24"/>
          <w:szCs w:val="24"/>
        </w:rPr>
        <w:t>（2）</w:t>
      </w:r>
      <w:r>
        <w:rPr>
          <w:rFonts w:eastAsia="楷体"/>
          <w:b/>
          <w:bCs/>
          <w:color w:val="auto"/>
          <w:sz w:val="24"/>
          <w:szCs w:val="24"/>
        </w:rPr>
        <w:t>试验条件和方法的可行性</w:t>
      </w:r>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eastAsia="楷体"/>
          <w:color w:val="auto"/>
          <w:sz w:val="24"/>
          <w:szCs w:val="24"/>
        </w:rPr>
      </w:pPr>
      <w:r>
        <w:rPr>
          <w:rFonts w:eastAsia="楷体"/>
          <w:color w:val="auto"/>
          <w:sz w:val="24"/>
        </w:rPr>
        <w:t>项目申请人依托零碳能源建筑与计量技术教育部工程研究中心、河北省土木工程监测与评估技术创新中心、</w:t>
      </w:r>
      <w:r>
        <w:rPr>
          <w:rFonts w:eastAsia="楷体" w:hint="eastAsia"/>
          <w:color w:val="auto"/>
          <w:sz w:val="24"/>
          <w:lang w:val="en-US" w:eastAsia="zh-CN"/>
        </w:rPr>
        <w:t>河北省基础设施防灾减灾与智能评估重点实验室、</w:t>
      </w:r>
      <w:r>
        <w:rPr>
          <w:rFonts w:eastAsia="楷体"/>
          <w:color w:val="auto"/>
          <w:sz w:val="24"/>
        </w:rPr>
        <w:t>保定市智能建造重点实验室和保定市智能建造与绿色建筑创新研究中心等科研平台，具有完备的建筑材料实验室和土木工程材料研究团队。实验室拥有良好的试样制备和养护条件，本实验室能够完成试样的制备、标准养护、真空饱水，以及电阻值、</w:t>
      </w:r>
      <w:r>
        <w:rPr>
          <w:rFonts w:eastAsia="楷体" w:hint="eastAsia"/>
          <w:color w:val="auto"/>
          <w:sz w:val="24"/>
          <w:lang w:val="en-US" w:eastAsia="zh-CN"/>
        </w:rPr>
        <w:t>电化学性能、</w:t>
      </w:r>
      <w:r>
        <w:rPr>
          <w:rFonts w:eastAsia="楷体" w:hint="eastAsia"/>
          <w:color w:val="auto"/>
          <w:sz w:val="24"/>
          <w:vertAlign w:val="superscript"/>
          <w:lang w:val="en-US" w:eastAsia="zh-CN"/>
        </w:rPr>
        <w:t>1</w:t>
      </w:r>
      <w:r>
        <w:rPr>
          <w:rFonts w:eastAsia="楷体" w:hint="eastAsia"/>
          <w:color w:val="auto"/>
          <w:sz w:val="24"/>
          <w:lang w:val="en-US" w:eastAsia="zh-CN"/>
        </w:rPr>
        <w:t>H LF-NMR</w:t>
      </w:r>
      <w:r>
        <w:rPr>
          <w:rFonts w:eastAsia="楷体"/>
          <w:color w:val="auto"/>
          <w:sz w:val="24"/>
        </w:rPr>
        <w:t>、TG-DTG</w:t>
      </w:r>
      <w:r>
        <w:rPr>
          <w:rFonts w:eastAsia="楷体" w:hint="eastAsia"/>
          <w:color w:val="auto"/>
          <w:sz w:val="24"/>
          <w:lang w:val="en-US" w:eastAsia="zh-CN"/>
        </w:rPr>
        <w:t>和MIP</w:t>
      </w:r>
      <w:r>
        <w:rPr>
          <w:rFonts w:eastAsia="楷体"/>
          <w:color w:val="auto"/>
          <w:sz w:val="24"/>
        </w:rPr>
        <w:t>等测试。</w:t>
      </w:r>
      <w:r>
        <w:rPr>
          <w:rFonts w:eastAsia="楷体" w:hint="eastAsia"/>
          <w:color w:val="auto"/>
          <w:sz w:val="24"/>
          <w:lang w:val="en-US" w:eastAsia="zh-CN"/>
        </w:rPr>
        <w:t>微观</w:t>
      </w:r>
      <w:r>
        <w:rPr>
          <w:rFonts w:eastAsia="楷体"/>
          <w:color w:val="auto"/>
          <w:sz w:val="24"/>
        </w:rPr>
        <w:t>试验需要的XRD、FT-IR</w:t>
      </w:r>
      <w:r>
        <w:rPr>
          <w:rFonts w:eastAsia="楷体" w:hint="eastAsia"/>
          <w:color w:val="auto"/>
          <w:sz w:val="24"/>
          <w:lang w:eastAsia="zh-CN"/>
        </w:rPr>
        <w:t>、</w:t>
      </w:r>
      <w:r>
        <w:rPr>
          <w:rFonts w:eastAsia="楷体" w:hint="eastAsia"/>
          <w:color w:val="auto"/>
          <w:sz w:val="24"/>
          <w:lang w:val="en-US" w:eastAsia="zh-CN"/>
        </w:rPr>
        <w:t>X-CT和</w:t>
      </w:r>
      <w:r>
        <w:rPr>
          <w:rFonts w:eastAsia="楷体"/>
          <w:color w:val="auto"/>
          <w:sz w:val="24"/>
          <w:vertAlign w:val="superscript"/>
        </w:rPr>
        <w:t>29</w:t>
      </w:r>
      <w:r>
        <w:rPr>
          <w:rFonts w:eastAsia="楷体"/>
          <w:color w:val="auto"/>
          <w:sz w:val="24"/>
        </w:rPr>
        <w:t>Si MAS-NMR等测试设备均能在河北大学校内公共测试平台解决。</w:t>
      </w:r>
      <w:r>
        <w:rPr>
          <w:rFonts w:eastAsia="楷体"/>
          <w:b/>
          <w:bCs/>
          <w:color w:val="auto"/>
          <w:sz w:val="24"/>
        </w:rPr>
        <w:t>试验条件能够支持完成预期试验内容</w:t>
      </w:r>
      <w:r>
        <w:rPr>
          <w:rFonts w:eastAsia="楷体"/>
          <w:color w:val="auto"/>
          <w:sz w:val="24"/>
        </w:rPr>
        <w:t>。</w:t>
      </w:r>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eastAsia="楷体"/>
          <w:b/>
          <w:bCs/>
          <w:color w:val="auto"/>
          <w:sz w:val="24"/>
          <w:szCs w:val="24"/>
        </w:rPr>
      </w:pPr>
      <w:r>
        <w:rPr>
          <w:rFonts w:eastAsia="楷体" w:hint="eastAsia"/>
          <w:b/>
          <w:bCs/>
          <w:color w:val="auto"/>
          <w:sz w:val="24"/>
          <w:szCs w:val="24"/>
        </w:rPr>
        <w:t>（3）</w:t>
      </w:r>
      <w:r>
        <w:rPr>
          <w:rFonts w:eastAsia="楷体"/>
          <w:b/>
          <w:bCs/>
          <w:color w:val="auto"/>
          <w:sz w:val="24"/>
          <w:szCs w:val="24"/>
        </w:rPr>
        <w:t>研究基础</w:t>
      </w:r>
      <w:r>
        <w:rPr>
          <w:rFonts w:eastAsia="楷体" w:hint="eastAsia"/>
          <w:b/>
          <w:bCs/>
          <w:color w:val="auto"/>
          <w:sz w:val="24"/>
          <w:szCs w:val="24"/>
          <w:lang w:val="en-US" w:eastAsia="zh-CN"/>
        </w:rPr>
        <w:t>和团队支撑</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eastAsia="楷体"/>
          <w:color w:val="auto"/>
          <w:sz w:val="24"/>
          <w:szCs w:val="24"/>
        </w:rPr>
      </w:pPr>
      <w:r>
        <w:rPr>
          <w:rFonts w:eastAsia="楷体" w:hint="eastAsia"/>
          <w:color w:val="auto"/>
          <w:sz w:val="24"/>
          <w:szCs w:val="24"/>
          <w:lang w:val="en-US" w:eastAsia="zh-CN"/>
        </w:rPr>
        <w:t>导电性是储能的前提，课题组前期开展了碱激发材料导电和热电特性的初步试验研究，坚定了本课题开展的可行性和必要性。</w:t>
      </w:r>
      <w:r>
        <w:rPr>
          <w:rFonts w:eastAsia="楷体"/>
          <w:color w:val="auto"/>
          <w:sz w:val="24"/>
          <w:szCs w:val="24"/>
        </w:rPr>
        <w:t>项目申请人</w:t>
      </w:r>
      <w:r>
        <w:rPr>
          <w:rFonts w:eastAsia="楷体" w:hint="eastAsia"/>
          <w:color w:val="auto"/>
          <w:sz w:val="24"/>
          <w:szCs w:val="24"/>
          <w:lang w:val="en-US" w:eastAsia="zh-CN"/>
        </w:rPr>
        <w:t>一直开展</w:t>
      </w:r>
      <w:r>
        <w:rPr>
          <w:rFonts w:eastAsia="楷体"/>
          <w:color w:val="auto"/>
          <w:sz w:val="24"/>
          <w:szCs w:val="24"/>
        </w:rPr>
        <w:t>碱激发材料</w:t>
      </w:r>
      <w:r>
        <w:rPr>
          <w:rFonts w:eastAsia="楷体" w:hint="eastAsia"/>
          <w:color w:val="auto"/>
          <w:sz w:val="24"/>
          <w:szCs w:val="24"/>
          <w:lang w:val="en-US" w:eastAsia="zh-CN"/>
        </w:rPr>
        <w:t>的</w:t>
      </w:r>
      <w:r>
        <w:rPr>
          <w:rFonts w:eastAsia="楷体"/>
          <w:color w:val="auto"/>
          <w:sz w:val="24"/>
          <w:szCs w:val="24"/>
        </w:rPr>
        <w:t>研究，对</w:t>
      </w:r>
      <w:r>
        <w:rPr>
          <w:rFonts w:eastAsia="楷体" w:hint="eastAsia"/>
          <w:color w:val="auto"/>
          <w:sz w:val="24"/>
          <w:szCs w:val="24"/>
          <w:lang w:val="en-US" w:eastAsia="zh-CN"/>
        </w:rPr>
        <w:t>其</w:t>
      </w:r>
      <w:r>
        <w:rPr>
          <w:rFonts w:eastAsia="楷体"/>
          <w:color w:val="auto"/>
          <w:sz w:val="24"/>
          <w:szCs w:val="24"/>
        </w:rPr>
        <w:t>水化特性、孔隙结构特征和微观形貌分析等均积累了大量经验。</w:t>
      </w:r>
      <w:r>
        <w:rPr>
          <w:rFonts w:eastAsia="楷体"/>
          <w:color w:val="auto"/>
          <w:sz w:val="24"/>
        </w:rPr>
        <w:t>以</w:t>
      </w:r>
      <w:r>
        <w:rPr>
          <w:rFonts w:eastAsia="楷体"/>
          <w:b/>
          <w:bCs/>
          <w:color w:val="auto"/>
          <w:sz w:val="24"/>
        </w:rPr>
        <w:t>第一作者或唯一通讯作者</w:t>
      </w:r>
      <w:r>
        <w:rPr>
          <w:rFonts w:eastAsia="楷体"/>
          <w:color w:val="auto"/>
          <w:sz w:val="24"/>
        </w:rPr>
        <w:t>发表关于碱激发材料制备、水化特性、干燥收缩和耐久性等方面的</w:t>
      </w:r>
      <w:r>
        <w:rPr>
          <w:rFonts w:eastAsia="楷体" w:hint="eastAsia"/>
          <w:color w:val="auto"/>
          <w:sz w:val="24"/>
          <w:lang w:val="en-US" w:eastAsia="zh-CN"/>
        </w:rPr>
        <w:t>SCI/EI</w:t>
      </w:r>
      <w:r>
        <w:rPr>
          <w:rFonts w:eastAsia="楷体"/>
          <w:color w:val="auto"/>
          <w:sz w:val="24"/>
        </w:rPr>
        <w:t>论文</w:t>
      </w:r>
      <w:r>
        <w:rPr>
          <w:rFonts w:eastAsia="楷体" w:hint="eastAsia"/>
          <w:b/>
          <w:bCs/>
          <w:color w:val="auto"/>
          <w:sz w:val="24"/>
          <w:lang w:val="en-US" w:eastAsia="zh-CN"/>
        </w:rPr>
        <w:t>40</w:t>
      </w:r>
      <w:r>
        <w:rPr>
          <w:rFonts w:eastAsia="楷体" w:hint="eastAsia"/>
          <w:color w:val="auto"/>
          <w:sz w:val="24"/>
          <w:lang w:val="en-US" w:eastAsia="zh-CN"/>
        </w:rPr>
        <w:t>余</w:t>
      </w:r>
      <w:r>
        <w:rPr>
          <w:rFonts w:eastAsia="楷体"/>
          <w:color w:val="auto"/>
          <w:sz w:val="24"/>
        </w:rPr>
        <w:t>篇，SCI他引</w:t>
      </w:r>
      <w:r>
        <w:rPr>
          <w:rFonts w:eastAsia="楷体" w:hint="eastAsia"/>
          <w:color w:val="auto"/>
          <w:sz w:val="24"/>
          <w:lang w:val="en-US" w:eastAsia="zh-CN"/>
        </w:rPr>
        <w:t>次数超过</w:t>
      </w:r>
      <w:r>
        <w:rPr>
          <w:rFonts w:eastAsia="楷体" w:hint="eastAsia"/>
          <w:b/>
          <w:bCs/>
          <w:color w:val="auto"/>
          <w:sz w:val="24"/>
          <w:lang w:val="en-US" w:eastAsia="zh-CN"/>
        </w:rPr>
        <w:t>1000</w:t>
      </w:r>
      <w:r>
        <w:rPr>
          <w:rFonts w:eastAsia="楷体"/>
          <w:color w:val="auto"/>
          <w:sz w:val="24"/>
        </w:rPr>
        <w:t>次。</w:t>
      </w:r>
      <w:r>
        <w:rPr>
          <w:rFonts w:eastAsia="楷体" w:hint="eastAsia"/>
          <w:color w:val="auto"/>
          <w:sz w:val="24"/>
          <w:szCs w:val="24"/>
        </w:rPr>
        <w:t>另外，</w:t>
      </w:r>
      <w:r>
        <w:rPr>
          <w:rFonts w:eastAsia="楷体" w:hint="eastAsia"/>
          <w:color w:val="auto"/>
          <w:sz w:val="24"/>
          <w:lang w:val="en-US" w:eastAsia="zh-CN"/>
        </w:rPr>
        <w:t>申请人所在科研团队（</w:t>
      </w:r>
      <w:r>
        <w:rPr>
          <w:rFonts w:eastAsia="楷体" w:hint="eastAsia"/>
          <w:b/>
          <w:bCs/>
          <w:color w:val="auto"/>
          <w:sz w:val="24"/>
          <w:lang w:val="en-US" w:eastAsia="zh-CN"/>
        </w:rPr>
        <w:t>零碳能源载体建筑创新团队</w:t>
      </w:r>
      <w:r>
        <w:rPr>
          <w:rFonts w:eastAsia="楷体" w:hint="eastAsia"/>
          <w:color w:val="auto"/>
          <w:sz w:val="24"/>
          <w:lang w:val="en-US" w:eastAsia="zh-CN"/>
        </w:rPr>
        <w:t>）学术力量雄厚，已形成以绿色、智能建筑材料研究的特色方向，致力于固废材料、零碳建筑研究。团队成员优势互补，强强联合。申请人还与山东农业大学科研团队（</w:t>
      </w:r>
      <w:r>
        <w:rPr>
          <w:rFonts w:eastAsia="楷体" w:hint="eastAsia"/>
          <w:b/>
          <w:bCs/>
          <w:color w:val="auto"/>
          <w:sz w:val="24"/>
          <w:lang w:val="en-US" w:eastAsia="zh-CN"/>
        </w:rPr>
        <w:t>带头人：冯竟竟教授</w:t>
      </w:r>
      <w:r>
        <w:rPr>
          <w:rFonts w:eastAsia="楷体" w:hint="eastAsia"/>
          <w:color w:val="auto"/>
          <w:sz w:val="24"/>
          <w:lang w:val="en-US" w:eastAsia="zh-CN"/>
        </w:rPr>
        <w:t>）建立了密切稳固的合作关系。同时，申请人与</w:t>
      </w:r>
      <w:r>
        <w:rPr>
          <w:rFonts w:eastAsia="楷体" w:hint="eastAsia"/>
          <w:b/>
          <w:bCs/>
          <w:color w:val="auto"/>
          <w:sz w:val="24"/>
          <w:lang w:val="en-US" w:eastAsia="zh-CN"/>
        </w:rPr>
        <w:t>英国帝国理工Chao Wu教授</w:t>
      </w:r>
      <w:r>
        <w:rPr>
          <w:rFonts w:eastAsia="楷体" w:hint="eastAsia"/>
          <w:color w:val="auto"/>
          <w:sz w:val="24"/>
          <w:lang w:val="en-US" w:eastAsia="zh-CN"/>
        </w:rPr>
        <w:t>和</w:t>
      </w:r>
      <w:r>
        <w:rPr>
          <w:rFonts w:eastAsia="楷体" w:hint="eastAsia"/>
          <w:b/>
          <w:bCs/>
          <w:color w:val="auto"/>
          <w:sz w:val="24"/>
          <w:lang w:val="en-US" w:eastAsia="zh-CN"/>
        </w:rPr>
        <w:t>坎特伯雷大学Scott Allan教授</w:t>
      </w:r>
      <w:r>
        <w:rPr>
          <w:rFonts w:eastAsia="楷体" w:hint="eastAsia"/>
          <w:color w:val="auto"/>
          <w:sz w:val="24"/>
          <w:lang w:val="en-US" w:eastAsia="zh-CN"/>
        </w:rPr>
        <w:t>有深入的学术交流和合作研究。所有团队成员均可为本项目提供帮助和指导，</w:t>
      </w:r>
      <w:r>
        <w:rPr>
          <w:rFonts w:eastAsia="楷体"/>
          <w:color w:val="auto"/>
          <w:sz w:val="24"/>
          <w:szCs w:val="24"/>
        </w:rPr>
        <w:t>可保证本项目的顺利开展。</w:t>
      </w:r>
    </w:p>
    <w:p>
      <w:pPr>
        <w:keepNext w:val="0"/>
        <w:keepLines w:val="0"/>
        <w:pageBreakBefore w:val="0"/>
        <w:widowControl w:val="0"/>
        <w:kinsoku/>
        <w:wordWrap w:val="0"/>
        <w:overflowPunct/>
        <w:topLinePunct w:val="0"/>
        <w:autoSpaceDE/>
        <w:autoSpaceDN/>
        <w:bidi w:val="0"/>
        <w:adjustRightInd/>
        <w:snapToGrid/>
        <w:spacing w:line="440" w:lineRule="exact"/>
        <w:ind w:firstLine="480" w:firstLineChars="200"/>
        <w:textAlignment w:val="auto"/>
        <w:rPr>
          <w:rFonts w:ascii="楷体" w:eastAsia="楷体" w:hAnsi="楷体" w:cs="楷体"/>
          <w:color w:val="auto"/>
        </w:rPr>
      </w:pPr>
      <w:r>
        <w:rPr>
          <w:rFonts w:eastAsia="楷体"/>
          <w:b/>
          <w:bCs/>
          <w:color w:val="auto"/>
          <w:sz w:val="24"/>
          <w:szCs w:val="24"/>
        </w:rPr>
        <w:t>综上所述，本项目研究思路</w:t>
      </w:r>
      <w:r>
        <w:rPr>
          <w:rFonts w:eastAsia="楷体" w:hint="eastAsia"/>
          <w:b/>
          <w:bCs/>
          <w:color w:val="auto"/>
          <w:sz w:val="24"/>
          <w:szCs w:val="24"/>
        </w:rPr>
        <w:t>、</w:t>
      </w:r>
      <w:r>
        <w:rPr>
          <w:rFonts w:eastAsia="楷体" w:hint="eastAsia"/>
          <w:b/>
          <w:bCs/>
          <w:color w:val="auto"/>
          <w:sz w:val="24"/>
          <w:szCs w:val="24"/>
          <w:lang w:val="en-US" w:eastAsia="zh-CN"/>
        </w:rPr>
        <w:t>试验</w:t>
      </w:r>
      <w:r>
        <w:rPr>
          <w:rFonts w:eastAsia="楷体" w:hint="eastAsia"/>
          <w:b/>
          <w:bCs/>
          <w:color w:val="auto"/>
          <w:sz w:val="24"/>
          <w:szCs w:val="24"/>
        </w:rPr>
        <w:t>条件和方法</w:t>
      </w:r>
      <w:r>
        <w:rPr>
          <w:rFonts w:eastAsia="楷体" w:hint="eastAsia"/>
          <w:b/>
          <w:bCs/>
          <w:color w:val="auto"/>
          <w:sz w:val="24"/>
          <w:szCs w:val="24"/>
          <w:lang w:eastAsia="zh-CN"/>
        </w:rPr>
        <w:t>、</w:t>
      </w:r>
      <w:r>
        <w:rPr>
          <w:rFonts w:eastAsia="楷体" w:hint="eastAsia"/>
          <w:b/>
          <w:bCs/>
          <w:color w:val="auto"/>
          <w:sz w:val="24"/>
          <w:szCs w:val="24"/>
          <w:lang w:val="en-US" w:eastAsia="zh-CN"/>
        </w:rPr>
        <w:t>研究基础和团队支撑等方面均是可行的。</w:t>
      </w:r>
      <w:r>
        <w:rPr>
          <w:rFonts w:eastAsia="楷体"/>
          <w:b/>
          <w:bCs/>
          <w:color w:val="auto"/>
          <w:sz w:val="24"/>
        </w:rPr>
        <w:t>针对申请项目中提到的关键科学问题，有明确的研究内容和</w:t>
      </w:r>
      <w:r>
        <w:rPr>
          <w:rFonts w:eastAsia="楷体" w:hint="eastAsia"/>
          <w:b/>
          <w:bCs/>
          <w:color w:val="auto"/>
          <w:sz w:val="24"/>
          <w:lang w:val="en-US" w:eastAsia="zh-CN"/>
        </w:rPr>
        <w:t>技术</w:t>
      </w:r>
      <w:r>
        <w:rPr>
          <w:rFonts w:eastAsia="楷体"/>
          <w:b/>
          <w:bCs/>
          <w:color w:val="auto"/>
          <w:sz w:val="24"/>
        </w:rPr>
        <w:t>路线，测试方法比较成熟。</w:t>
      </w:r>
      <w:r>
        <w:rPr>
          <w:rFonts w:eastAsia="楷体" w:hint="eastAsia"/>
          <w:b/>
          <w:bCs/>
          <w:color w:val="auto"/>
          <w:sz w:val="24"/>
          <w:szCs w:val="24"/>
          <w:lang w:val="en-US" w:eastAsia="zh-CN"/>
        </w:rPr>
        <w:t>本项目能够</w:t>
      </w:r>
      <w:r>
        <w:rPr>
          <w:rFonts w:eastAsia="楷体"/>
          <w:b/>
          <w:bCs/>
          <w:color w:val="auto"/>
          <w:sz w:val="24"/>
          <w:szCs w:val="24"/>
        </w:rPr>
        <w:t>达到预期研究目标。</w:t>
      </w:r>
    </w:p>
    <w:p>
      <w:pPr>
        <w:wordWrap w:val="0"/>
        <w:snapToGrid w:val="0"/>
        <w:spacing w:line="440" w:lineRule="exact"/>
        <w:ind w:firstLine="560" w:firstLineChars="200"/>
        <w:rPr>
          <w:rFonts w:ascii="楷体" w:eastAsia="楷体" w:hAnsi="楷体" w:cs="楷体"/>
        </w:rPr>
      </w:pPr>
      <w:r>
        <w:rPr>
          <w:rFonts w:ascii="楷体" w:eastAsia="楷体" w:hAnsi="楷体" w:cs="楷体" w:hint="eastAsia"/>
        </w:rPr>
        <w:t>2.年度计划安排（包括拟组织的重要学术交流活动、国际合作与交流计划等）</w:t>
      </w:r>
    </w:p>
    <w:tbl>
      <w:tblPr>
        <w:tblStyle w:val="TableGrid"/>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98"/>
        <w:gridCol w:w="3812"/>
        <w:gridCol w:w="4578"/>
      </w:tblGrid>
      <w:tr>
        <w:tblPrEx>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698" w:type="dxa"/>
          </w:tcPr>
          <w:p>
            <w:pPr>
              <w:jc w:val="center"/>
              <w:rPr>
                <w:rFonts w:eastAsia="楷体"/>
                <w:b/>
                <w:bCs/>
                <w:color w:val="auto"/>
                <w:sz w:val="24"/>
                <w:szCs w:val="24"/>
              </w:rPr>
            </w:pPr>
            <w:r>
              <w:rPr>
                <w:rFonts w:eastAsia="楷体"/>
                <w:b/>
                <w:bCs/>
                <w:color w:val="auto"/>
                <w:sz w:val="24"/>
                <w:szCs w:val="24"/>
              </w:rPr>
              <w:t>年度</w:t>
            </w:r>
          </w:p>
        </w:tc>
        <w:tc>
          <w:tcPr>
            <w:tcW w:w="3812" w:type="dxa"/>
          </w:tcPr>
          <w:p>
            <w:pPr>
              <w:jc w:val="center"/>
              <w:rPr>
                <w:rFonts w:eastAsia="楷体"/>
                <w:b/>
                <w:bCs/>
                <w:color w:val="auto"/>
                <w:sz w:val="24"/>
                <w:szCs w:val="24"/>
              </w:rPr>
            </w:pPr>
            <w:r>
              <w:rPr>
                <w:rFonts w:eastAsia="楷体"/>
                <w:b/>
                <w:bCs/>
                <w:color w:val="auto"/>
                <w:sz w:val="24"/>
                <w:szCs w:val="24"/>
              </w:rPr>
              <w:t>年度研究计划</w:t>
            </w:r>
          </w:p>
        </w:tc>
        <w:tc>
          <w:tcPr>
            <w:tcW w:w="4578" w:type="dxa"/>
          </w:tcPr>
          <w:p>
            <w:pPr>
              <w:jc w:val="center"/>
              <w:rPr>
                <w:rFonts w:eastAsia="楷体"/>
                <w:b/>
                <w:bCs/>
                <w:color w:val="auto"/>
                <w:sz w:val="24"/>
                <w:szCs w:val="24"/>
              </w:rPr>
            </w:pPr>
            <w:r>
              <w:rPr>
                <w:rFonts w:eastAsia="楷体"/>
                <w:b/>
                <w:bCs/>
                <w:color w:val="auto"/>
                <w:sz w:val="24"/>
                <w:szCs w:val="24"/>
              </w:rPr>
              <w:t>年度预期研究成果</w:t>
            </w:r>
          </w:p>
        </w:tc>
      </w:tr>
      <w:tr>
        <w:tblPrEx>
          <w:tblW w:w="0" w:type="auto"/>
          <w:tblInd w:w="99" w:type="dxa"/>
          <w:tblLayout w:type="fixed"/>
          <w:tblCellMar>
            <w:top w:w="0" w:type="dxa"/>
            <w:left w:w="108" w:type="dxa"/>
            <w:bottom w:w="0" w:type="dxa"/>
            <w:right w:w="108" w:type="dxa"/>
          </w:tblCellMar>
        </w:tblPrEx>
        <w:tc>
          <w:tcPr>
            <w:tcW w:w="698" w:type="dxa"/>
          </w:tcPr>
          <w:p>
            <w:pPr>
              <w:jc w:val="center"/>
              <w:rPr>
                <w:rFonts w:ascii="Times New Roman" w:eastAsia="楷体" w:hAnsi="Times New Roman" w:cs="Times New Roman" w:hint="default"/>
                <w:color w:val="auto"/>
                <w:sz w:val="24"/>
                <w:szCs w:val="24"/>
              </w:rPr>
            </w:pPr>
          </w:p>
          <w:p>
            <w:pPr>
              <w:jc w:val="center"/>
              <w:rPr>
                <w:rFonts w:ascii="Times New Roman" w:eastAsia="楷体" w:hAnsi="Times New Roman" w:cs="Times New Roman" w:hint="default"/>
                <w:color w:val="auto"/>
                <w:sz w:val="24"/>
                <w:szCs w:val="24"/>
              </w:rPr>
            </w:pPr>
          </w:p>
          <w:p>
            <w:pPr>
              <w:jc w:val="center"/>
              <w:rPr>
                <w:rFonts w:ascii="Times New Roman" w:eastAsia="楷体" w:hAnsi="Times New Roman" w:cs="Times New Roman" w:hint="default"/>
                <w:color w:val="auto"/>
                <w:sz w:val="24"/>
                <w:szCs w:val="24"/>
              </w:rPr>
            </w:pPr>
          </w:p>
          <w:p>
            <w:pPr>
              <w:jc w:val="center"/>
              <w:rPr>
                <w:rFonts w:ascii="Times New Roman" w:eastAsia="楷体" w:hAnsi="Times New Roman" w:cs="Times New Roman" w:hint="default"/>
                <w:color w:val="auto"/>
                <w:sz w:val="24"/>
                <w:szCs w:val="24"/>
              </w:rPr>
            </w:pPr>
          </w:p>
          <w:p>
            <w:pPr>
              <w:jc w:val="center"/>
              <w:rPr>
                <w:rFonts w:ascii="Times New Roman" w:eastAsia="楷体" w:hAnsi="Times New Roman" w:cs="Times New Roman" w:hint="default"/>
                <w:color w:val="auto"/>
                <w:sz w:val="24"/>
                <w:szCs w:val="24"/>
              </w:rPr>
            </w:pPr>
          </w:p>
          <w:p>
            <w:pPr>
              <w:jc w:val="center"/>
              <w:rPr>
                <w:rFonts w:ascii="Times New Roman" w:eastAsia="楷体" w:hAnsi="Times New Roman" w:cs="Times New Roman" w:hint="default"/>
                <w:color w:val="auto"/>
                <w:sz w:val="24"/>
                <w:szCs w:val="24"/>
                <w:lang w:eastAsia="zh-CN"/>
              </w:rPr>
            </w:pPr>
            <w:r>
              <w:rPr>
                <w:rFonts w:ascii="Times New Roman" w:eastAsia="楷体" w:hAnsi="Times New Roman" w:cs="Times New Roman" w:hint="default"/>
                <w:color w:val="auto"/>
                <w:sz w:val="24"/>
                <w:szCs w:val="24"/>
              </w:rPr>
              <w:t>202</w:t>
            </w:r>
            <w:r>
              <w:rPr>
                <w:rFonts w:ascii="Times New Roman" w:eastAsia="楷体" w:hAnsi="Times New Roman" w:cs="Times New Roman" w:hint="default"/>
                <w:color w:val="auto"/>
                <w:sz w:val="24"/>
                <w:szCs w:val="24"/>
                <w:lang w:val="en-US" w:eastAsia="zh-CN"/>
              </w:rPr>
              <w:t>5</w:t>
            </w:r>
          </w:p>
        </w:tc>
        <w:tc>
          <w:tcPr>
            <w:tcW w:w="3812" w:type="dxa"/>
          </w:tcPr>
          <w:p>
            <w:pPr>
              <w:spacing w:line="440" w:lineRule="exact"/>
              <w:jc w:val="left"/>
              <w:rPr>
                <w:rFonts w:ascii="Times New Roman" w:eastAsia="楷体" w:hAnsi="Times New Roman" w:cs="Times New Roman" w:hint="default"/>
                <w:color w:val="auto"/>
                <w:sz w:val="24"/>
              </w:rPr>
            </w:pPr>
            <w:r>
              <w:rPr>
                <w:rFonts w:ascii="Times New Roman" w:eastAsia="楷体" w:hAnsi="Times New Roman" w:cs="Times New Roman" w:hint="default"/>
                <w:color w:val="auto"/>
                <w:sz w:val="24"/>
              </w:rPr>
              <w:t>① 开展文献调研，细化试验方案；</w:t>
            </w:r>
          </w:p>
          <w:p>
            <w:pPr>
              <w:spacing w:line="440" w:lineRule="exact"/>
              <w:jc w:val="left"/>
              <w:rPr>
                <w:rFonts w:ascii="Times New Roman" w:eastAsia="楷体" w:hAnsi="Times New Roman" w:cs="Times New Roman" w:hint="default"/>
                <w:color w:val="auto"/>
                <w:sz w:val="24"/>
              </w:rPr>
            </w:pPr>
            <w:r>
              <w:rPr>
                <w:rFonts w:ascii="Times New Roman" w:eastAsia="楷体" w:hAnsi="Times New Roman" w:cs="Times New Roman" w:hint="default"/>
                <w:color w:val="auto"/>
                <w:sz w:val="24"/>
              </w:rPr>
              <w:t xml:space="preserve">② </w:t>
            </w:r>
            <w:r>
              <w:rPr>
                <w:rFonts w:ascii="Times New Roman" w:eastAsia="楷体" w:hAnsi="Times New Roman" w:cs="Times New Roman" w:hint="default"/>
                <w:color w:val="auto"/>
                <w:sz w:val="24"/>
                <w:lang w:val="en-US" w:eastAsia="zh-CN"/>
              </w:rPr>
              <w:t>开展</w:t>
            </w:r>
            <w:r>
              <w:rPr>
                <w:rFonts w:ascii="Times New Roman" w:eastAsia="楷体" w:hAnsi="Times New Roman" w:cs="Times New Roman" w:hint="default"/>
                <w:color w:val="auto"/>
                <w:sz w:val="24"/>
              </w:rPr>
              <w:t>不同</w:t>
            </w:r>
            <w:r>
              <w:rPr>
                <w:rFonts w:ascii="Times New Roman" w:eastAsia="楷体" w:hAnsi="Times New Roman" w:cs="Times New Roman" w:hint="default"/>
                <w:color w:val="auto"/>
                <w:sz w:val="24"/>
                <w:lang w:val="en-US" w:eastAsia="zh-CN"/>
              </w:rPr>
              <w:t>研究变量</w:t>
            </w:r>
            <w:r>
              <w:rPr>
                <w:rFonts w:ascii="Times New Roman" w:eastAsia="楷体" w:hAnsi="Times New Roman" w:cs="Times New Roman" w:hint="default"/>
                <w:color w:val="auto"/>
                <w:sz w:val="24"/>
              </w:rPr>
              <w:t>对</w:t>
            </w:r>
            <w:r>
              <w:rPr>
                <w:rFonts w:ascii="Times New Roman" w:eastAsia="楷体" w:hAnsi="Times New Roman" w:cs="Times New Roman" w:hint="default"/>
                <w:i w:val="0"/>
                <w:iCs w:val="0"/>
                <w:caps w:val="0"/>
                <w:color w:val="auto"/>
                <w:spacing w:val="0"/>
                <w:sz w:val="24"/>
                <w:szCs w:val="24"/>
                <w:shd w:val="clear" w:color="auto" w:fill="FFFFFF"/>
                <w:lang w:val="en-US" w:eastAsia="zh-CN"/>
              </w:rPr>
              <w:t>高/中/低钙含量碱激发材料电解质</w:t>
            </w:r>
            <w:r>
              <w:rPr>
                <w:rFonts w:ascii="Times New Roman" w:eastAsia="楷体" w:hAnsi="Times New Roman" w:cs="Times New Roman" w:hint="default"/>
                <w:color w:val="auto"/>
                <w:sz w:val="24"/>
              </w:rPr>
              <w:t>导电性能</w:t>
            </w:r>
            <w:r>
              <w:rPr>
                <w:rFonts w:ascii="Times New Roman" w:eastAsia="楷体" w:hAnsi="Times New Roman" w:cs="Times New Roman" w:hint="default"/>
                <w:color w:val="auto"/>
                <w:sz w:val="24"/>
                <w:lang w:val="en-US" w:eastAsia="zh-CN"/>
              </w:rPr>
              <w:t>试验</w:t>
            </w:r>
            <w:r>
              <w:rPr>
                <w:rFonts w:ascii="Times New Roman" w:eastAsia="楷体" w:hAnsi="Times New Roman" w:cs="Times New Roman" w:hint="default"/>
                <w:color w:val="auto"/>
                <w:sz w:val="24"/>
              </w:rPr>
              <w:t>；</w:t>
            </w:r>
          </w:p>
          <w:p>
            <w:pPr>
              <w:spacing w:line="440" w:lineRule="exact"/>
              <w:jc w:val="left"/>
              <w:rPr>
                <w:rFonts w:ascii="Times New Roman" w:eastAsia="楷体" w:hAnsi="Times New Roman" w:cs="Times New Roman" w:hint="default"/>
                <w:color w:val="auto"/>
                <w:sz w:val="24"/>
              </w:rPr>
            </w:pPr>
            <w:r>
              <w:rPr>
                <w:rFonts w:ascii="Times New Roman" w:eastAsia="楷体" w:hAnsi="Times New Roman" w:cs="Times New Roman" w:hint="default"/>
                <w:color w:val="auto"/>
                <w:sz w:val="24"/>
              </w:rPr>
              <w:t xml:space="preserve">③ </w:t>
            </w:r>
            <w:r>
              <w:rPr>
                <w:rFonts w:ascii="Times New Roman" w:eastAsia="楷体" w:hAnsi="Times New Roman" w:cs="Times New Roman" w:hint="default"/>
                <w:color w:val="auto"/>
                <w:sz w:val="24"/>
                <w:lang w:val="en-US" w:eastAsia="zh-CN"/>
              </w:rPr>
              <w:t>定量表征</w:t>
            </w:r>
            <w:r>
              <w:rPr>
                <w:rFonts w:ascii="Times New Roman" w:eastAsia="楷体" w:hAnsi="Times New Roman" w:cs="Times New Roman" w:hint="default"/>
                <w:i w:val="0"/>
                <w:iCs w:val="0"/>
                <w:caps w:val="0"/>
                <w:color w:val="auto"/>
                <w:spacing w:val="0"/>
                <w:sz w:val="24"/>
                <w:szCs w:val="24"/>
                <w:shd w:val="clear" w:color="auto" w:fill="FFFFFF"/>
                <w:lang w:val="en-US" w:eastAsia="zh-CN"/>
              </w:rPr>
              <w:t>高/中/低钙含量碱激发材料微观/细观</w:t>
            </w:r>
            <w:r>
              <w:rPr>
                <w:rFonts w:ascii="Times New Roman" w:eastAsia="楷体" w:hAnsi="Times New Roman" w:cs="Times New Roman" w:hint="default"/>
                <w:color w:val="auto"/>
                <w:sz w:val="24"/>
                <w:lang w:val="en-US" w:eastAsia="zh-CN"/>
              </w:rPr>
              <w:t>孔隙结构特征</w:t>
            </w:r>
            <w:r>
              <w:rPr>
                <w:rFonts w:ascii="Times New Roman" w:eastAsia="楷体" w:hAnsi="Times New Roman" w:cs="Times New Roman" w:hint="default"/>
                <w:color w:val="auto"/>
                <w:sz w:val="24"/>
              </w:rPr>
              <w:t>；</w:t>
            </w:r>
          </w:p>
          <w:p>
            <w:pPr>
              <w:spacing w:line="440" w:lineRule="exact"/>
              <w:jc w:val="left"/>
              <w:rPr>
                <w:rFonts w:ascii="Times New Roman" w:eastAsia="楷体" w:hAnsi="Times New Roman" w:cs="Times New Roman" w:hint="default"/>
                <w:color w:val="auto"/>
                <w:sz w:val="24"/>
                <w:szCs w:val="24"/>
                <w:lang w:val="en-US" w:eastAsia="zh-CN"/>
              </w:rPr>
            </w:pPr>
            <w:r>
              <w:rPr>
                <w:rFonts w:ascii="Times New Roman" w:eastAsia="楷体" w:hAnsi="Times New Roman" w:cs="Times New Roman" w:hint="default"/>
                <w:color w:val="auto"/>
                <w:sz w:val="24"/>
              </w:rPr>
              <w:t>④</w:t>
            </w:r>
            <w:r>
              <w:rPr>
                <w:rFonts w:ascii="Times New Roman" w:eastAsia="楷体" w:hAnsi="Times New Roman" w:cs="Times New Roman" w:hint="default"/>
                <w:color w:val="auto"/>
                <w:sz w:val="24"/>
                <w:lang w:val="en-US" w:eastAsia="zh-CN"/>
              </w:rPr>
              <w:t xml:space="preserve"> 开展水量分配状态和离子浓度对导电性能的影响研究</w:t>
            </w:r>
            <w:r>
              <w:rPr>
                <w:rFonts w:ascii="Times New Roman" w:eastAsia="楷体" w:hAnsi="Times New Roman" w:cs="Times New Roman" w:hint="default"/>
                <w:color w:val="auto"/>
                <w:sz w:val="24"/>
              </w:rPr>
              <w:t>。</w:t>
            </w:r>
          </w:p>
        </w:tc>
        <w:tc>
          <w:tcPr>
            <w:tcW w:w="4578" w:type="dxa"/>
          </w:tcPr>
          <w:p>
            <w:pPr>
              <w:spacing w:line="440" w:lineRule="exact"/>
              <w:jc w:val="left"/>
              <w:rPr>
                <w:rFonts w:ascii="Times New Roman" w:eastAsia="楷体" w:hAnsi="Times New Roman" w:cs="Times New Roman" w:hint="default"/>
                <w:color w:val="auto"/>
                <w:sz w:val="24"/>
              </w:rPr>
            </w:pPr>
            <w:bookmarkStart w:id="117" w:name="OLE_LINK51"/>
            <w:r>
              <w:rPr>
                <w:rFonts w:ascii="Times New Roman" w:eastAsia="楷体" w:hAnsi="Times New Roman" w:cs="Times New Roman" w:hint="default"/>
                <w:color w:val="auto"/>
                <w:sz w:val="24"/>
              </w:rPr>
              <w:t>① 量化研究变量与导电性能之间的关系，剖析影响导电性能的关键参数和因素；</w:t>
            </w:r>
          </w:p>
          <w:p>
            <w:pPr>
              <w:spacing w:line="440" w:lineRule="exact"/>
              <w:jc w:val="left"/>
              <w:rPr>
                <w:rFonts w:ascii="Times New Roman" w:eastAsia="楷体" w:hAnsi="Times New Roman" w:cs="Times New Roman" w:hint="default"/>
                <w:color w:val="auto"/>
                <w:sz w:val="24"/>
              </w:rPr>
            </w:pPr>
            <w:r>
              <w:rPr>
                <w:rFonts w:ascii="Times New Roman" w:eastAsia="楷体" w:hAnsi="Times New Roman" w:cs="Times New Roman" w:hint="default"/>
                <w:color w:val="auto"/>
                <w:sz w:val="24"/>
              </w:rPr>
              <w:t xml:space="preserve">② </w:t>
            </w:r>
            <w:r>
              <w:rPr>
                <w:rFonts w:ascii="Times New Roman" w:eastAsia="楷体" w:hAnsi="Times New Roman" w:cs="Times New Roman" w:hint="default"/>
                <w:color w:val="auto"/>
                <w:sz w:val="24"/>
                <w:lang w:val="en-US" w:eastAsia="zh-CN"/>
              </w:rPr>
              <w:t>提出“孔隙-水-离子传输”多因素调控理论</w:t>
            </w:r>
            <w:r>
              <w:rPr>
                <w:rFonts w:ascii="Times New Roman" w:eastAsia="楷体" w:hAnsi="Times New Roman" w:cs="Times New Roman" w:hint="default"/>
                <w:color w:val="auto"/>
                <w:sz w:val="24"/>
              </w:rPr>
              <w:t>；</w:t>
            </w:r>
          </w:p>
          <w:p>
            <w:pPr>
              <w:spacing w:line="440" w:lineRule="exact"/>
              <w:jc w:val="left"/>
              <w:rPr>
                <w:rFonts w:ascii="Times New Roman" w:eastAsia="楷体" w:hAnsi="Times New Roman" w:cs="Times New Roman" w:hint="default"/>
                <w:color w:val="auto"/>
                <w:sz w:val="24"/>
              </w:rPr>
            </w:pPr>
            <w:r>
              <w:rPr>
                <w:rFonts w:ascii="Times New Roman" w:eastAsia="楷体" w:hAnsi="Times New Roman" w:cs="Times New Roman" w:hint="default"/>
                <w:color w:val="auto"/>
                <w:sz w:val="24"/>
              </w:rPr>
              <w:t xml:space="preserve">③ </w:t>
            </w:r>
            <w:r>
              <w:rPr>
                <w:rFonts w:ascii="Times New Roman" w:eastAsia="楷体" w:hAnsi="Times New Roman" w:cs="Times New Roman" w:hint="default"/>
                <w:color w:val="auto"/>
                <w:sz w:val="24"/>
                <w:lang w:val="en-US" w:eastAsia="zh-CN"/>
              </w:rPr>
              <w:t>深入揭示碱激发材料电解质在多因素</w:t>
            </w:r>
            <w:r>
              <w:rPr>
                <w:rFonts w:eastAsia="楷体" w:cs="Times New Roman" w:hint="eastAsia"/>
                <w:color w:val="auto"/>
                <w:sz w:val="24"/>
                <w:lang w:val="en-US" w:eastAsia="zh-CN"/>
              </w:rPr>
              <w:t>耦合作用</w:t>
            </w:r>
            <w:r>
              <w:rPr>
                <w:rFonts w:ascii="Times New Roman" w:eastAsia="楷体" w:hAnsi="Times New Roman" w:cs="Times New Roman" w:hint="default"/>
                <w:color w:val="auto"/>
                <w:sz w:val="24"/>
                <w:lang w:val="en-US" w:eastAsia="zh-CN"/>
              </w:rPr>
              <w:t>下的导电机制</w:t>
            </w:r>
            <w:r>
              <w:rPr>
                <w:rFonts w:ascii="Times New Roman" w:eastAsia="楷体" w:hAnsi="Times New Roman" w:cs="Times New Roman" w:hint="default"/>
                <w:color w:val="auto"/>
                <w:sz w:val="24"/>
              </w:rPr>
              <w:t>；</w:t>
            </w:r>
          </w:p>
          <w:p>
            <w:pPr>
              <w:jc w:val="left"/>
              <w:rPr>
                <w:rFonts w:ascii="Times New Roman" w:eastAsia="楷体" w:hAnsi="Times New Roman" w:cs="Times New Roman" w:hint="default"/>
                <w:color w:val="auto"/>
                <w:sz w:val="24"/>
                <w:szCs w:val="24"/>
              </w:rPr>
            </w:pPr>
            <w:r>
              <w:rPr>
                <w:rFonts w:ascii="Times New Roman" w:eastAsia="楷体" w:hAnsi="Times New Roman" w:cs="Times New Roman" w:hint="default"/>
                <w:color w:val="auto"/>
                <w:sz w:val="24"/>
              </w:rPr>
              <w:t>④</w:t>
            </w:r>
            <w:r>
              <w:rPr>
                <w:rFonts w:ascii="Times New Roman" w:eastAsia="楷体" w:hAnsi="Times New Roman" w:cs="Times New Roman" w:hint="default"/>
                <w:color w:val="auto"/>
                <w:sz w:val="24"/>
                <w:lang w:val="en-US" w:eastAsia="zh-CN"/>
              </w:rPr>
              <w:t xml:space="preserve"> </w:t>
            </w:r>
            <w:r>
              <w:rPr>
                <w:rFonts w:ascii="Times New Roman" w:eastAsia="楷体" w:hAnsi="Times New Roman" w:cs="Times New Roman" w:hint="default"/>
                <w:i w:val="0"/>
                <w:iCs w:val="0"/>
                <w:caps w:val="0"/>
                <w:color w:val="auto"/>
                <w:spacing w:val="0"/>
                <w:sz w:val="24"/>
                <w:szCs w:val="24"/>
                <w:shd w:val="clear" w:color="auto" w:fill="FFFFFF"/>
                <w:lang w:val="en-US" w:eastAsia="zh-CN"/>
              </w:rPr>
              <w:t>发表学术论文1-2篇，培养研究生1-2名。</w:t>
            </w:r>
            <w:bookmarkEnd w:id="117"/>
          </w:p>
        </w:tc>
      </w:tr>
      <w:tr>
        <w:tblPrEx>
          <w:tblW w:w="0" w:type="auto"/>
          <w:tblInd w:w="99" w:type="dxa"/>
          <w:tblLayout w:type="fixed"/>
          <w:tblCellMar>
            <w:top w:w="0" w:type="dxa"/>
            <w:left w:w="108" w:type="dxa"/>
            <w:bottom w:w="0" w:type="dxa"/>
            <w:right w:w="108" w:type="dxa"/>
          </w:tblCellMar>
        </w:tblPrEx>
        <w:tc>
          <w:tcPr>
            <w:tcW w:w="698" w:type="dxa"/>
          </w:tcPr>
          <w:p>
            <w:pPr>
              <w:jc w:val="center"/>
              <w:rPr>
                <w:rFonts w:ascii="Times New Roman" w:eastAsia="楷体" w:hAnsi="Times New Roman" w:cs="Times New Roman" w:hint="default"/>
                <w:color w:val="auto"/>
                <w:sz w:val="24"/>
                <w:szCs w:val="24"/>
              </w:rPr>
            </w:pPr>
          </w:p>
          <w:p>
            <w:pPr>
              <w:jc w:val="center"/>
              <w:rPr>
                <w:rFonts w:ascii="Times New Roman" w:eastAsia="楷体" w:hAnsi="Times New Roman" w:cs="Times New Roman" w:hint="default"/>
                <w:color w:val="auto"/>
                <w:sz w:val="24"/>
                <w:szCs w:val="24"/>
              </w:rPr>
            </w:pPr>
          </w:p>
          <w:p>
            <w:pPr>
              <w:jc w:val="center"/>
              <w:rPr>
                <w:rFonts w:ascii="Times New Roman" w:eastAsia="楷体" w:hAnsi="Times New Roman" w:cs="Times New Roman" w:hint="default"/>
                <w:color w:val="auto"/>
                <w:sz w:val="24"/>
                <w:szCs w:val="24"/>
              </w:rPr>
            </w:pPr>
          </w:p>
          <w:p>
            <w:pPr>
              <w:jc w:val="center"/>
              <w:rPr>
                <w:rFonts w:ascii="Times New Roman" w:eastAsia="楷体" w:hAnsi="Times New Roman" w:cs="Times New Roman" w:hint="default"/>
                <w:color w:val="auto"/>
                <w:sz w:val="24"/>
                <w:szCs w:val="24"/>
              </w:rPr>
            </w:pPr>
          </w:p>
          <w:p>
            <w:pPr>
              <w:jc w:val="center"/>
              <w:rPr>
                <w:rFonts w:ascii="Times New Roman" w:eastAsia="楷体" w:hAnsi="Times New Roman" w:cs="Times New Roman" w:hint="default"/>
                <w:color w:val="auto"/>
                <w:sz w:val="24"/>
                <w:szCs w:val="24"/>
              </w:rPr>
            </w:pPr>
          </w:p>
          <w:p>
            <w:pPr>
              <w:jc w:val="center"/>
              <w:rPr>
                <w:rFonts w:ascii="Times New Roman" w:eastAsia="楷体" w:hAnsi="Times New Roman" w:cs="Times New Roman" w:hint="default"/>
                <w:color w:val="auto"/>
                <w:sz w:val="24"/>
                <w:szCs w:val="24"/>
              </w:rPr>
            </w:pPr>
          </w:p>
          <w:p>
            <w:pPr>
              <w:jc w:val="center"/>
              <w:rPr>
                <w:rFonts w:ascii="Times New Roman" w:eastAsia="楷体" w:hAnsi="Times New Roman" w:cs="Times New Roman" w:hint="default"/>
                <w:color w:val="auto"/>
                <w:sz w:val="24"/>
                <w:szCs w:val="24"/>
                <w:lang w:eastAsia="zh-CN"/>
              </w:rPr>
            </w:pPr>
            <w:r>
              <w:rPr>
                <w:rFonts w:ascii="Times New Roman" w:eastAsia="楷体" w:hAnsi="Times New Roman" w:cs="Times New Roman" w:hint="default"/>
                <w:color w:val="auto"/>
                <w:sz w:val="24"/>
                <w:szCs w:val="24"/>
              </w:rPr>
              <w:t>202</w:t>
            </w:r>
            <w:r>
              <w:rPr>
                <w:rFonts w:ascii="Times New Roman" w:eastAsia="楷体" w:hAnsi="Times New Roman" w:cs="Times New Roman" w:hint="default"/>
                <w:color w:val="auto"/>
                <w:sz w:val="24"/>
                <w:szCs w:val="24"/>
                <w:lang w:val="en-US" w:eastAsia="zh-CN"/>
              </w:rPr>
              <w:t>6</w:t>
            </w:r>
          </w:p>
        </w:tc>
        <w:tc>
          <w:tcPr>
            <w:tcW w:w="3812" w:type="dxa"/>
          </w:tcPr>
          <w:p>
            <w:pPr>
              <w:spacing w:line="440" w:lineRule="exact"/>
              <w:jc w:val="left"/>
              <w:rPr>
                <w:rFonts w:ascii="Times New Roman" w:eastAsia="楷体" w:hAnsi="Times New Roman" w:cs="Times New Roman" w:hint="default"/>
                <w:color w:val="auto"/>
                <w:sz w:val="24"/>
              </w:rPr>
            </w:pPr>
            <w:r>
              <w:rPr>
                <w:rFonts w:ascii="Times New Roman" w:eastAsia="楷体" w:hAnsi="Times New Roman" w:cs="Times New Roman" w:hint="default"/>
                <w:color w:val="auto"/>
                <w:sz w:val="24"/>
              </w:rPr>
              <w:t xml:space="preserve">① </w:t>
            </w:r>
            <w:r>
              <w:rPr>
                <w:rFonts w:ascii="Times New Roman" w:eastAsia="楷体" w:hAnsi="Times New Roman" w:cs="Times New Roman" w:hint="default"/>
                <w:i w:val="0"/>
                <w:iCs w:val="0"/>
                <w:caps w:val="0"/>
                <w:color w:val="auto"/>
                <w:spacing w:val="0"/>
                <w:sz w:val="24"/>
                <w:szCs w:val="24"/>
                <w:shd w:val="clear" w:color="auto" w:fill="FFFFFF"/>
                <w:lang w:val="en-US" w:eastAsia="zh-CN"/>
              </w:rPr>
              <w:t>测试超级电容器的</w:t>
            </w:r>
            <w:r>
              <w:rPr>
                <w:rFonts w:ascii="Times New Roman" w:eastAsia="楷体" w:hAnsi="Times New Roman" w:cs="Times New Roman" w:hint="default"/>
                <w:color w:val="auto"/>
                <w:sz w:val="24"/>
                <w:szCs w:val="24"/>
                <w:lang w:val="en-US" w:eastAsia="zh-CN"/>
              </w:rPr>
              <w:t>电化学阻抗谱、循环伏安曲线和恒流充放电曲线等</w:t>
            </w:r>
            <w:r>
              <w:rPr>
                <w:rFonts w:ascii="Times New Roman" w:eastAsia="楷体" w:hAnsi="Times New Roman" w:cs="Times New Roman" w:hint="default"/>
                <w:color w:val="auto"/>
                <w:sz w:val="24"/>
              </w:rPr>
              <w:t>；</w:t>
            </w:r>
          </w:p>
          <w:p>
            <w:pPr>
              <w:spacing w:line="440" w:lineRule="exact"/>
              <w:jc w:val="left"/>
              <w:rPr>
                <w:rFonts w:ascii="Times New Roman" w:eastAsia="楷体" w:hAnsi="Times New Roman" w:cs="Times New Roman" w:hint="default"/>
                <w:color w:val="auto"/>
                <w:sz w:val="24"/>
                <w:szCs w:val="24"/>
                <w:lang w:val="en-US" w:eastAsia="zh-CN"/>
              </w:rPr>
            </w:pPr>
            <w:r>
              <w:rPr>
                <w:rFonts w:ascii="Times New Roman" w:eastAsia="楷体" w:hAnsi="Times New Roman" w:cs="Times New Roman" w:hint="default"/>
                <w:color w:val="auto"/>
                <w:sz w:val="24"/>
              </w:rPr>
              <w:t xml:space="preserve">② </w:t>
            </w:r>
            <w:r>
              <w:rPr>
                <w:rFonts w:ascii="Times New Roman" w:eastAsia="楷体" w:hAnsi="Times New Roman" w:cs="Times New Roman" w:hint="default"/>
                <w:i w:val="0"/>
                <w:iCs w:val="0"/>
                <w:caps w:val="0"/>
                <w:color w:val="auto"/>
                <w:spacing w:val="0"/>
                <w:sz w:val="24"/>
                <w:szCs w:val="24"/>
                <w:shd w:val="clear" w:color="auto" w:fill="FFFFFF"/>
                <w:lang w:val="en-US" w:eastAsia="zh-CN"/>
              </w:rPr>
              <w:t>测试受荷状态下超级电容器的</w:t>
            </w:r>
            <w:r>
              <w:rPr>
                <w:rFonts w:ascii="Times New Roman" w:eastAsia="楷体" w:hAnsi="Times New Roman" w:cs="Times New Roman" w:hint="default"/>
                <w:color w:val="auto"/>
                <w:sz w:val="24"/>
                <w:szCs w:val="24"/>
                <w:lang w:val="en-US" w:eastAsia="zh-CN"/>
              </w:rPr>
              <w:t>电化学阻抗谱、循环伏安曲线和恒流充放电曲线。</w:t>
            </w:r>
          </w:p>
          <w:p>
            <w:pPr>
              <w:spacing w:line="440" w:lineRule="exact"/>
              <w:jc w:val="left"/>
              <w:rPr>
                <w:rFonts w:ascii="Times New Roman" w:eastAsia="楷体" w:hAnsi="Times New Roman" w:cs="Times New Roman" w:hint="default"/>
                <w:color w:val="auto"/>
                <w:sz w:val="24"/>
                <w:szCs w:val="24"/>
                <w:lang w:val="en-US" w:eastAsia="zh-CN"/>
              </w:rPr>
            </w:pPr>
            <w:r>
              <w:rPr>
                <w:rFonts w:ascii="Times New Roman" w:eastAsia="楷体" w:hAnsi="Times New Roman" w:cs="Times New Roman" w:hint="default"/>
                <w:color w:val="auto"/>
                <w:sz w:val="24"/>
              </w:rPr>
              <w:t>③</w:t>
            </w:r>
            <w:r>
              <w:rPr>
                <w:rFonts w:ascii="Times New Roman" w:eastAsia="楷体" w:hAnsi="Times New Roman" w:cs="Times New Roman" w:hint="default"/>
                <w:color w:val="auto"/>
                <w:sz w:val="24"/>
                <w:lang w:val="en-US" w:eastAsia="zh-CN"/>
              </w:rPr>
              <w:t xml:space="preserve"> 开展</w:t>
            </w:r>
            <w:r>
              <w:rPr>
                <w:rFonts w:ascii="Times New Roman" w:eastAsia="楷体" w:hAnsi="Times New Roman" w:cs="Times New Roman" w:hint="default"/>
                <w:i w:val="0"/>
                <w:iCs w:val="0"/>
                <w:caps w:val="0"/>
                <w:color w:val="auto"/>
                <w:spacing w:val="0"/>
                <w:sz w:val="24"/>
                <w:szCs w:val="24"/>
                <w:shd w:val="clear" w:color="auto" w:fill="FFFFFF"/>
                <w:lang w:val="en-US" w:eastAsia="zh-CN"/>
              </w:rPr>
              <w:t>水化产物相演化对微观/细观孔隙结构特征和电化学性能的影响研究</w:t>
            </w:r>
          </w:p>
        </w:tc>
        <w:tc>
          <w:tcPr>
            <w:tcW w:w="4578" w:type="dxa"/>
          </w:tcPr>
          <w:p>
            <w:pPr>
              <w:spacing w:line="440" w:lineRule="exact"/>
              <w:jc w:val="left"/>
              <w:rPr>
                <w:rFonts w:ascii="Times New Roman" w:eastAsia="楷体" w:hAnsi="Times New Roman" w:cs="Times New Roman" w:hint="default"/>
                <w:color w:val="auto"/>
                <w:sz w:val="24"/>
              </w:rPr>
            </w:pPr>
            <w:bookmarkStart w:id="118" w:name="OLE_LINK53"/>
            <w:r>
              <w:rPr>
                <w:rFonts w:ascii="Times New Roman" w:eastAsia="楷体" w:hAnsi="Times New Roman" w:cs="Times New Roman" w:hint="default"/>
                <w:color w:val="auto"/>
                <w:sz w:val="24"/>
              </w:rPr>
              <w:t xml:space="preserve">① </w:t>
            </w:r>
            <w:r>
              <w:rPr>
                <w:rFonts w:ascii="Times New Roman" w:eastAsia="楷体" w:hAnsi="Times New Roman" w:cs="Times New Roman" w:hint="default"/>
                <w:color w:val="auto"/>
                <w:sz w:val="24"/>
                <w:szCs w:val="24"/>
                <w:lang w:val="en-US" w:eastAsia="zh-CN"/>
              </w:rPr>
              <w:t>评价碱激发材料超级电容器的电荷存储能力、能量转换效率和循环稳定性等</w:t>
            </w:r>
            <w:r>
              <w:rPr>
                <w:rFonts w:ascii="Times New Roman" w:eastAsia="楷体" w:hAnsi="Times New Roman" w:cs="Times New Roman" w:hint="default"/>
                <w:color w:val="auto"/>
                <w:sz w:val="24"/>
              </w:rPr>
              <w:t>；</w:t>
            </w:r>
          </w:p>
          <w:p>
            <w:pPr>
              <w:spacing w:line="440" w:lineRule="exact"/>
              <w:jc w:val="left"/>
              <w:rPr>
                <w:rFonts w:ascii="Times New Roman" w:eastAsia="楷体" w:hAnsi="Times New Roman" w:cs="Times New Roman" w:hint="default"/>
                <w:color w:val="auto"/>
                <w:sz w:val="24"/>
              </w:rPr>
            </w:pPr>
            <w:r>
              <w:rPr>
                <w:rFonts w:ascii="Times New Roman" w:eastAsia="楷体" w:hAnsi="Times New Roman" w:cs="Times New Roman" w:hint="default"/>
                <w:color w:val="auto"/>
                <w:sz w:val="24"/>
              </w:rPr>
              <w:t xml:space="preserve">② </w:t>
            </w:r>
            <w:r>
              <w:rPr>
                <w:rFonts w:ascii="Times New Roman" w:eastAsia="楷体" w:hAnsi="Times New Roman" w:cs="Times New Roman" w:hint="default"/>
                <w:color w:val="auto"/>
                <w:sz w:val="24"/>
                <w:szCs w:val="24"/>
                <w:lang w:val="en-US" w:eastAsia="zh-CN"/>
              </w:rPr>
              <w:t>评价受荷状态下超级电容器的电化学响应特性</w:t>
            </w:r>
            <w:r>
              <w:rPr>
                <w:rFonts w:ascii="Times New Roman" w:eastAsia="楷体" w:hAnsi="Times New Roman" w:cs="Times New Roman" w:hint="default"/>
                <w:color w:val="auto"/>
                <w:sz w:val="24"/>
              </w:rPr>
              <w:t>；</w:t>
            </w:r>
          </w:p>
          <w:p>
            <w:pPr>
              <w:spacing w:line="440" w:lineRule="exact"/>
              <w:jc w:val="left"/>
              <w:rPr>
                <w:rFonts w:ascii="Times New Roman" w:eastAsia="楷体" w:hAnsi="Times New Roman" w:cs="Times New Roman" w:hint="default"/>
                <w:color w:val="auto"/>
                <w:sz w:val="24"/>
              </w:rPr>
            </w:pPr>
            <w:r>
              <w:rPr>
                <w:rFonts w:ascii="Times New Roman" w:eastAsia="楷体" w:hAnsi="Times New Roman" w:cs="Times New Roman" w:hint="default"/>
                <w:color w:val="auto"/>
                <w:sz w:val="24"/>
              </w:rPr>
              <w:t xml:space="preserve">③ </w:t>
            </w:r>
            <w:r>
              <w:rPr>
                <w:rFonts w:ascii="Times New Roman" w:eastAsia="楷体" w:hAnsi="Times New Roman" w:cs="Times New Roman" w:hint="default"/>
                <w:color w:val="auto"/>
                <w:sz w:val="24"/>
                <w:lang w:val="en-US" w:eastAsia="zh-CN"/>
              </w:rPr>
              <w:t>深入</w:t>
            </w:r>
            <w:r>
              <w:rPr>
                <w:rFonts w:ascii="Times New Roman" w:eastAsia="楷体" w:hAnsi="Times New Roman" w:cs="Times New Roman" w:hint="default"/>
                <w:i w:val="0"/>
                <w:iCs w:val="0"/>
                <w:caps w:val="0"/>
                <w:color w:val="auto"/>
                <w:spacing w:val="0"/>
                <w:sz w:val="24"/>
                <w:szCs w:val="24"/>
                <w:shd w:val="clear" w:color="auto" w:fill="FFFFFF"/>
                <w:lang w:val="en-US" w:eastAsia="zh-CN"/>
              </w:rPr>
              <w:t>揭示碱激发材料超级电容器的储能机理</w:t>
            </w:r>
            <w:r>
              <w:rPr>
                <w:rFonts w:ascii="Times New Roman" w:eastAsia="楷体" w:hAnsi="Times New Roman" w:cs="Times New Roman" w:hint="default"/>
                <w:color w:val="auto"/>
                <w:sz w:val="24"/>
              </w:rPr>
              <w:t>；</w:t>
            </w:r>
          </w:p>
          <w:p>
            <w:pPr>
              <w:spacing w:line="440" w:lineRule="exact"/>
              <w:jc w:val="left"/>
              <w:rPr>
                <w:rFonts w:ascii="Times New Roman" w:eastAsia="楷体" w:hAnsi="Times New Roman" w:cs="Times New Roman" w:hint="default"/>
                <w:color w:val="auto"/>
                <w:sz w:val="24"/>
                <w:szCs w:val="24"/>
              </w:rPr>
            </w:pPr>
            <w:r>
              <w:rPr>
                <w:rFonts w:ascii="Times New Roman" w:eastAsia="楷体" w:hAnsi="Times New Roman" w:cs="Times New Roman" w:hint="default"/>
                <w:color w:val="auto"/>
                <w:sz w:val="24"/>
              </w:rPr>
              <w:t>④</w:t>
            </w:r>
            <w:r>
              <w:rPr>
                <w:rFonts w:ascii="Times New Roman" w:eastAsia="楷体" w:hAnsi="Times New Roman" w:cs="Times New Roman" w:hint="default"/>
                <w:color w:val="auto"/>
                <w:sz w:val="24"/>
                <w:lang w:val="en-US" w:eastAsia="zh-CN"/>
              </w:rPr>
              <w:t xml:space="preserve"> </w:t>
            </w:r>
            <w:r>
              <w:rPr>
                <w:rFonts w:ascii="Times New Roman" w:eastAsia="楷体" w:hAnsi="Times New Roman" w:cs="Times New Roman" w:hint="default"/>
                <w:i w:val="0"/>
                <w:iCs w:val="0"/>
                <w:caps w:val="0"/>
                <w:color w:val="auto"/>
                <w:spacing w:val="0"/>
                <w:sz w:val="24"/>
                <w:szCs w:val="24"/>
                <w:shd w:val="clear" w:color="auto" w:fill="FFFFFF"/>
                <w:lang w:val="en-US" w:eastAsia="zh-CN"/>
              </w:rPr>
              <w:t>发表学术论文2-3篇，培养研究生1-2名</w:t>
            </w:r>
            <w:r>
              <w:rPr>
                <w:rFonts w:ascii="Times New Roman" w:eastAsia="楷体" w:hAnsi="Times New Roman" w:cs="Times New Roman" w:hint="default"/>
                <w:color w:val="auto"/>
                <w:sz w:val="24"/>
              </w:rPr>
              <w:t>。</w:t>
            </w:r>
            <w:bookmarkEnd w:id="118"/>
          </w:p>
        </w:tc>
      </w:tr>
      <w:tr>
        <w:tblPrEx>
          <w:tblW w:w="0" w:type="auto"/>
          <w:tblInd w:w="99" w:type="dxa"/>
          <w:tblLayout w:type="fixed"/>
          <w:tblCellMar>
            <w:top w:w="0" w:type="dxa"/>
            <w:left w:w="108" w:type="dxa"/>
            <w:bottom w:w="0" w:type="dxa"/>
            <w:right w:w="108" w:type="dxa"/>
          </w:tblCellMar>
        </w:tblPrEx>
        <w:tc>
          <w:tcPr>
            <w:tcW w:w="698" w:type="dxa"/>
          </w:tcPr>
          <w:p>
            <w:pPr>
              <w:jc w:val="center"/>
              <w:rPr>
                <w:rFonts w:ascii="Times New Roman" w:eastAsia="楷体" w:hAnsi="Times New Roman" w:cs="Times New Roman" w:hint="default"/>
                <w:color w:val="auto"/>
                <w:sz w:val="24"/>
                <w:szCs w:val="24"/>
              </w:rPr>
            </w:pPr>
          </w:p>
          <w:p>
            <w:pPr>
              <w:jc w:val="center"/>
              <w:rPr>
                <w:rFonts w:ascii="Times New Roman" w:eastAsia="楷体" w:hAnsi="Times New Roman" w:cs="Times New Roman" w:hint="default"/>
                <w:color w:val="auto"/>
                <w:sz w:val="24"/>
                <w:szCs w:val="24"/>
              </w:rPr>
            </w:pPr>
          </w:p>
          <w:p>
            <w:pPr>
              <w:jc w:val="center"/>
              <w:rPr>
                <w:rFonts w:ascii="Times New Roman" w:eastAsia="楷体" w:hAnsi="Times New Roman" w:cs="Times New Roman" w:hint="default"/>
                <w:color w:val="auto"/>
                <w:sz w:val="24"/>
                <w:szCs w:val="24"/>
              </w:rPr>
            </w:pPr>
          </w:p>
          <w:p>
            <w:pPr>
              <w:jc w:val="center"/>
              <w:rPr>
                <w:rFonts w:ascii="Times New Roman" w:eastAsia="楷体" w:hAnsi="Times New Roman" w:cs="Times New Roman" w:hint="default"/>
                <w:color w:val="auto"/>
                <w:sz w:val="24"/>
                <w:szCs w:val="24"/>
              </w:rPr>
            </w:pPr>
          </w:p>
          <w:p>
            <w:pPr>
              <w:jc w:val="center"/>
              <w:rPr>
                <w:rFonts w:ascii="Times New Roman" w:eastAsia="楷体" w:hAnsi="Times New Roman" w:cs="Times New Roman" w:hint="default"/>
                <w:color w:val="auto"/>
                <w:sz w:val="24"/>
                <w:szCs w:val="24"/>
              </w:rPr>
            </w:pPr>
          </w:p>
          <w:p>
            <w:pPr>
              <w:jc w:val="center"/>
              <w:rPr>
                <w:rFonts w:ascii="Times New Roman" w:eastAsia="楷体" w:hAnsi="Times New Roman" w:cs="Times New Roman" w:hint="default"/>
                <w:color w:val="auto"/>
                <w:sz w:val="24"/>
                <w:szCs w:val="24"/>
              </w:rPr>
            </w:pPr>
          </w:p>
          <w:p>
            <w:pPr>
              <w:jc w:val="center"/>
              <w:rPr>
                <w:rFonts w:ascii="Times New Roman" w:eastAsia="楷体" w:hAnsi="Times New Roman" w:cs="Times New Roman" w:hint="default"/>
                <w:color w:val="auto"/>
                <w:sz w:val="24"/>
                <w:szCs w:val="24"/>
                <w:lang w:eastAsia="zh-CN"/>
              </w:rPr>
            </w:pPr>
            <w:r>
              <w:rPr>
                <w:rFonts w:ascii="Times New Roman" w:eastAsia="楷体" w:hAnsi="Times New Roman" w:cs="Times New Roman" w:hint="default"/>
                <w:color w:val="auto"/>
                <w:sz w:val="24"/>
                <w:szCs w:val="24"/>
              </w:rPr>
              <w:t>202</w:t>
            </w:r>
            <w:r>
              <w:rPr>
                <w:rFonts w:ascii="Times New Roman" w:eastAsia="楷体" w:hAnsi="Times New Roman" w:cs="Times New Roman" w:hint="default"/>
                <w:color w:val="auto"/>
                <w:sz w:val="24"/>
                <w:szCs w:val="24"/>
                <w:lang w:val="en-US" w:eastAsia="zh-CN"/>
              </w:rPr>
              <w:t>7</w:t>
            </w:r>
          </w:p>
        </w:tc>
        <w:tc>
          <w:tcPr>
            <w:tcW w:w="3812" w:type="dxa"/>
          </w:tcPr>
          <w:p>
            <w:pPr>
              <w:numPr>
                <w:ilvl w:val="0"/>
                <w:numId w:val="0"/>
              </w:numPr>
              <w:spacing w:line="440" w:lineRule="exact"/>
              <w:jc w:val="left"/>
              <w:rPr>
                <w:rFonts w:ascii="Times New Roman" w:eastAsia="楷体" w:hAnsi="Times New Roman" w:cs="Times New Roman" w:hint="default"/>
                <w:color w:val="auto"/>
                <w:sz w:val="24"/>
              </w:rPr>
            </w:pPr>
            <w:r>
              <w:rPr>
                <w:rFonts w:ascii="Times New Roman" w:eastAsia="楷体" w:hAnsi="Times New Roman" w:cs="Times New Roman" w:hint="default"/>
                <w:color w:val="auto"/>
                <w:sz w:val="24"/>
              </w:rPr>
              <w:t>①</w:t>
            </w:r>
            <w:r>
              <w:rPr>
                <w:rFonts w:ascii="Times New Roman" w:eastAsia="楷体" w:hAnsi="Times New Roman" w:cs="Times New Roman" w:hint="default"/>
                <w:color w:val="auto"/>
                <w:sz w:val="24"/>
                <w:lang w:val="en-US" w:eastAsia="zh-CN"/>
              </w:rPr>
              <w:t xml:space="preserve"> </w:t>
            </w:r>
            <w:r>
              <w:rPr>
                <w:rFonts w:ascii="Times New Roman" w:eastAsia="楷体" w:hAnsi="Times New Roman" w:cs="Times New Roman" w:hint="default"/>
                <w:i w:val="0"/>
                <w:iCs w:val="0"/>
                <w:caps w:val="0"/>
                <w:color w:val="auto"/>
                <w:spacing w:val="0"/>
                <w:sz w:val="24"/>
                <w:szCs w:val="24"/>
                <w:shd w:val="clear" w:color="auto" w:fill="FFFFFF"/>
                <w:lang w:val="en-US" w:eastAsia="zh-CN"/>
              </w:rPr>
              <w:t>开展碱激发材料超级电容器长时间充放电循环测试</w:t>
            </w:r>
            <w:r>
              <w:rPr>
                <w:rFonts w:ascii="Times New Roman" w:eastAsia="楷体" w:hAnsi="Times New Roman" w:cs="Times New Roman" w:hint="default"/>
                <w:color w:val="auto"/>
                <w:sz w:val="24"/>
              </w:rPr>
              <w:t>；</w:t>
            </w:r>
          </w:p>
          <w:p>
            <w:pPr>
              <w:numPr>
                <w:ilvl w:val="0"/>
                <w:numId w:val="0"/>
              </w:numPr>
              <w:spacing w:line="440" w:lineRule="exact"/>
              <w:jc w:val="left"/>
              <w:rPr>
                <w:rFonts w:ascii="Times New Roman" w:eastAsia="楷体" w:hAnsi="Times New Roman" w:cs="Times New Roman" w:hint="default"/>
                <w:color w:val="auto"/>
                <w:sz w:val="24"/>
                <w:lang w:val="en-US" w:eastAsia="zh-CN"/>
              </w:rPr>
            </w:pPr>
            <w:r>
              <w:rPr>
                <w:rFonts w:ascii="Times New Roman" w:eastAsia="楷体" w:hAnsi="Times New Roman" w:cs="Times New Roman" w:hint="default"/>
                <w:color w:val="auto"/>
                <w:sz w:val="24"/>
              </w:rPr>
              <w:t>②</w:t>
            </w:r>
            <w:r>
              <w:rPr>
                <w:rFonts w:ascii="Times New Roman" w:eastAsia="楷体" w:hAnsi="Times New Roman" w:cs="Times New Roman" w:hint="default"/>
                <w:color w:val="auto"/>
                <w:sz w:val="24"/>
                <w:lang w:val="en-US" w:eastAsia="zh-CN"/>
              </w:rPr>
              <w:t xml:space="preserve"> </w:t>
            </w:r>
            <w:r>
              <w:rPr>
                <w:rFonts w:ascii="Times New Roman" w:eastAsia="楷体" w:hAnsi="Times New Roman" w:cs="Times New Roman" w:hint="default"/>
                <w:i w:val="0"/>
                <w:iCs w:val="0"/>
                <w:caps w:val="0"/>
                <w:color w:val="auto"/>
                <w:spacing w:val="0"/>
                <w:sz w:val="24"/>
                <w:szCs w:val="24"/>
                <w:shd w:val="clear" w:color="auto" w:fill="FFFFFF"/>
                <w:lang w:val="en-US" w:eastAsia="zh-CN"/>
              </w:rPr>
              <w:t>开展不同循环次数下电极-电解质界面化学分析和电解质的微观/细观结构表征测试；</w:t>
            </w:r>
          </w:p>
          <w:p>
            <w:pPr>
              <w:spacing w:line="440" w:lineRule="exact"/>
              <w:jc w:val="left"/>
              <w:rPr>
                <w:rFonts w:ascii="Times New Roman" w:eastAsia="楷体" w:hAnsi="Times New Roman" w:cs="Times New Roman" w:hint="default"/>
                <w:color w:val="auto"/>
                <w:sz w:val="24"/>
              </w:rPr>
            </w:pPr>
            <w:r>
              <w:rPr>
                <w:rFonts w:ascii="Times New Roman" w:eastAsia="楷体" w:hAnsi="Times New Roman" w:cs="Times New Roman" w:hint="default"/>
                <w:color w:val="auto"/>
                <w:sz w:val="24"/>
              </w:rPr>
              <w:t xml:space="preserve">③ </w:t>
            </w:r>
            <w:r>
              <w:rPr>
                <w:rFonts w:ascii="Times New Roman" w:eastAsia="楷体" w:hAnsi="Times New Roman" w:cs="Times New Roman" w:hint="default"/>
                <w:i w:val="0"/>
                <w:iCs w:val="0"/>
                <w:caps w:val="0"/>
                <w:color w:val="auto"/>
                <w:spacing w:val="0"/>
                <w:sz w:val="24"/>
                <w:szCs w:val="24"/>
                <w:shd w:val="clear" w:color="auto" w:fill="FFFFFF"/>
                <w:lang w:val="en-US" w:eastAsia="zh-CN"/>
              </w:rPr>
              <w:t>开展优化调控后超级电容器的电化学性能和长期稳定性测试</w:t>
            </w:r>
            <w:r>
              <w:rPr>
                <w:rFonts w:ascii="Times New Roman" w:eastAsia="楷体" w:hAnsi="Times New Roman" w:cs="Times New Roman" w:hint="default"/>
                <w:color w:val="auto"/>
                <w:sz w:val="24"/>
              </w:rPr>
              <w:t>；</w:t>
            </w:r>
          </w:p>
          <w:p>
            <w:pPr>
              <w:spacing w:line="440" w:lineRule="exact"/>
              <w:jc w:val="left"/>
              <w:rPr>
                <w:rFonts w:ascii="Times New Roman" w:eastAsia="楷体" w:hAnsi="Times New Roman" w:cs="Times New Roman" w:hint="default"/>
                <w:color w:val="auto"/>
                <w:sz w:val="24"/>
                <w:szCs w:val="24"/>
              </w:rPr>
            </w:pPr>
            <w:r>
              <w:rPr>
                <w:rFonts w:ascii="Times New Roman" w:eastAsia="楷体" w:hAnsi="Times New Roman" w:cs="Times New Roman" w:hint="default"/>
                <w:color w:val="auto"/>
                <w:sz w:val="24"/>
              </w:rPr>
              <w:t>④</w:t>
            </w:r>
            <w:r>
              <w:rPr>
                <w:rFonts w:ascii="Times New Roman" w:eastAsia="楷体" w:hAnsi="Times New Roman" w:cs="Times New Roman" w:hint="default"/>
                <w:color w:val="auto"/>
                <w:sz w:val="24"/>
                <w:lang w:val="en-US" w:eastAsia="zh-CN"/>
              </w:rPr>
              <w:t xml:space="preserve"> </w:t>
            </w:r>
            <w:r>
              <w:rPr>
                <w:rFonts w:ascii="Times New Roman" w:eastAsia="楷体" w:hAnsi="Times New Roman" w:cs="Times New Roman" w:hint="default"/>
                <w:color w:val="auto"/>
                <w:sz w:val="24"/>
              </w:rPr>
              <w:t>总结研究成果，撰写并提交结题报告。</w:t>
            </w:r>
          </w:p>
        </w:tc>
        <w:tc>
          <w:tcPr>
            <w:tcW w:w="4578" w:type="dxa"/>
          </w:tcPr>
          <w:p>
            <w:pPr>
              <w:spacing w:line="440" w:lineRule="exact"/>
              <w:jc w:val="left"/>
              <w:rPr>
                <w:rFonts w:ascii="Times New Roman" w:eastAsia="楷体" w:hAnsi="Times New Roman" w:cs="Times New Roman" w:hint="default"/>
                <w:i w:val="0"/>
                <w:iCs w:val="0"/>
                <w:caps w:val="0"/>
                <w:color w:val="auto"/>
                <w:spacing w:val="0"/>
                <w:sz w:val="24"/>
                <w:szCs w:val="24"/>
                <w:shd w:val="clear" w:color="auto" w:fill="FFFFFF"/>
                <w:lang w:val="en-US" w:eastAsia="zh-CN"/>
              </w:rPr>
            </w:pPr>
            <w:bookmarkStart w:id="119" w:name="OLE_LINK54"/>
            <w:r>
              <w:rPr>
                <w:rFonts w:ascii="Times New Roman" w:eastAsia="楷体" w:hAnsi="Times New Roman" w:cs="Times New Roman" w:hint="default"/>
                <w:i w:val="0"/>
                <w:iCs w:val="0"/>
                <w:caps w:val="0"/>
                <w:color w:val="auto"/>
                <w:spacing w:val="0"/>
                <w:sz w:val="24"/>
                <w:szCs w:val="24"/>
                <w:shd w:val="clear" w:color="auto" w:fill="FFFFFF"/>
                <w:lang w:val="en-US" w:eastAsia="zh-CN"/>
              </w:rPr>
              <w:t>① 评估超级电容器在长时间工作条件下的稳定性和可靠性；</w:t>
            </w:r>
          </w:p>
          <w:p>
            <w:pPr>
              <w:spacing w:line="440" w:lineRule="exact"/>
              <w:jc w:val="left"/>
              <w:rPr>
                <w:rFonts w:ascii="Times New Roman" w:eastAsia="楷体" w:hAnsi="Times New Roman" w:cs="Times New Roman" w:hint="default"/>
                <w:i w:val="0"/>
                <w:iCs w:val="0"/>
                <w:caps w:val="0"/>
                <w:color w:val="auto"/>
                <w:spacing w:val="0"/>
                <w:sz w:val="24"/>
                <w:szCs w:val="24"/>
                <w:shd w:val="clear" w:color="auto" w:fill="FFFFFF"/>
                <w:lang w:val="en-US" w:eastAsia="zh-CN"/>
              </w:rPr>
            </w:pPr>
            <w:r>
              <w:rPr>
                <w:rFonts w:ascii="Times New Roman" w:eastAsia="楷体" w:hAnsi="Times New Roman" w:cs="Times New Roman" w:hint="default"/>
                <w:i w:val="0"/>
                <w:iCs w:val="0"/>
                <w:caps w:val="0"/>
                <w:color w:val="auto"/>
                <w:spacing w:val="0"/>
                <w:sz w:val="24"/>
                <w:szCs w:val="24"/>
                <w:shd w:val="clear" w:color="auto" w:fill="FFFFFF"/>
                <w:lang w:val="en-US" w:eastAsia="zh-CN"/>
              </w:rPr>
              <w:t>② 揭示长时间充放电失效机理；</w:t>
            </w:r>
          </w:p>
          <w:p>
            <w:pPr>
              <w:spacing w:line="440" w:lineRule="exact"/>
              <w:jc w:val="left"/>
              <w:rPr>
                <w:rFonts w:ascii="Times New Roman" w:eastAsia="楷体" w:hAnsi="Times New Roman" w:cs="Times New Roman" w:hint="default"/>
                <w:i w:val="0"/>
                <w:iCs w:val="0"/>
                <w:caps w:val="0"/>
                <w:color w:val="auto"/>
                <w:spacing w:val="0"/>
                <w:sz w:val="24"/>
                <w:szCs w:val="24"/>
                <w:shd w:val="clear" w:color="auto" w:fill="FFFFFF"/>
                <w:lang w:val="en-US" w:eastAsia="zh-CN"/>
              </w:rPr>
            </w:pPr>
            <w:r>
              <w:rPr>
                <w:rFonts w:ascii="Times New Roman" w:eastAsia="楷体" w:hAnsi="Times New Roman" w:cs="Times New Roman" w:hint="default"/>
                <w:color w:val="auto"/>
                <w:sz w:val="24"/>
              </w:rPr>
              <w:t xml:space="preserve">③ </w:t>
            </w:r>
            <w:r>
              <w:rPr>
                <w:rFonts w:ascii="Times New Roman" w:eastAsia="楷体" w:hAnsi="Times New Roman" w:cs="Times New Roman" w:hint="default"/>
                <w:i w:val="0"/>
                <w:iCs w:val="0"/>
                <w:caps w:val="0"/>
                <w:color w:val="auto"/>
                <w:spacing w:val="0"/>
                <w:sz w:val="24"/>
                <w:szCs w:val="24"/>
                <w:shd w:val="clear" w:color="auto" w:fill="FFFFFF"/>
                <w:lang w:val="en-US" w:eastAsia="zh-CN"/>
              </w:rPr>
              <w:t>系统给出提升碱激发材料超级电容器性能的优化方案；</w:t>
            </w:r>
          </w:p>
          <w:p>
            <w:pPr>
              <w:spacing w:line="440" w:lineRule="exact"/>
              <w:jc w:val="left"/>
              <w:rPr>
                <w:rFonts w:ascii="Times New Roman" w:eastAsia="楷体" w:hAnsi="Times New Roman" w:cs="Times New Roman" w:hint="default"/>
                <w:color w:val="auto"/>
                <w:sz w:val="24"/>
                <w:szCs w:val="24"/>
                <w:lang w:eastAsia="zh-CN"/>
              </w:rPr>
            </w:pPr>
            <w:r>
              <w:rPr>
                <w:rFonts w:ascii="Times New Roman" w:eastAsia="楷体" w:hAnsi="Times New Roman" w:cs="Times New Roman" w:hint="default"/>
                <w:color w:val="auto"/>
                <w:sz w:val="24"/>
              </w:rPr>
              <w:t>④</w:t>
            </w:r>
            <w:r>
              <w:rPr>
                <w:rFonts w:ascii="Times New Roman" w:eastAsia="楷体" w:hAnsi="Times New Roman" w:cs="Times New Roman" w:hint="default"/>
                <w:color w:val="auto"/>
                <w:sz w:val="24"/>
                <w:lang w:val="en-US" w:eastAsia="zh-CN"/>
              </w:rPr>
              <w:t xml:space="preserve"> </w:t>
            </w:r>
            <w:r>
              <w:rPr>
                <w:rFonts w:ascii="Times New Roman" w:eastAsia="楷体" w:hAnsi="Times New Roman" w:cs="Times New Roman" w:hint="default"/>
                <w:i w:val="0"/>
                <w:iCs w:val="0"/>
                <w:caps w:val="0"/>
                <w:color w:val="auto"/>
                <w:spacing w:val="0"/>
                <w:sz w:val="24"/>
                <w:szCs w:val="24"/>
                <w:shd w:val="clear" w:color="auto" w:fill="FFFFFF"/>
                <w:lang w:val="en-US" w:eastAsia="zh-CN"/>
              </w:rPr>
              <w:t>发表学术论文2-3篇，培养研究生1-2名</w:t>
            </w:r>
            <w:r>
              <w:rPr>
                <w:rFonts w:ascii="Times New Roman" w:eastAsia="楷体" w:hAnsi="Times New Roman" w:cs="Times New Roman" w:hint="default"/>
                <w:color w:val="auto"/>
                <w:sz w:val="24"/>
                <w:lang w:eastAsia="zh-CN"/>
              </w:rPr>
              <w:t>。</w:t>
            </w:r>
            <w:bookmarkEnd w:id="119"/>
          </w:p>
        </w:tc>
      </w:tr>
    </w:tbl>
    <w:p>
      <w:pPr>
        <w:wordWrap w:val="0"/>
        <w:spacing w:line="440" w:lineRule="exact"/>
        <w:ind w:firstLine="560" w:firstLineChars="200"/>
        <w:outlineLvl w:val="0"/>
        <w:rPr>
          <w:rFonts w:ascii="楷体" w:eastAsia="楷体" w:hAnsi="楷体" w:cs="楷体"/>
          <w:b/>
        </w:rPr>
      </w:pPr>
      <w:r>
        <w:rPr>
          <w:rFonts w:ascii="楷体" w:eastAsia="楷体" w:hAnsi="楷体" w:cs="楷体" w:hint="eastAsia"/>
          <w:b/>
        </w:rPr>
        <w:t>四、研究基础与工作条件</w:t>
      </w:r>
    </w:p>
    <w:p>
      <w:pPr>
        <w:wordWrap w:val="0"/>
        <w:spacing w:line="440" w:lineRule="exact"/>
        <w:ind w:firstLine="560" w:firstLineChars="200"/>
        <w:rPr>
          <w:rFonts w:ascii="楷体" w:eastAsia="楷体" w:hAnsi="楷体" w:cs="楷体"/>
        </w:rPr>
      </w:pPr>
      <w:r>
        <w:rPr>
          <w:rFonts w:ascii="楷体" w:eastAsia="楷体" w:hAnsi="楷体" w:cs="楷体" w:hint="eastAsia"/>
        </w:rPr>
        <w:t>1.研究基础（与本项目相关的研究工作积累和已取得的研究工作成绩）</w:t>
      </w:r>
    </w:p>
    <w:p>
      <w:pPr>
        <w:keepNext w:val="0"/>
        <w:keepLines w:val="0"/>
        <w:pageBreakBefore w:val="0"/>
        <w:widowControl w:val="0"/>
        <w:kinsoku/>
        <w:wordWrap/>
        <w:overflowPunct/>
        <w:topLinePunct w:val="0"/>
        <w:autoSpaceDE/>
        <w:autoSpaceDN/>
        <w:bidi w:val="0"/>
        <w:adjustRightInd/>
        <w:spacing w:line="440" w:lineRule="exact"/>
        <w:ind w:firstLine="480" w:firstLineChars="200"/>
        <w:textAlignment w:val="auto"/>
        <w:rPr>
          <w:rFonts w:eastAsia="楷体" w:hint="default"/>
          <w:b/>
          <w:bCs/>
          <w:color w:val="auto"/>
          <w:sz w:val="24"/>
          <w:szCs w:val="24"/>
          <w:lang w:val="en-US" w:eastAsia="zh-CN"/>
        </w:rPr>
      </w:pPr>
      <w:r>
        <w:rPr>
          <w:rFonts w:eastAsia="楷体" w:hint="eastAsia"/>
          <w:b/>
          <w:bCs/>
          <w:color w:val="auto"/>
          <w:sz w:val="24"/>
          <w:szCs w:val="24"/>
          <w:lang w:val="en-US" w:eastAsia="zh-CN"/>
        </w:rPr>
        <w:t>（1）碱激发材料的研究基础和已取得的研究工作成绩</w:t>
      </w:r>
    </w:p>
    <w:p>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textAlignment w:val="auto"/>
        <w:rPr>
          <w:rFonts w:eastAsia="楷体"/>
          <w:color w:val="auto"/>
          <w:sz w:val="24"/>
        </w:rPr>
      </w:pPr>
      <w:r>
        <w:rPr>
          <w:rFonts w:eastAsia="楷体"/>
          <w:color w:val="auto"/>
          <w:sz w:val="24"/>
        </w:rPr>
        <w:t>申请人近些年一直开展碱激发</w:t>
      </w:r>
      <w:r>
        <w:rPr>
          <w:rFonts w:eastAsia="楷体" w:hint="eastAsia"/>
          <w:color w:val="auto"/>
          <w:sz w:val="24"/>
          <w:lang w:val="en-US" w:eastAsia="zh-CN"/>
        </w:rPr>
        <w:t>胶凝</w:t>
      </w:r>
      <w:r>
        <w:rPr>
          <w:rFonts w:eastAsia="楷体"/>
          <w:color w:val="auto"/>
          <w:sz w:val="24"/>
        </w:rPr>
        <w:t>材料的</w:t>
      </w:r>
      <w:r>
        <w:rPr>
          <w:rFonts w:eastAsia="楷体" w:hint="eastAsia"/>
          <w:color w:val="auto"/>
          <w:sz w:val="24"/>
          <w:lang w:val="en-US" w:eastAsia="zh-CN"/>
        </w:rPr>
        <w:t>基础理论探索和性能优化研究</w:t>
      </w:r>
      <w:r>
        <w:rPr>
          <w:rFonts w:eastAsia="楷体"/>
          <w:color w:val="auto"/>
          <w:sz w:val="24"/>
        </w:rPr>
        <w:t>，</w:t>
      </w:r>
      <w:r>
        <w:rPr>
          <w:rFonts w:eastAsia="楷体" w:hint="eastAsia"/>
          <w:color w:val="auto"/>
          <w:sz w:val="24"/>
          <w:lang w:val="en-US" w:eastAsia="zh-CN"/>
        </w:rPr>
        <w:t>重点围绕</w:t>
      </w:r>
      <w:r>
        <w:rPr>
          <w:rFonts w:eastAsia="楷体"/>
          <w:color w:val="auto"/>
          <w:sz w:val="24"/>
        </w:rPr>
        <w:t>CaO-SiO</w:t>
      </w:r>
      <w:r>
        <w:rPr>
          <w:rFonts w:eastAsia="楷体"/>
          <w:color w:val="auto"/>
          <w:sz w:val="24"/>
          <w:vertAlign w:val="subscript"/>
        </w:rPr>
        <w:t>2</w:t>
      </w:r>
      <w:r>
        <w:rPr>
          <w:rFonts w:eastAsia="楷体"/>
          <w:color w:val="auto"/>
          <w:sz w:val="24"/>
        </w:rPr>
        <w:t>-Al</w:t>
      </w:r>
      <w:r>
        <w:rPr>
          <w:rFonts w:eastAsia="楷体"/>
          <w:color w:val="auto"/>
          <w:sz w:val="24"/>
          <w:vertAlign w:val="subscript"/>
        </w:rPr>
        <w:t>2</w:t>
      </w:r>
      <w:r>
        <w:rPr>
          <w:rFonts w:eastAsia="楷体"/>
          <w:color w:val="auto"/>
          <w:sz w:val="24"/>
        </w:rPr>
        <w:t>O</w:t>
      </w:r>
      <w:r>
        <w:rPr>
          <w:rFonts w:eastAsia="楷体"/>
          <w:color w:val="auto"/>
          <w:sz w:val="24"/>
          <w:vertAlign w:val="subscript"/>
        </w:rPr>
        <w:t>3</w:t>
      </w:r>
      <w:r>
        <w:rPr>
          <w:rFonts w:eastAsia="楷体" w:hint="eastAsia"/>
          <w:color w:val="auto"/>
          <w:sz w:val="24"/>
          <w:lang w:val="en-US" w:eastAsia="zh-CN"/>
        </w:rPr>
        <w:t>、</w:t>
      </w:r>
      <w:r>
        <w:rPr>
          <w:rFonts w:eastAsia="楷体"/>
          <w:color w:val="auto"/>
          <w:sz w:val="24"/>
        </w:rPr>
        <w:t>SiO</w:t>
      </w:r>
      <w:r>
        <w:rPr>
          <w:rFonts w:eastAsia="楷体"/>
          <w:color w:val="auto"/>
          <w:sz w:val="24"/>
          <w:vertAlign w:val="subscript"/>
        </w:rPr>
        <w:t>2</w:t>
      </w:r>
      <w:r>
        <w:rPr>
          <w:rFonts w:eastAsia="楷体"/>
          <w:color w:val="auto"/>
          <w:sz w:val="24"/>
        </w:rPr>
        <w:t>-Al</w:t>
      </w:r>
      <w:r>
        <w:rPr>
          <w:rFonts w:eastAsia="楷体"/>
          <w:color w:val="auto"/>
          <w:sz w:val="24"/>
          <w:vertAlign w:val="subscript"/>
        </w:rPr>
        <w:t>2</w:t>
      </w:r>
      <w:r>
        <w:rPr>
          <w:rFonts w:eastAsia="楷体"/>
          <w:color w:val="auto"/>
          <w:sz w:val="24"/>
        </w:rPr>
        <w:t>O</w:t>
      </w:r>
      <w:r>
        <w:rPr>
          <w:rFonts w:eastAsia="楷体"/>
          <w:color w:val="auto"/>
          <w:sz w:val="24"/>
          <w:vertAlign w:val="subscript"/>
        </w:rPr>
        <w:t>3</w:t>
      </w:r>
      <w:r>
        <w:rPr>
          <w:rFonts w:eastAsia="楷体"/>
          <w:color w:val="auto"/>
          <w:sz w:val="24"/>
        </w:rPr>
        <w:t>和</w:t>
      </w:r>
      <w:r>
        <w:rPr>
          <w:rFonts w:eastAsia="楷体" w:hint="eastAsia"/>
          <w:color w:val="auto"/>
          <w:sz w:val="24"/>
          <w:lang w:val="en-US" w:eastAsia="zh-CN"/>
        </w:rPr>
        <w:t>MgO复合激发体系开展系统研究。</w:t>
      </w:r>
      <w:r>
        <w:rPr>
          <w:rFonts w:eastAsia="楷体"/>
          <w:color w:val="auto"/>
          <w:sz w:val="24"/>
        </w:rPr>
        <w:t>对碱激发材料</w:t>
      </w:r>
      <w:r>
        <w:rPr>
          <w:rFonts w:eastAsia="楷体" w:hint="eastAsia"/>
          <w:color w:val="auto"/>
          <w:sz w:val="24"/>
          <w:lang w:val="en-US" w:eastAsia="zh-CN"/>
        </w:rPr>
        <w:t>制备工艺优化</w:t>
      </w:r>
      <w:r>
        <w:rPr>
          <w:rFonts w:eastAsia="楷体"/>
          <w:color w:val="auto"/>
          <w:sz w:val="24"/>
        </w:rPr>
        <w:t>、水化</w:t>
      </w:r>
      <w:r>
        <w:rPr>
          <w:rFonts w:eastAsia="楷体" w:hint="eastAsia"/>
          <w:color w:val="auto"/>
          <w:sz w:val="24"/>
          <w:lang w:val="en-US" w:eastAsia="zh-CN"/>
        </w:rPr>
        <w:t>反应</w:t>
      </w:r>
      <w:r>
        <w:rPr>
          <w:rFonts w:eastAsia="楷体"/>
          <w:color w:val="auto"/>
          <w:sz w:val="24"/>
        </w:rPr>
        <w:t>动力学特性、水化产物的物相和性能</w:t>
      </w:r>
      <w:r>
        <w:rPr>
          <w:rFonts w:eastAsia="楷体" w:hint="eastAsia"/>
          <w:color w:val="auto"/>
          <w:sz w:val="24"/>
          <w:lang w:val="en-US" w:eastAsia="zh-CN"/>
        </w:rPr>
        <w:t>演化</w:t>
      </w:r>
      <w:r>
        <w:rPr>
          <w:rFonts w:eastAsia="楷体"/>
          <w:color w:val="auto"/>
          <w:sz w:val="24"/>
        </w:rPr>
        <w:t>、孔隙结构</w:t>
      </w:r>
      <w:r>
        <w:rPr>
          <w:rFonts w:eastAsia="楷体" w:hint="eastAsia"/>
          <w:color w:val="auto"/>
          <w:sz w:val="24"/>
          <w:lang w:val="en-US" w:eastAsia="zh-CN"/>
        </w:rPr>
        <w:t>多尺度表征</w:t>
      </w:r>
      <w:r>
        <w:rPr>
          <w:rFonts w:eastAsia="楷体"/>
          <w:color w:val="auto"/>
          <w:sz w:val="24"/>
        </w:rPr>
        <w:t>和微</w:t>
      </w:r>
      <w:r>
        <w:rPr>
          <w:rFonts w:eastAsia="楷体" w:hint="eastAsia"/>
          <w:color w:val="auto"/>
          <w:sz w:val="24"/>
          <w:lang w:val="en-US" w:eastAsia="zh-CN"/>
        </w:rPr>
        <w:t>观</w:t>
      </w:r>
      <w:r>
        <w:rPr>
          <w:rFonts w:eastAsia="楷体"/>
          <w:color w:val="auto"/>
          <w:sz w:val="24"/>
        </w:rPr>
        <w:t>/细观结构</w:t>
      </w:r>
      <w:r>
        <w:rPr>
          <w:rFonts w:eastAsia="楷体" w:hint="eastAsia"/>
          <w:color w:val="auto"/>
          <w:sz w:val="24"/>
          <w:lang w:val="en-US" w:eastAsia="zh-CN"/>
        </w:rPr>
        <w:t>多尺度协同演化</w:t>
      </w:r>
      <w:r>
        <w:rPr>
          <w:rFonts w:eastAsia="楷体"/>
          <w:color w:val="auto"/>
          <w:sz w:val="24"/>
        </w:rPr>
        <w:t>等均有深入的研究和学习。</w:t>
      </w:r>
      <w:r>
        <w:rPr>
          <w:rFonts w:eastAsia="楷体" w:hint="eastAsia"/>
          <w:color w:val="auto"/>
          <w:sz w:val="24"/>
          <w:lang w:val="en-US" w:eastAsia="zh-CN"/>
        </w:rPr>
        <w:t>其中，申请人提出的Al</w:t>
      </w:r>
      <w:r>
        <w:rPr>
          <w:rFonts w:eastAsia="楷体" w:hint="eastAsia"/>
          <w:color w:val="auto"/>
          <w:sz w:val="24"/>
          <w:vertAlign w:val="subscript"/>
          <w:lang w:val="en-US" w:eastAsia="zh-CN"/>
        </w:rPr>
        <w:t>2</w:t>
      </w:r>
      <w:r>
        <w:rPr>
          <w:rFonts w:eastAsia="楷体" w:hint="eastAsia"/>
          <w:color w:val="auto"/>
          <w:sz w:val="24"/>
          <w:lang w:val="en-US" w:eastAsia="zh-CN"/>
        </w:rPr>
        <w:t>O</w:t>
      </w:r>
      <w:r>
        <w:rPr>
          <w:rFonts w:eastAsia="楷体" w:hint="eastAsia"/>
          <w:color w:val="auto"/>
          <w:sz w:val="24"/>
          <w:vertAlign w:val="subscript"/>
          <w:lang w:val="en-US" w:eastAsia="zh-CN"/>
        </w:rPr>
        <w:t>3</w:t>
      </w:r>
      <w:r>
        <w:rPr>
          <w:rFonts w:eastAsia="楷体" w:hint="eastAsia"/>
          <w:color w:val="auto"/>
          <w:sz w:val="24"/>
          <w:lang w:val="en-US" w:eastAsia="zh-CN"/>
        </w:rPr>
        <w:t>增强固结Cl</w:t>
      </w:r>
      <w:r>
        <w:rPr>
          <w:rFonts w:eastAsia="楷体" w:hint="eastAsia"/>
          <w:color w:val="auto"/>
          <w:sz w:val="24"/>
          <w:vertAlign w:val="superscript"/>
          <w:lang w:val="en-US" w:eastAsia="zh-CN"/>
        </w:rPr>
        <w:t>-</w:t>
      </w:r>
      <w:r>
        <w:rPr>
          <w:rFonts w:eastAsia="楷体" w:hint="eastAsia"/>
          <w:color w:val="auto"/>
          <w:sz w:val="24"/>
          <w:lang w:val="en-US" w:eastAsia="zh-CN"/>
        </w:rPr>
        <w:t>能力，碱激发材料收缩机理和持续亚高温演化机理等研究成果均得到了评审专家的高度评价。申请人在国家公派博士联合培养期间，跟随坎特伯雷大学Scott Allan教授课题组开</w:t>
      </w:r>
      <w:r>
        <w:rPr>
          <w:rFonts w:ascii="Times New Roman" w:eastAsia="楷体" w:hAnsi="Times New Roman" w:cs="Times New Roman" w:hint="default"/>
          <w:color w:val="auto"/>
          <w:sz w:val="24"/>
          <w:lang w:val="en-US" w:eastAsia="zh-CN"/>
        </w:rPr>
        <w:t>展MgO-SiO</w:t>
      </w:r>
      <w:r>
        <w:rPr>
          <w:rFonts w:ascii="Times New Roman" w:eastAsia="楷体" w:hAnsi="Times New Roman" w:cs="Times New Roman" w:hint="default"/>
          <w:color w:val="auto"/>
          <w:sz w:val="24"/>
          <w:vertAlign w:val="subscript"/>
          <w:lang w:val="en-US" w:eastAsia="zh-CN"/>
        </w:rPr>
        <w:t>2</w:t>
      </w:r>
      <w:r>
        <w:rPr>
          <w:rFonts w:ascii="Times New Roman" w:eastAsia="楷体" w:hAnsi="Times New Roman" w:cs="Times New Roman" w:hint="default"/>
          <w:color w:val="auto"/>
          <w:sz w:val="24"/>
          <w:lang w:val="en-US" w:eastAsia="zh-CN"/>
        </w:rPr>
        <w:t>、MgO-SiO</w:t>
      </w:r>
      <w:r>
        <w:rPr>
          <w:rFonts w:ascii="Times New Roman" w:eastAsia="楷体" w:hAnsi="Times New Roman" w:cs="Times New Roman" w:hint="default"/>
          <w:color w:val="auto"/>
          <w:sz w:val="24"/>
          <w:vertAlign w:val="subscript"/>
          <w:lang w:val="en-US" w:eastAsia="zh-CN"/>
        </w:rPr>
        <w:t>2</w:t>
      </w:r>
      <w:r>
        <w:rPr>
          <w:rFonts w:ascii="Times New Roman" w:eastAsia="楷体" w:hAnsi="Times New Roman" w:cs="Times New Roman" w:hint="default"/>
          <w:color w:val="auto"/>
          <w:sz w:val="24"/>
          <w:lang w:val="en-US" w:eastAsia="zh-CN"/>
        </w:rPr>
        <w:t>-Al</w:t>
      </w:r>
      <w:r>
        <w:rPr>
          <w:rFonts w:ascii="Times New Roman" w:eastAsia="楷体" w:hAnsi="Times New Roman" w:cs="Times New Roman" w:hint="default"/>
          <w:color w:val="auto"/>
          <w:sz w:val="24"/>
          <w:vertAlign w:val="subscript"/>
          <w:lang w:val="en-US" w:eastAsia="zh-CN"/>
        </w:rPr>
        <w:t>2</w:t>
      </w:r>
      <w:r>
        <w:rPr>
          <w:rFonts w:ascii="Times New Roman" w:eastAsia="楷体" w:hAnsi="Times New Roman" w:cs="Times New Roman" w:hint="default"/>
          <w:color w:val="auto"/>
          <w:sz w:val="24"/>
          <w:lang w:val="en-US" w:eastAsia="zh-CN"/>
        </w:rPr>
        <w:t>O</w:t>
      </w:r>
      <w:r>
        <w:rPr>
          <w:rFonts w:ascii="Times New Roman" w:eastAsia="楷体" w:hAnsi="Times New Roman" w:cs="Times New Roman" w:hint="default"/>
          <w:color w:val="auto"/>
          <w:sz w:val="24"/>
          <w:vertAlign w:val="subscript"/>
          <w:lang w:val="en-US" w:eastAsia="zh-CN"/>
        </w:rPr>
        <w:t>3</w:t>
      </w:r>
      <w:r>
        <w:rPr>
          <w:rFonts w:ascii="Times New Roman" w:eastAsia="楷体" w:hAnsi="Times New Roman" w:cs="Times New Roman" w:hint="default"/>
          <w:color w:val="auto"/>
          <w:sz w:val="24"/>
          <w:lang w:val="en-US" w:eastAsia="zh-CN"/>
        </w:rPr>
        <w:t>-CaO</w:t>
      </w:r>
      <w:r>
        <w:rPr>
          <w:rFonts w:ascii="Times New Roman" w:eastAsia="楷体" w:hAnsi="Times New Roman" w:cs="Times New Roman" w:hint="default"/>
          <w:color w:val="auto"/>
          <w:sz w:val="24"/>
        </w:rPr>
        <w:t>材料的</w:t>
      </w:r>
      <w:r>
        <w:rPr>
          <w:rFonts w:ascii="Times New Roman" w:eastAsia="楷体" w:hAnsi="Times New Roman" w:cs="Times New Roman" w:hint="default"/>
          <w:color w:val="auto"/>
          <w:sz w:val="24"/>
          <w:lang w:val="en-US" w:eastAsia="zh-CN"/>
        </w:rPr>
        <w:t>研究，入职河北大学后申请了河北省2022年度引进留学人员资助项目，并获批立项。与山东农业大学冯竟竟教授</w:t>
      </w:r>
      <w:r>
        <w:rPr>
          <w:rFonts w:ascii="Times New Roman" w:eastAsia="楷体" w:hAnsi="Times New Roman" w:cs="Times New Roman" w:hint="eastAsia"/>
          <w:color w:val="auto"/>
          <w:sz w:val="24"/>
          <w:lang w:val="en-US" w:eastAsia="zh-CN"/>
        </w:rPr>
        <w:t>和</w:t>
      </w:r>
      <w:r>
        <w:rPr>
          <w:rFonts w:ascii="Times New Roman" w:eastAsia="楷体" w:hAnsi="Times New Roman" w:cs="Times New Roman" w:hint="default"/>
          <w:color w:val="auto"/>
          <w:sz w:val="24"/>
          <w:lang w:val="en-US" w:eastAsia="zh-CN"/>
        </w:rPr>
        <w:t>英国帝国理工学院Chao Wu教授合作开展了</w:t>
      </w:r>
      <w:r>
        <w:rPr>
          <w:rFonts w:ascii="Times New Roman" w:eastAsia="楷体" w:hAnsi="Times New Roman" w:cs="Times New Roman" w:hint="default"/>
          <w:color w:val="auto"/>
          <w:sz w:val="24"/>
        </w:rPr>
        <w:t>持续中温作用对碱激发粉煤灰-矿渣材料/混凝土的研究</w:t>
      </w:r>
      <w:r>
        <w:rPr>
          <w:rFonts w:ascii="Times New Roman" w:eastAsia="楷体" w:hAnsi="Times New Roman" w:cs="Times New Roman" w:hint="default"/>
          <w:color w:val="auto"/>
          <w:sz w:val="24"/>
          <w:lang w:eastAsia="zh-CN"/>
        </w:rPr>
        <w:t>，</w:t>
      </w:r>
      <w:r>
        <w:rPr>
          <w:rFonts w:ascii="Times New Roman" w:eastAsia="楷体" w:hAnsi="Times New Roman" w:cs="Times New Roman" w:hint="default"/>
          <w:color w:val="auto"/>
          <w:sz w:val="24"/>
          <w:lang w:val="en-US" w:eastAsia="zh-CN"/>
        </w:rPr>
        <w:t>弥补了60℃-250℃</w:t>
      </w:r>
      <w:r>
        <w:rPr>
          <w:rFonts w:ascii="Times New Roman" w:eastAsia="楷体" w:hAnsi="Times New Roman" w:cs="Times New Roman" w:hint="eastAsia"/>
          <w:color w:val="auto"/>
          <w:sz w:val="24"/>
          <w:lang w:val="en-US" w:eastAsia="zh-CN"/>
        </w:rPr>
        <w:t>温度</w:t>
      </w:r>
      <w:r>
        <w:rPr>
          <w:rFonts w:ascii="Times New Roman" w:eastAsia="楷体" w:hAnsi="Times New Roman" w:cs="Times New Roman" w:hint="default"/>
          <w:color w:val="auto"/>
          <w:sz w:val="24"/>
          <w:lang w:val="en-US" w:eastAsia="zh-CN"/>
        </w:rPr>
        <w:t>作用条件对碱激发材料性能影响的空白</w:t>
      </w:r>
      <w:r>
        <w:rPr>
          <w:rFonts w:ascii="Times New Roman" w:eastAsia="楷体" w:hAnsi="Times New Roman" w:cs="Times New Roman" w:hint="default"/>
          <w:color w:val="auto"/>
          <w:sz w:val="24"/>
        </w:rPr>
        <w:t>。</w:t>
      </w:r>
      <w:r>
        <w:rPr>
          <w:rFonts w:eastAsia="楷体"/>
          <w:b/>
          <w:bCs/>
          <w:color w:val="auto"/>
          <w:sz w:val="24"/>
        </w:rPr>
        <w:t>前期大量的碱激发材料研究基础为本项目碱激发粉煤灰-矿渣胶凝材料制备、水化产物相表征、孔隙</w:t>
      </w:r>
      <w:r>
        <w:rPr>
          <w:rFonts w:eastAsia="楷体" w:hint="eastAsia"/>
          <w:b/>
          <w:bCs/>
          <w:color w:val="auto"/>
          <w:sz w:val="24"/>
          <w:lang w:val="en-US" w:eastAsia="zh-CN"/>
        </w:rPr>
        <w:t>结构</w:t>
      </w:r>
      <w:r>
        <w:rPr>
          <w:rFonts w:eastAsia="楷体"/>
          <w:b/>
          <w:bCs/>
          <w:color w:val="auto"/>
          <w:sz w:val="24"/>
        </w:rPr>
        <w:t>特征分析</w:t>
      </w:r>
      <w:r>
        <w:rPr>
          <w:rFonts w:eastAsia="楷体" w:hint="eastAsia"/>
          <w:b/>
          <w:bCs/>
          <w:color w:val="auto"/>
          <w:sz w:val="24"/>
          <w:lang w:val="en-US" w:eastAsia="zh-CN"/>
        </w:rPr>
        <w:t>等</w:t>
      </w:r>
      <w:r>
        <w:rPr>
          <w:rFonts w:eastAsia="楷体"/>
          <w:b/>
          <w:bCs/>
          <w:color w:val="auto"/>
          <w:sz w:val="24"/>
        </w:rPr>
        <w:t>提供重要支撑</w:t>
      </w:r>
      <w:r>
        <w:rPr>
          <w:rFonts w:eastAsia="楷体"/>
          <w:color w:val="auto"/>
          <w:sz w:val="24"/>
        </w:rPr>
        <w:t>。</w:t>
      </w:r>
    </w:p>
    <w:p>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both"/>
        <w:textAlignment w:val="auto"/>
        <w:rPr>
          <w:rFonts w:eastAsia="楷体" w:hint="default"/>
          <w:b w:val="0"/>
          <w:bCs w:val="0"/>
          <w:color w:val="auto"/>
          <w:sz w:val="24"/>
          <w:lang w:val="en-US" w:eastAsia="zh-CN"/>
        </w:rPr>
      </w:pPr>
      <w:r>
        <w:rPr>
          <w:rFonts w:eastAsia="楷体" w:hint="eastAsia"/>
          <w:color w:val="auto"/>
          <w:sz w:val="24"/>
          <w:lang w:val="en-US" w:eastAsia="zh-CN"/>
        </w:rPr>
        <w:t>申请人主持了河北省自然科学基金1项，河北省高等学校科学研究项目1项，河北省2022年引进留学人员资助项目1项。在碱激发材料研究方面以</w:t>
      </w:r>
      <w:r>
        <w:rPr>
          <w:rFonts w:eastAsia="楷体" w:hint="eastAsia"/>
          <w:b/>
          <w:bCs/>
          <w:color w:val="auto"/>
          <w:sz w:val="24"/>
          <w:lang w:val="en-US" w:eastAsia="zh-CN"/>
        </w:rPr>
        <w:t>第一作者或唯一通讯作者发表SCI/EI学术论文40多篇，他引次数超过1000次</w:t>
      </w:r>
      <w:r>
        <w:rPr>
          <w:rFonts w:eastAsia="楷体"/>
          <w:b/>
          <w:bCs/>
          <w:sz w:val="24"/>
        </w:rPr>
        <w:t>（</w:t>
      </w:r>
      <w:r>
        <w:rPr>
          <w:rFonts w:eastAsia="楷体" w:hint="eastAsia"/>
          <w:b/>
          <w:bCs/>
          <w:color w:val="0000FF"/>
          <w:sz w:val="24"/>
          <w:lang w:val="en-US" w:eastAsia="zh-CN"/>
        </w:rPr>
        <w:t>个人成果链接</w:t>
      </w:r>
      <w:r>
        <w:rPr>
          <w:rFonts w:eastAsia="楷体" w:hint="eastAsia"/>
          <w:b/>
          <w:bCs/>
          <w:sz w:val="24"/>
          <w:lang w:val="en-US" w:eastAsia="zh-CN"/>
        </w:rPr>
        <w:t>：</w:t>
      </w:r>
      <w:r>
        <w:rPr>
          <w:rFonts w:eastAsia="楷体"/>
          <w:b/>
          <w:bCs/>
          <w:sz w:val="24"/>
        </w:rPr>
        <w:t>https://www.researchgate.net/profile/Hongqiang-Ma-5/research）</w:t>
      </w:r>
      <w:r>
        <w:rPr>
          <w:rFonts w:eastAsia="楷体" w:hint="eastAsia"/>
          <w:b/>
          <w:bCs/>
          <w:sz w:val="24"/>
          <w:lang w:eastAsia="zh-CN"/>
        </w:rPr>
        <w:t>，</w:t>
      </w:r>
      <w:r>
        <w:rPr>
          <w:rFonts w:eastAsia="楷体" w:hint="eastAsia"/>
          <w:b/>
          <w:bCs/>
          <w:sz w:val="24"/>
          <w:lang w:val="en-US" w:eastAsia="zh-CN"/>
        </w:rPr>
        <w:t>h-index为17</w:t>
      </w:r>
      <w:r>
        <w:rPr>
          <w:rFonts w:eastAsia="楷体" w:hint="eastAsia"/>
          <w:b/>
          <w:bCs/>
          <w:sz w:val="24"/>
          <w:lang w:eastAsia="zh-CN"/>
        </w:rPr>
        <w:t>。</w:t>
      </w:r>
      <w:r>
        <w:rPr>
          <w:rFonts w:eastAsia="楷体"/>
          <w:color w:val="auto"/>
          <w:sz w:val="24"/>
        </w:rPr>
        <w:t>在投SCI/EI学术论文5篇</w:t>
      </w:r>
      <w:r>
        <w:rPr>
          <w:rFonts w:eastAsia="楷体" w:hint="eastAsia"/>
          <w:color w:val="auto"/>
          <w:sz w:val="24"/>
          <w:lang w:eastAsia="zh-CN"/>
        </w:rPr>
        <w:t>。</w:t>
      </w:r>
      <w:r>
        <w:rPr>
          <w:rFonts w:eastAsia="楷体" w:hint="eastAsia"/>
          <w:b w:val="0"/>
          <w:bCs w:val="0"/>
          <w:color w:val="auto"/>
          <w:sz w:val="24"/>
          <w:lang w:val="en-US" w:eastAsia="zh-CN"/>
        </w:rPr>
        <w:t>中国建筑工业出</w:t>
      </w:r>
      <w:r>
        <w:rPr>
          <w:rFonts w:ascii="Times New Roman" w:eastAsia="楷体" w:hAnsi="Times New Roman" w:cs="Times New Roman" w:hint="eastAsia"/>
          <w:b w:val="0"/>
          <w:bCs w:val="0"/>
          <w:color w:val="auto"/>
          <w:sz w:val="24"/>
          <w:lang w:val="en-US" w:eastAsia="zh-CN"/>
        </w:rPr>
        <w:t>版社出版专著《建筑材料理论与应用》1部，Elsevier和Springer出版英文专著（章节）2篇。授权软件著作权（混凝土细观结构盒维数计算软件）1项。当前，申请人担任河北大学智能建造专业系主任，保定市智能建造重点实验室副主任，城市基础设施智能建造与安全运维专业委员会委员，担任《Cement and Concrete Research》,《Cement and Concrete Composites》,《Construction and Building Materials》,《Journal of Building Engineering》等本领域权威期刊的审稿专家。</w:t>
      </w:r>
    </w:p>
    <w:p>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both"/>
        <w:textAlignment w:val="auto"/>
        <w:rPr>
          <w:rFonts w:eastAsia="楷体"/>
          <w:color w:val="auto"/>
          <w:sz w:val="24"/>
        </w:rPr>
      </w:pPr>
      <w:r>
        <w:rPr>
          <w:rFonts w:eastAsia="楷体"/>
          <w:b/>
          <w:bCs/>
          <w:color w:val="auto"/>
          <w:sz w:val="24"/>
        </w:rPr>
        <w:t>申请人主持与碱激发材料相关的</w:t>
      </w:r>
      <w:r>
        <w:rPr>
          <w:rFonts w:eastAsia="楷体" w:hint="eastAsia"/>
          <w:b/>
          <w:bCs/>
          <w:color w:val="auto"/>
          <w:sz w:val="24"/>
          <w:lang w:val="en-US" w:eastAsia="zh-CN"/>
        </w:rPr>
        <w:t>纵向</w:t>
      </w:r>
      <w:r>
        <w:rPr>
          <w:rFonts w:eastAsia="楷体"/>
          <w:b/>
          <w:bCs/>
          <w:color w:val="auto"/>
          <w:sz w:val="24"/>
        </w:rPr>
        <w:t>项目3项：</w:t>
      </w:r>
    </w:p>
    <w:p>
      <w:pPr>
        <w:keepNext w:val="0"/>
        <w:keepLines w:val="0"/>
        <w:pageBreakBefore w:val="0"/>
        <w:widowControl w:val="0"/>
        <w:numPr>
          <w:ilvl w:val="0"/>
          <w:numId w:val="0"/>
        </w:numPr>
        <w:kinsoku/>
        <w:wordWrap/>
        <w:overflowPunct/>
        <w:topLinePunct w:val="0"/>
        <w:autoSpaceDE/>
        <w:autoSpaceDN/>
        <w:bidi w:val="0"/>
        <w:adjustRightInd/>
        <w:snapToGrid w:val="0"/>
        <w:spacing w:line="440" w:lineRule="exact"/>
        <w:ind w:firstLine="480" w:firstLineChars="200"/>
        <w:jc w:val="both"/>
        <w:textAlignment w:val="auto"/>
        <w:rPr>
          <w:rFonts w:eastAsia="楷体"/>
          <w:color w:val="auto"/>
          <w:sz w:val="24"/>
        </w:rPr>
      </w:pPr>
      <w:r>
        <w:rPr>
          <w:rFonts w:eastAsia="楷体" w:hint="eastAsia"/>
          <w:color w:val="auto"/>
          <w:sz w:val="24"/>
          <w:lang w:val="en-US" w:eastAsia="zh-CN"/>
        </w:rPr>
        <w:t xml:space="preserve">[1] </w:t>
      </w:r>
      <w:r>
        <w:rPr>
          <w:rFonts w:eastAsia="楷体"/>
          <w:color w:val="auto"/>
          <w:sz w:val="24"/>
        </w:rPr>
        <w:t>河北省自然科学基金青年基金项目（项目编号：E2022201011），活性MgO对碱激发粉煤灰-矿渣材料补偿干燥收缩机理和安全调控研究，项目执行期：2022.01-2024.12，6.0万元，主持。</w:t>
      </w:r>
    </w:p>
    <w:p>
      <w:pPr>
        <w:keepNext w:val="0"/>
        <w:keepLines w:val="0"/>
        <w:pageBreakBefore w:val="0"/>
        <w:widowControl w:val="0"/>
        <w:numPr>
          <w:ilvl w:val="0"/>
          <w:numId w:val="0"/>
        </w:numPr>
        <w:kinsoku/>
        <w:wordWrap/>
        <w:overflowPunct/>
        <w:topLinePunct w:val="0"/>
        <w:autoSpaceDE/>
        <w:autoSpaceDN/>
        <w:bidi w:val="0"/>
        <w:adjustRightInd/>
        <w:snapToGrid w:val="0"/>
        <w:spacing w:line="440" w:lineRule="exact"/>
        <w:ind w:firstLine="480" w:firstLineChars="200"/>
        <w:jc w:val="both"/>
        <w:textAlignment w:val="auto"/>
        <w:rPr>
          <w:rFonts w:eastAsia="楷体"/>
          <w:color w:val="auto"/>
          <w:sz w:val="24"/>
        </w:rPr>
      </w:pPr>
      <w:r>
        <w:rPr>
          <w:rFonts w:eastAsia="楷体" w:hint="eastAsia"/>
          <w:color w:val="auto"/>
          <w:sz w:val="24"/>
          <w:lang w:val="en-US" w:eastAsia="zh-CN"/>
        </w:rPr>
        <w:t xml:space="preserve">[2] </w:t>
      </w:r>
      <w:r>
        <w:rPr>
          <w:rFonts w:eastAsia="楷体"/>
          <w:color w:val="auto"/>
          <w:sz w:val="24"/>
        </w:rPr>
        <w:t>河北省高等学校科学研究项目（项目编号：QN2022067），环境热疲劳作用下碱激发粉煤灰-矿渣混凝土力学性能演化机理研究，项目执行期：2022.01-2024.12，3.0万元，主持。</w:t>
      </w:r>
    </w:p>
    <w:p>
      <w:pPr>
        <w:keepNext w:val="0"/>
        <w:keepLines w:val="0"/>
        <w:pageBreakBefore w:val="0"/>
        <w:widowControl w:val="0"/>
        <w:numPr>
          <w:ilvl w:val="0"/>
          <w:numId w:val="0"/>
        </w:numPr>
        <w:kinsoku/>
        <w:wordWrap/>
        <w:overflowPunct/>
        <w:topLinePunct w:val="0"/>
        <w:autoSpaceDE/>
        <w:autoSpaceDN/>
        <w:bidi w:val="0"/>
        <w:adjustRightInd/>
        <w:snapToGrid w:val="0"/>
        <w:spacing w:line="440" w:lineRule="exact"/>
        <w:ind w:firstLine="480" w:firstLineChars="200"/>
        <w:jc w:val="both"/>
        <w:textAlignment w:val="auto"/>
        <w:rPr>
          <w:rFonts w:eastAsia="楷体"/>
          <w:color w:val="auto"/>
          <w:sz w:val="24"/>
        </w:rPr>
      </w:pPr>
      <w:r>
        <w:rPr>
          <w:rFonts w:eastAsia="楷体" w:hint="eastAsia"/>
          <w:color w:val="auto"/>
          <w:sz w:val="24"/>
          <w:lang w:val="en-US" w:eastAsia="zh-CN"/>
        </w:rPr>
        <w:t xml:space="preserve">[3] </w:t>
      </w:r>
      <w:r>
        <w:rPr>
          <w:rFonts w:eastAsia="楷体"/>
          <w:color w:val="auto"/>
          <w:sz w:val="24"/>
        </w:rPr>
        <w:t>河北省2022年引进留学人员资助项目（项目编号：C20220309），火星用MgO基砂浆研究，项目执行期：2022.09-202</w:t>
      </w:r>
      <w:r>
        <w:rPr>
          <w:rFonts w:eastAsia="楷体" w:hint="eastAsia"/>
          <w:color w:val="auto"/>
          <w:sz w:val="24"/>
          <w:lang w:val="en-US" w:eastAsia="zh-CN"/>
        </w:rPr>
        <w:t>5</w:t>
      </w:r>
      <w:r>
        <w:rPr>
          <w:rFonts w:eastAsia="楷体"/>
          <w:color w:val="auto"/>
          <w:sz w:val="24"/>
        </w:rPr>
        <w:t>.09，3.0万元，主持。</w:t>
      </w:r>
    </w:p>
    <w:p>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both"/>
        <w:textAlignment w:val="auto"/>
        <w:rPr>
          <w:rFonts w:eastAsia="楷体"/>
          <w:color w:val="auto"/>
          <w:sz w:val="24"/>
        </w:rPr>
      </w:pPr>
      <w:r>
        <w:rPr>
          <w:rFonts w:eastAsia="楷体" w:hint="eastAsia"/>
          <w:b/>
          <w:bCs/>
          <w:color w:val="auto"/>
          <w:sz w:val="24"/>
          <w:lang w:val="en-US" w:eastAsia="zh-CN"/>
        </w:rPr>
        <w:t>近几年申请人</w:t>
      </w:r>
      <w:r>
        <w:rPr>
          <w:rFonts w:eastAsia="楷体"/>
          <w:b/>
          <w:bCs/>
          <w:color w:val="auto"/>
          <w:sz w:val="24"/>
        </w:rPr>
        <w:t>发表的</w:t>
      </w:r>
      <w:r>
        <w:rPr>
          <w:rFonts w:eastAsia="楷体" w:hint="eastAsia"/>
          <w:b/>
          <w:bCs/>
          <w:color w:val="auto"/>
          <w:sz w:val="24"/>
          <w:lang w:val="en-US" w:eastAsia="zh-CN"/>
        </w:rPr>
        <w:t>与碱激发材料相关的</w:t>
      </w:r>
      <w:r>
        <w:rPr>
          <w:rFonts w:eastAsia="楷体"/>
          <w:b/>
          <w:bCs/>
          <w:color w:val="auto"/>
          <w:sz w:val="24"/>
        </w:rPr>
        <w:t>代表性论文</w:t>
      </w:r>
      <w:r>
        <w:rPr>
          <w:rFonts w:eastAsia="楷体" w:hint="eastAsia"/>
          <w:b/>
          <w:bCs/>
          <w:color w:val="auto"/>
          <w:sz w:val="24"/>
          <w:lang w:val="en-US" w:eastAsia="zh-CN"/>
        </w:rPr>
        <w:t>和专著</w:t>
      </w:r>
      <w:r>
        <w:rPr>
          <w:rFonts w:eastAsia="楷体"/>
          <w:b/>
          <w:bCs/>
          <w:color w:val="auto"/>
          <w:sz w:val="24"/>
        </w:rPr>
        <w:t>如下：</w:t>
      </w:r>
    </w:p>
    <w:p>
      <w:pPr>
        <w:keepNext w:val="0"/>
        <w:keepLines w:val="0"/>
        <w:pageBreakBefore w:val="0"/>
        <w:widowControl w:val="0"/>
        <w:numPr>
          <w:ilvl w:val="0"/>
          <w:numId w:val="0"/>
        </w:numPr>
        <w:kinsoku/>
        <w:wordWrap/>
        <w:overflowPunct/>
        <w:topLinePunct w:val="0"/>
        <w:autoSpaceDE/>
        <w:autoSpaceDN/>
        <w:bidi w:val="0"/>
        <w:adjustRightInd/>
        <w:snapToGrid w:val="0"/>
        <w:spacing w:line="440" w:lineRule="exact"/>
        <w:ind w:firstLine="480" w:firstLineChars="200"/>
        <w:textAlignment w:val="auto"/>
        <w:rPr>
          <w:rFonts w:eastAsia="楷体"/>
          <w:color w:val="auto"/>
          <w:sz w:val="24"/>
        </w:rPr>
      </w:pPr>
      <w:r>
        <w:rPr>
          <w:rFonts w:eastAsia="楷体" w:hint="eastAsia"/>
          <w:b w:val="0"/>
          <w:bCs w:val="0"/>
          <w:color w:val="auto"/>
          <w:sz w:val="24"/>
          <w:lang w:val="en-US" w:eastAsia="zh-CN"/>
        </w:rPr>
        <w:t xml:space="preserve">[1] </w:t>
      </w:r>
      <w:r>
        <w:rPr>
          <w:rFonts w:eastAsia="楷体"/>
          <w:b/>
          <w:bCs/>
          <w:color w:val="auto"/>
          <w:sz w:val="24"/>
        </w:rPr>
        <w:t>Ma Hongqiang</w:t>
      </w:r>
      <w:r>
        <w:rPr>
          <w:rFonts w:eastAsia="楷体"/>
          <w:color w:val="auto"/>
          <w:sz w:val="24"/>
        </w:rPr>
        <w:t xml:space="preserve">, Wu Chao*. Mechanical and microstructural properties of alkali-activated fly ash-slag material under sustained moderate temperature effect [J]. Cement and Concrete Composites, </w:t>
      </w:r>
      <w:r>
        <w:rPr>
          <w:rFonts w:eastAsia="楷体"/>
          <w:b/>
          <w:bCs/>
          <w:color w:val="auto"/>
          <w:sz w:val="24"/>
        </w:rPr>
        <w:t>2022</w:t>
      </w:r>
      <w:r>
        <w:rPr>
          <w:rFonts w:eastAsia="楷体"/>
          <w:color w:val="auto"/>
          <w:sz w:val="24"/>
        </w:rPr>
        <w:t>, 134: 104744.</w:t>
      </w:r>
    </w:p>
    <w:p>
      <w:pPr>
        <w:keepNext w:val="0"/>
        <w:keepLines w:val="0"/>
        <w:pageBreakBefore w:val="0"/>
        <w:widowControl w:val="0"/>
        <w:numPr>
          <w:ilvl w:val="0"/>
          <w:numId w:val="0"/>
        </w:numPr>
        <w:kinsoku/>
        <w:wordWrap/>
        <w:overflowPunct/>
        <w:topLinePunct w:val="0"/>
        <w:autoSpaceDE/>
        <w:autoSpaceDN/>
        <w:bidi w:val="0"/>
        <w:adjustRightInd/>
        <w:snapToGrid w:val="0"/>
        <w:spacing w:line="440" w:lineRule="exact"/>
        <w:ind w:firstLine="480" w:firstLineChars="200"/>
        <w:textAlignment w:val="auto"/>
        <w:rPr>
          <w:rFonts w:eastAsia="楷体" w:hint="eastAsia"/>
          <w:b/>
          <w:bCs/>
          <w:color w:val="auto"/>
          <w:sz w:val="24"/>
          <w:lang w:val="en-US" w:eastAsia="zh-CN"/>
        </w:rPr>
      </w:pPr>
      <w:r>
        <w:rPr>
          <w:rFonts w:eastAsia="楷体" w:hint="eastAsia"/>
          <w:b w:val="0"/>
          <w:bCs w:val="0"/>
          <w:color w:val="auto"/>
          <w:sz w:val="24"/>
          <w:lang w:val="en-US" w:eastAsia="zh-CN"/>
        </w:rPr>
        <w:t>[2]</w:t>
      </w:r>
      <w:r>
        <w:rPr>
          <w:rFonts w:eastAsia="楷体" w:hint="eastAsia"/>
          <w:b/>
          <w:bCs/>
          <w:color w:val="auto"/>
          <w:sz w:val="24"/>
          <w:lang w:val="en-US" w:eastAsia="zh-CN"/>
        </w:rPr>
        <w:t xml:space="preserve"> Ma </w:t>
      </w:r>
      <w:r>
        <w:rPr>
          <w:rFonts w:ascii="Times New Roman" w:eastAsia="楷体" w:hAnsi="Times New Roman" w:cs="Times New Roman" w:hint="eastAsia"/>
          <w:b/>
          <w:bCs/>
          <w:color w:val="auto"/>
          <w:kern w:val="2"/>
          <w:sz w:val="24"/>
          <w:szCs w:val="24"/>
          <w:lang w:val="en-US" w:eastAsia="zh-CN" w:bidi="ar-SA"/>
        </w:rPr>
        <w:t>Hongqiang</w:t>
      </w:r>
      <w:r>
        <w:rPr>
          <w:rFonts w:ascii="Times New Roman" w:eastAsia="楷体" w:hAnsi="Times New Roman" w:cs="Times New Roman" w:hint="eastAsia"/>
          <w:b w:val="0"/>
          <w:bCs w:val="0"/>
          <w:color w:val="auto"/>
          <w:kern w:val="2"/>
          <w:sz w:val="24"/>
          <w:szCs w:val="24"/>
          <w:lang w:val="en-US" w:eastAsia="zh-CN" w:bidi="ar-SA"/>
        </w:rPr>
        <w:t>, Su Maozheng, Fu Hao, Xu Zishi, Cao Chenyu, Feng Jingjing</w:t>
      </w:r>
      <w:r>
        <w:rPr>
          <w:rFonts w:eastAsia="楷体"/>
          <w:color w:val="auto"/>
          <w:sz w:val="24"/>
        </w:rPr>
        <w:t>*</w:t>
      </w:r>
      <w:r>
        <w:rPr>
          <w:rFonts w:ascii="Times New Roman" w:eastAsia="楷体" w:hAnsi="Times New Roman" w:cs="Times New Roman" w:hint="eastAsia"/>
          <w:b w:val="0"/>
          <w:bCs w:val="0"/>
          <w:color w:val="auto"/>
          <w:kern w:val="2"/>
          <w:sz w:val="24"/>
          <w:szCs w:val="24"/>
          <w:lang w:val="en-US" w:eastAsia="zh-CN" w:bidi="ar-SA"/>
        </w:rPr>
        <w:t xml:space="preserve">. Multi-walled carbon nanotubes improved alkali-activated fly ash/slag materials:mechanical, shrinkage properties and microstructure [J]. Journal of Sustainable Cement-Based Materials, </w:t>
      </w:r>
      <w:r>
        <w:rPr>
          <w:rFonts w:ascii="Times New Roman" w:eastAsia="楷体" w:hAnsi="Times New Roman" w:cs="Times New Roman" w:hint="eastAsia"/>
          <w:b/>
          <w:bCs/>
          <w:color w:val="auto"/>
          <w:kern w:val="2"/>
          <w:sz w:val="24"/>
          <w:szCs w:val="24"/>
          <w:lang w:val="en-US" w:eastAsia="zh-CN" w:bidi="ar-SA"/>
        </w:rPr>
        <w:t>2025</w:t>
      </w:r>
      <w:r>
        <w:rPr>
          <w:rFonts w:ascii="Times New Roman" w:eastAsia="楷体" w:hAnsi="Times New Roman" w:cs="Times New Roman" w:hint="eastAsia"/>
          <w:b w:val="0"/>
          <w:bCs w:val="0"/>
          <w:color w:val="auto"/>
          <w:kern w:val="2"/>
          <w:sz w:val="24"/>
          <w:szCs w:val="24"/>
          <w:lang w:val="en-US" w:eastAsia="zh-CN" w:bidi="ar-SA"/>
        </w:rPr>
        <w:t>, 14</w:t>
      </w:r>
      <w:r>
        <w:rPr>
          <w:rFonts w:eastAsia="楷体" w:cs="Times New Roman" w:hint="eastAsia"/>
          <w:b w:val="0"/>
          <w:bCs w:val="0"/>
          <w:color w:val="auto"/>
          <w:kern w:val="2"/>
          <w:sz w:val="24"/>
          <w:szCs w:val="24"/>
          <w:lang w:val="en-US" w:eastAsia="zh-CN" w:bidi="ar-SA"/>
        </w:rPr>
        <w:t>(</w:t>
      </w:r>
      <w:r>
        <w:rPr>
          <w:rFonts w:ascii="Times New Roman" w:eastAsia="楷体" w:hAnsi="Times New Roman" w:cs="Times New Roman" w:hint="eastAsia"/>
          <w:b w:val="0"/>
          <w:bCs w:val="0"/>
          <w:color w:val="auto"/>
          <w:kern w:val="2"/>
          <w:sz w:val="24"/>
          <w:szCs w:val="24"/>
          <w:lang w:val="en-US" w:eastAsia="zh-CN" w:bidi="ar-SA"/>
        </w:rPr>
        <w:t>1</w:t>
      </w:r>
      <w:r>
        <w:rPr>
          <w:rFonts w:eastAsia="楷体" w:cs="Times New Roman" w:hint="eastAsia"/>
          <w:b w:val="0"/>
          <w:bCs w:val="0"/>
          <w:color w:val="auto"/>
          <w:kern w:val="2"/>
          <w:sz w:val="24"/>
          <w:szCs w:val="24"/>
          <w:lang w:val="en-US" w:eastAsia="zh-CN" w:bidi="ar-SA"/>
        </w:rPr>
        <w:t>)</w:t>
      </w:r>
      <w:r>
        <w:rPr>
          <w:rFonts w:ascii="Times New Roman" w:eastAsia="楷体" w:hAnsi="Times New Roman" w:cs="Times New Roman" w:hint="eastAsia"/>
          <w:b w:val="0"/>
          <w:bCs w:val="0"/>
          <w:color w:val="auto"/>
          <w:kern w:val="2"/>
          <w:sz w:val="24"/>
          <w:szCs w:val="24"/>
          <w:lang w:val="en-US" w:eastAsia="zh-CN" w:bidi="ar-SA"/>
        </w:rPr>
        <w:t>: 222-236.</w:t>
      </w:r>
    </w:p>
    <w:p>
      <w:pPr>
        <w:keepNext w:val="0"/>
        <w:keepLines w:val="0"/>
        <w:pageBreakBefore w:val="0"/>
        <w:widowControl w:val="0"/>
        <w:numPr>
          <w:ilvl w:val="0"/>
          <w:numId w:val="0"/>
        </w:numPr>
        <w:kinsoku/>
        <w:wordWrap/>
        <w:overflowPunct/>
        <w:topLinePunct w:val="0"/>
        <w:autoSpaceDE/>
        <w:autoSpaceDN/>
        <w:bidi w:val="0"/>
        <w:adjustRightInd/>
        <w:snapToGrid w:val="0"/>
        <w:spacing w:line="440" w:lineRule="exact"/>
        <w:ind w:firstLine="480" w:firstLineChars="200"/>
        <w:textAlignment w:val="auto"/>
        <w:rPr>
          <w:rFonts w:ascii="Times New Roman" w:eastAsia="楷体" w:hAnsi="Times New Roman" w:cs="Times New Roman" w:hint="default"/>
          <w:b w:val="0"/>
          <w:bCs w:val="0"/>
          <w:color w:val="auto"/>
          <w:kern w:val="2"/>
          <w:sz w:val="24"/>
          <w:szCs w:val="24"/>
          <w:lang w:val="en-US" w:eastAsia="zh-CN" w:bidi="ar-SA"/>
        </w:rPr>
      </w:pPr>
      <w:r>
        <w:rPr>
          <w:rFonts w:eastAsia="楷体" w:hint="eastAsia"/>
          <w:b w:val="0"/>
          <w:bCs w:val="0"/>
          <w:color w:val="auto"/>
          <w:sz w:val="24"/>
          <w:lang w:val="en-US" w:eastAsia="zh-CN"/>
        </w:rPr>
        <w:t>[3]</w:t>
      </w:r>
      <w:r>
        <w:rPr>
          <w:rFonts w:eastAsia="楷体" w:hint="eastAsia"/>
          <w:b/>
          <w:bCs/>
          <w:color w:val="auto"/>
          <w:sz w:val="24"/>
          <w:lang w:val="en-US" w:eastAsia="zh-CN"/>
        </w:rPr>
        <w:t xml:space="preserve"> </w:t>
      </w:r>
      <w:r>
        <w:rPr>
          <w:rFonts w:ascii="Times New Roman" w:eastAsia="楷体" w:hAnsi="Times New Roman" w:cs="Times New Roman" w:hint="eastAsia"/>
          <w:b/>
          <w:bCs/>
          <w:color w:val="auto"/>
          <w:kern w:val="2"/>
          <w:sz w:val="24"/>
          <w:szCs w:val="24"/>
          <w:lang w:val="en-US" w:eastAsia="zh-CN" w:bidi="ar-SA"/>
        </w:rPr>
        <w:t>Ma Hongqiang</w:t>
      </w:r>
      <w:r>
        <w:rPr>
          <w:rFonts w:ascii="Times New Roman" w:eastAsia="楷体" w:hAnsi="Times New Roman" w:cs="Times New Roman" w:hint="eastAsia"/>
          <w:b w:val="0"/>
          <w:bCs w:val="0"/>
          <w:color w:val="auto"/>
          <w:kern w:val="2"/>
          <w:sz w:val="24"/>
          <w:szCs w:val="24"/>
          <w:lang w:val="en-US" w:eastAsia="zh-CN" w:bidi="ar-SA"/>
        </w:rPr>
        <w:t xml:space="preserve">, Fu Hao, Lei Zelong, Yuan Xinhua, Wu Jialong, Feng Jingjing*. Study on mechanical and hydration characteristics of adding magnesium calcined </w:t>
      </w:r>
      <w:r>
        <w:rPr>
          <w:rFonts w:eastAsia="楷体" w:cs="Times New Roman" w:hint="eastAsia"/>
          <w:b w:val="0"/>
          <w:bCs w:val="0"/>
          <w:color w:val="auto"/>
          <w:kern w:val="2"/>
          <w:sz w:val="24"/>
          <w:szCs w:val="24"/>
          <w:lang w:val="en-US" w:eastAsia="zh-CN" w:bidi="ar-SA"/>
        </w:rPr>
        <w:t>（</w:t>
      </w:r>
      <w:r>
        <w:rPr>
          <w:rFonts w:ascii="Times New Roman" w:eastAsia="楷体" w:hAnsi="Times New Roman" w:cs="Times New Roman" w:hint="eastAsia"/>
          <w:b w:val="0"/>
          <w:bCs w:val="0"/>
          <w:color w:val="auto"/>
          <w:kern w:val="2"/>
          <w:sz w:val="24"/>
          <w:szCs w:val="24"/>
          <w:lang w:val="en-US" w:eastAsia="zh-CN" w:bidi="ar-SA"/>
        </w:rPr>
        <w:t>MC</w:t>
      </w:r>
      <w:r>
        <w:rPr>
          <w:rFonts w:ascii="Times New Roman" w:eastAsia="楷体" w:hAnsi="Times New Roman" w:cs="Times New Roman" w:hint="eastAsia"/>
          <w:b w:val="0"/>
          <w:bCs w:val="0"/>
          <w:color w:val="auto"/>
          <w:kern w:val="2"/>
          <w:sz w:val="24"/>
          <w:szCs w:val="24"/>
          <w:vertAlign w:val="superscript"/>
          <w:lang w:val="en-US" w:eastAsia="zh-CN" w:bidi="ar-SA"/>
        </w:rPr>
        <w:t>3</w:t>
      </w:r>
      <w:r>
        <w:rPr>
          <w:rFonts w:eastAsia="楷体" w:cs="Times New Roman" w:hint="eastAsia"/>
          <w:b w:val="0"/>
          <w:bCs w:val="0"/>
          <w:color w:val="auto"/>
          <w:kern w:val="2"/>
          <w:sz w:val="24"/>
          <w:szCs w:val="24"/>
          <w:lang w:val="en-US" w:eastAsia="zh-CN" w:bidi="ar-SA"/>
        </w:rPr>
        <w:t>）</w:t>
      </w:r>
      <w:r>
        <w:rPr>
          <w:rFonts w:ascii="Times New Roman" w:eastAsia="楷体" w:hAnsi="Times New Roman" w:cs="Times New Roman" w:hint="eastAsia"/>
          <w:b w:val="0"/>
          <w:bCs w:val="0"/>
          <w:color w:val="auto"/>
          <w:kern w:val="2"/>
          <w:sz w:val="24"/>
          <w:szCs w:val="24"/>
          <w:lang w:val="en-US" w:eastAsia="zh-CN" w:bidi="ar-SA"/>
        </w:rPr>
        <w:t xml:space="preserve"> [J]. Materials Today Communication, </w:t>
      </w:r>
      <w:r>
        <w:rPr>
          <w:rFonts w:ascii="Times New Roman" w:eastAsia="楷体" w:hAnsi="Times New Roman" w:cs="Times New Roman" w:hint="eastAsia"/>
          <w:b/>
          <w:bCs/>
          <w:color w:val="auto"/>
          <w:kern w:val="2"/>
          <w:sz w:val="24"/>
          <w:szCs w:val="24"/>
          <w:lang w:val="en-US" w:eastAsia="zh-CN" w:bidi="ar-SA"/>
        </w:rPr>
        <w:t>2025</w:t>
      </w:r>
      <w:r>
        <w:rPr>
          <w:rFonts w:ascii="Times New Roman" w:eastAsia="楷体" w:hAnsi="Times New Roman" w:cs="Times New Roman" w:hint="eastAsia"/>
          <w:b w:val="0"/>
          <w:bCs w:val="0"/>
          <w:color w:val="auto"/>
          <w:kern w:val="2"/>
          <w:sz w:val="24"/>
          <w:szCs w:val="24"/>
          <w:lang w:val="en-US" w:eastAsia="zh-CN" w:bidi="ar-SA"/>
        </w:rPr>
        <w:t>, 44: 111987.</w:t>
      </w:r>
    </w:p>
    <w:p>
      <w:pPr>
        <w:keepNext w:val="0"/>
        <w:keepLines w:val="0"/>
        <w:pageBreakBefore w:val="0"/>
        <w:widowControl w:val="0"/>
        <w:numPr>
          <w:ilvl w:val="0"/>
          <w:numId w:val="0"/>
        </w:numPr>
        <w:kinsoku/>
        <w:wordWrap/>
        <w:overflowPunct/>
        <w:topLinePunct w:val="0"/>
        <w:autoSpaceDE/>
        <w:autoSpaceDN/>
        <w:bidi w:val="0"/>
        <w:adjustRightInd/>
        <w:snapToGrid w:val="0"/>
        <w:spacing w:line="440" w:lineRule="exact"/>
        <w:ind w:firstLine="480" w:firstLineChars="200"/>
        <w:textAlignment w:val="auto"/>
        <w:rPr>
          <w:rFonts w:eastAsia="楷体" w:cs="Times New Roman" w:hint="eastAsia"/>
          <w:color w:val="auto"/>
          <w:sz w:val="24"/>
          <w:szCs w:val="24"/>
          <w:lang w:val="en-US" w:eastAsia="zh-CN"/>
        </w:rPr>
      </w:pPr>
      <w:r>
        <w:rPr>
          <w:rFonts w:ascii="Times New Roman" w:eastAsia="楷体" w:hAnsi="Times New Roman" w:cs="Times New Roman" w:hint="eastAsia"/>
          <w:b w:val="0"/>
          <w:bCs w:val="0"/>
          <w:color w:val="auto"/>
          <w:kern w:val="2"/>
          <w:sz w:val="24"/>
          <w:szCs w:val="24"/>
          <w:lang w:val="en-US" w:eastAsia="zh-CN" w:bidi="ar-SA"/>
        </w:rPr>
        <w:t>[</w:t>
      </w:r>
      <w:r>
        <w:rPr>
          <w:rFonts w:eastAsia="楷体" w:cs="Times New Roman" w:hint="eastAsia"/>
          <w:b w:val="0"/>
          <w:bCs w:val="0"/>
          <w:color w:val="auto"/>
          <w:kern w:val="2"/>
          <w:sz w:val="24"/>
          <w:szCs w:val="24"/>
          <w:lang w:val="en-US" w:eastAsia="zh-CN" w:bidi="ar-SA"/>
        </w:rPr>
        <w:t>4</w:t>
      </w:r>
      <w:r>
        <w:rPr>
          <w:rFonts w:ascii="Times New Roman" w:eastAsia="楷体" w:hAnsi="Times New Roman" w:cs="Times New Roman" w:hint="eastAsia"/>
          <w:b w:val="0"/>
          <w:bCs w:val="0"/>
          <w:color w:val="auto"/>
          <w:kern w:val="2"/>
          <w:sz w:val="24"/>
          <w:szCs w:val="24"/>
          <w:lang w:val="en-US" w:eastAsia="zh-CN" w:bidi="ar-SA"/>
        </w:rPr>
        <w:t xml:space="preserve">] </w:t>
      </w:r>
      <w:r>
        <w:rPr>
          <w:rFonts w:ascii="Times New Roman" w:eastAsia="楷体" w:hAnsi="Times New Roman" w:cs="Times New Roman" w:hint="eastAsia"/>
          <w:b/>
          <w:bCs/>
          <w:color w:val="auto"/>
          <w:sz w:val="24"/>
          <w:lang w:val="en-US" w:eastAsia="zh-CN"/>
        </w:rPr>
        <w:t>马宏强</w:t>
      </w:r>
      <w:r>
        <w:rPr>
          <w:rFonts w:ascii="Times New Roman" w:eastAsia="楷体" w:hAnsi="Times New Roman" w:cs="Times New Roman" w:hint="eastAsia"/>
          <w:color w:val="auto"/>
          <w:sz w:val="24"/>
          <w:lang w:val="en-US" w:eastAsia="zh-CN"/>
        </w:rPr>
        <w:t>, 牛晓燕. 建筑材料理论与应用[M], 中国建筑工业出版社，</w:t>
      </w:r>
      <w:r>
        <w:rPr>
          <w:rFonts w:ascii="Times New Roman" w:eastAsia="楷体" w:hAnsi="Times New Roman" w:cs="Times New Roman" w:hint="eastAsia"/>
          <w:b/>
          <w:bCs/>
          <w:color w:val="auto"/>
          <w:sz w:val="24"/>
          <w:lang w:val="en-US" w:eastAsia="zh-CN"/>
        </w:rPr>
        <w:t>2025</w:t>
      </w:r>
      <w:r>
        <w:rPr>
          <w:rFonts w:ascii="Times New Roman" w:eastAsia="楷体" w:hAnsi="Times New Roman" w:cs="Times New Roman" w:hint="eastAsia"/>
          <w:color w:val="auto"/>
          <w:sz w:val="24"/>
          <w:lang w:val="en-US" w:eastAsia="zh-CN"/>
        </w:rPr>
        <w:t>年2月北京第1版第1次印刷，</w:t>
      </w:r>
      <w:r>
        <w:rPr>
          <w:rFonts w:eastAsia="楷体" w:cs="Times New Roman" w:hint="eastAsia"/>
          <w:color w:val="auto"/>
          <w:sz w:val="24"/>
          <w:szCs w:val="24"/>
          <w:lang w:val="en-US" w:eastAsia="zh-CN"/>
        </w:rPr>
        <w:t>ISBN: 978-7-112-30902-3.（专著）</w:t>
      </w:r>
    </w:p>
    <w:p>
      <w:pPr>
        <w:keepNext w:val="0"/>
        <w:keepLines w:val="0"/>
        <w:pageBreakBefore w:val="0"/>
        <w:widowControl w:val="0"/>
        <w:numPr>
          <w:ilvl w:val="0"/>
          <w:numId w:val="0"/>
        </w:numPr>
        <w:kinsoku/>
        <w:wordWrap/>
        <w:overflowPunct/>
        <w:topLinePunct w:val="0"/>
        <w:autoSpaceDE/>
        <w:autoSpaceDN/>
        <w:bidi w:val="0"/>
        <w:adjustRightInd/>
        <w:snapToGrid w:val="0"/>
        <w:spacing w:line="440" w:lineRule="exact"/>
        <w:ind w:firstLine="480" w:firstLineChars="200"/>
        <w:textAlignment w:val="auto"/>
        <w:rPr>
          <w:rFonts w:eastAsia="楷体" w:cs="Times New Roman" w:hint="default"/>
          <w:color w:val="auto"/>
          <w:sz w:val="24"/>
          <w:szCs w:val="24"/>
          <w:lang w:val="en-US" w:eastAsia="zh-CN"/>
        </w:rPr>
      </w:pPr>
      <w:r>
        <w:rPr>
          <w:rFonts w:eastAsia="楷体" w:cs="Times New Roman" w:hint="eastAsia"/>
          <w:color w:val="auto"/>
          <w:sz w:val="24"/>
          <w:szCs w:val="24"/>
          <w:lang w:val="en-US" w:eastAsia="zh-CN"/>
        </w:rPr>
        <w:t xml:space="preserve">[5] </w:t>
      </w:r>
      <w:r>
        <w:rPr>
          <w:rFonts w:eastAsia="楷体" w:cs="Times New Roman" w:hint="eastAsia"/>
          <w:b/>
          <w:bCs/>
          <w:color w:val="auto"/>
          <w:sz w:val="24"/>
          <w:szCs w:val="24"/>
          <w:lang w:val="en-US" w:eastAsia="zh-CN"/>
        </w:rPr>
        <w:t>Ma Hongqiang</w:t>
      </w:r>
      <w:r>
        <w:rPr>
          <w:rFonts w:eastAsia="楷体" w:cs="Times New Roman" w:hint="eastAsia"/>
          <w:color w:val="auto"/>
          <w:sz w:val="24"/>
          <w:szCs w:val="24"/>
          <w:lang w:val="en-US" w:eastAsia="zh-CN"/>
        </w:rPr>
        <w:t xml:space="preserve">, Dai Enyang, Liu Guangxue, Yuan Xinhua, Wu Jialong, Feng Jingjing*. Effect of carbonate and silicate on the microstructural properties of the MgO-activated slag binder [J]. Open Ceramics, </w:t>
      </w:r>
      <w:r>
        <w:rPr>
          <w:rFonts w:eastAsia="楷体" w:cs="Times New Roman" w:hint="eastAsia"/>
          <w:b/>
          <w:bCs/>
          <w:color w:val="auto"/>
          <w:sz w:val="24"/>
          <w:szCs w:val="24"/>
          <w:lang w:val="en-US" w:eastAsia="zh-CN"/>
        </w:rPr>
        <w:t>2025</w:t>
      </w:r>
      <w:r>
        <w:rPr>
          <w:rFonts w:eastAsia="楷体" w:cs="Times New Roman" w:hint="eastAsia"/>
          <w:color w:val="auto"/>
          <w:sz w:val="24"/>
          <w:szCs w:val="24"/>
          <w:lang w:val="en-US" w:eastAsia="zh-CN"/>
        </w:rPr>
        <w:t>, 21: 100715. （邀稿）</w:t>
      </w:r>
    </w:p>
    <w:p>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textAlignment w:val="auto"/>
        <w:rPr>
          <w:rFonts w:ascii="Times New Roman" w:eastAsia="楷体" w:hAnsi="Times New Roman" w:cs="Times New Roman" w:hint="eastAsia"/>
          <w:b w:val="0"/>
          <w:bCs w:val="0"/>
          <w:color w:val="auto"/>
          <w:kern w:val="2"/>
          <w:sz w:val="24"/>
          <w:szCs w:val="24"/>
          <w:lang w:val="en-US" w:eastAsia="zh-CN" w:bidi="ar-SA"/>
        </w:rPr>
      </w:pPr>
      <w:r>
        <w:rPr>
          <w:rFonts w:eastAsia="楷体" w:hint="eastAsia"/>
          <w:color w:val="auto"/>
          <w:sz w:val="24"/>
          <w:lang w:val="en-US" w:eastAsia="zh-CN"/>
        </w:rPr>
        <w:t xml:space="preserve">[6] </w:t>
      </w:r>
      <w:r>
        <w:rPr>
          <w:rFonts w:eastAsia="楷体"/>
          <w:b/>
          <w:bCs/>
          <w:color w:val="auto"/>
          <w:sz w:val="24"/>
        </w:rPr>
        <w:t>Ma Hongqiang</w:t>
      </w:r>
      <w:r>
        <w:rPr>
          <w:rFonts w:eastAsia="楷体"/>
          <w:color w:val="auto"/>
          <w:sz w:val="24"/>
        </w:rPr>
        <w:t xml:space="preserve">, Fu Congcong, Dai Enyang, Huang Kang, Zhang Shaochen, Feng Jingjing*. Research on the effect of 60℃ thermal cycling on the properties of alkali-activated fly ash-slag materials: a new perspective [J]. Construction and Building Materials, </w:t>
      </w:r>
      <w:r>
        <w:rPr>
          <w:rFonts w:eastAsia="楷体"/>
          <w:b/>
          <w:bCs/>
          <w:color w:val="auto"/>
          <w:sz w:val="24"/>
        </w:rPr>
        <w:t>2024</w:t>
      </w:r>
      <w:r>
        <w:rPr>
          <w:rFonts w:eastAsia="楷体"/>
          <w:color w:val="auto"/>
          <w:sz w:val="24"/>
        </w:rPr>
        <w:t>, 416: 135192.</w:t>
      </w:r>
    </w:p>
    <w:p>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textAlignment w:val="auto"/>
        <w:rPr>
          <w:rFonts w:eastAsia="楷体" w:cs="Times New Roman" w:hint="eastAsia"/>
          <w:color w:val="auto"/>
          <w:sz w:val="24"/>
          <w:szCs w:val="24"/>
          <w:lang w:val="en-US" w:eastAsia="zh-CN"/>
        </w:rPr>
      </w:pPr>
      <w:r>
        <w:rPr>
          <w:rFonts w:ascii="Times New Roman" w:eastAsia="楷体" w:hAnsi="Times New Roman" w:cs="Times New Roman" w:hint="eastAsia"/>
          <w:b w:val="0"/>
          <w:bCs w:val="0"/>
          <w:color w:val="auto"/>
          <w:kern w:val="2"/>
          <w:sz w:val="24"/>
          <w:szCs w:val="24"/>
          <w:lang w:val="en-US" w:eastAsia="zh-CN" w:bidi="ar-SA"/>
        </w:rPr>
        <w:t>[</w:t>
      </w:r>
      <w:r>
        <w:rPr>
          <w:rFonts w:eastAsia="楷体" w:cs="Times New Roman" w:hint="eastAsia"/>
          <w:b w:val="0"/>
          <w:bCs w:val="0"/>
          <w:color w:val="auto"/>
          <w:kern w:val="2"/>
          <w:sz w:val="24"/>
          <w:szCs w:val="24"/>
          <w:lang w:val="en-US" w:eastAsia="zh-CN" w:bidi="ar-SA"/>
        </w:rPr>
        <w:t>7</w:t>
      </w:r>
      <w:r>
        <w:rPr>
          <w:rFonts w:ascii="Times New Roman" w:eastAsia="楷体" w:hAnsi="Times New Roman" w:cs="Times New Roman" w:hint="eastAsia"/>
          <w:b w:val="0"/>
          <w:bCs w:val="0"/>
          <w:color w:val="auto"/>
          <w:kern w:val="2"/>
          <w:sz w:val="24"/>
          <w:szCs w:val="24"/>
          <w:lang w:val="en-US" w:eastAsia="zh-CN" w:bidi="ar-SA"/>
        </w:rPr>
        <w:t>]</w:t>
      </w:r>
      <w:r>
        <w:rPr>
          <w:rFonts w:eastAsia="楷体" w:cs="Times New Roman" w:hint="eastAsia"/>
          <w:b/>
          <w:bCs/>
          <w:color w:val="auto"/>
          <w:sz w:val="24"/>
          <w:szCs w:val="24"/>
          <w:lang w:val="en-US" w:eastAsia="zh-CN"/>
        </w:rPr>
        <w:t xml:space="preserve"> Ma</w:t>
      </w:r>
      <w:r>
        <w:rPr>
          <w:rFonts w:ascii="Times New Roman" w:eastAsia="楷体" w:hAnsi="Times New Roman" w:cs="Times New Roman" w:hint="eastAsia"/>
          <w:b w:val="0"/>
          <w:bCs w:val="0"/>
          <w:color w:val="auto"/>
          <w:kern w:val="2"/>
          <w:sz w:val="24"/>
          <w:szCs w:val="24"/>
          <w:lang w:val="en-US" w:eastAsia="zh-CN" w:bidi="ar-SA"/>
        </w:rPr>
        <w:t xml:space="preserve"> </w:t>
      </w:r>
      <w:r>
        <w:rPr>
          <w:rFonts w:eastAsia="楷体" w:cs="Times New Roman" w:hint="eastAsia"/>
          <w:b/>
          <w:bCs/>
          <w:color w:val="auto"/>
          <w:sz w:val="24"/>
          <w:szCs w:val="24"/>
          <w:lang w:val="en-US" w:eastAsia="zh-CN"/>
        </w:rPr>
        <w:t>Hongqiang</w:t>
      </w:r>
      <w:r>
        <w:rPr>
          <w:rFonts w:eastAsia="楷体" w:cs="Times New Roman" w:hint="eastAsia"/>
          <w:color w:val="auto"/>
          <w:sz w:val="24"/>
          <w:szCs w:val="24"/>
          <w:lang w:val="en-US" w:eastAsia="zh-CN"/>
        </w:rPr>
        <w:t xml:space="preserve">, Fu Congcong, Wu Jialong, Yuan Xinhua, Wu Chao*, Feng Jingjing*. Micro/meso scales characterization of alkali-activated fly ash-slag concrete under sustained high-temperatures with X-CT, MIP, and SEM tests [J]. Materials Today Sustainability, </w:t>
      </w:r>
      <w:r>
        <w:rPr>
          <w:rFonts w:eastAsia="楷体" w:cs="Times New Roman" w:hint="eastAsia"/>
          <w:b/>
          <w:bCs/>
          <w:color w:val="auto"/>
          <w:sz w:val="24"/>
          <w:szCs w:val="24"/>
          <w:lang w:val="en-US" w:eastAsia="zh-CN"/>
        </w:rPr>
        <w:t>2024</w:t>
      </w:r>
      <w:r>
        <w:rPr>
          <w:rFonts w:eastAsia="楷体" w:cs="Times New Roman" w:hint="eastAsia"/>
          <w:color w:val="auto"/>
          <w:sz w:val="24"/>
          <w:szCs w:val="24"/>
          <w:lang w:val="en-US" w:eastAsia="zh-CN"/>
        </w:rPr>
        <w:t>, 28: 101036.</w:t>
      </w:r>
    </w:p>
    <w:p>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textAlignment w:val="auto"/>
        <w:rPr>
          <w:rFonts w:eastAsia="楷体" w:cs="Times New Roman" w:hint="default"/>
          <w:color w:val="auto"/>
          <w:sz w:val="24"/>
          <w:szCs w:val="24"/>
          <w:lang w:val="en-US" w:eastAsia="zh-CN"/>
        </w:rPr>
      </w:pPr>
      <w:r>
        <w:rPr>
          <w:rFonts w:eastAsia="楷体" w:cs="Times New Roman" w:hint="eastAsia"/>
          <w:color w:val="auto"/>
          <w:sz w:val="24"/>
          <w:szCs w:val="24"/>
          <w:lang w:val="en-US" w:eastAsia="zh-CN"/>
        </w:rPr>
        <w:t xml:space="preserve">[8] </w:t>
      </w:r>
      <w:r>
        <w:rPr>
          <w:rFonts w:eastAsia="楷体" w:cs="Times New Roman" w:hint="eastAsia"/>
          <w:b/>
          <w:bCs/>
          <w:color w:val="auto"/>
          <w:sz w:val="24"/>
          <w:szCs w:val="24"/>
          <w:lang w:val="en-US" w:eastAsia="zh-CN"/>
        </w:rPr>
        <w:t>Ma</w:t>
      </w:r>
      <w:r>
        <w:rPr>
          <w:rFonts w:eastAsia="楷体" w:cs="Times New Roman" w:hint="eastAsia"/>
          <w:color w:val="auto"/>
          <w:sz w:val="24"/>
          <w:szCs w:val="24"/>
          <w:lang w:val="en-US" w:eastAsia="zh-CN"/>
        </w:rPr>
        <w:t xml:space="preserve"> </w:t>
      </w:r>
      <w:r>
        <w:rPr>
          <w:rFonts w:eastAsia="楷体" w:cs="Times New Roman" w:hint="eastAsia"/>
          <w:b/>
          <w:bCs/>
          <w:color w:val="auto"/>
          <w:sz w:val="24"/>
          <w:szCs w:val="24"/>
          <w:lang w:val="en-US" w:eastAsia="zh-CN"/>
        </w:rPr>
        <w:t>Hongqiang</w:t>
      </w:r>
      <w:r>
        <w:rPr>
          <w:rFonts w:eastAsia="楷体" w:cs="Times New Roman" w:hint="eastAsia"/>
          <w:color w:val="auto"/>
          <w:sz w:val="24"/>
          <w:szCs w:val="24"/>
          <w:lang w:val="en-US" w:eastAsia="zh-CN"/>
        </w:rPr>
        <w:t>, Dai Enyang, Fu Hao, Du Erxia, Zheng Xuan, Feng Jingjing*. Synergistic-inhibition mechanism of MgO and Na</w:t>
      </w:r>
      <w:r>
        <w:rPr>
          <w:rFonts w:eastAsia="楷体" w:cs="Times New Roman" w:hint="eastAsia"/>
          <w:color w:val="auto"/>
          <w:sz w:val="24"/>
          <w:szCs w:val="24"/>
          <w:vertAlign w:val="subscript"/>
          <w:lang w:val="en-US" w:eastAsia="zh-CN"/>
        </w:rPr>
        <w:t>2</w:t>
      </w:r>
      <w:r>
        <w:rPr>
          <w:rFonts w:eastAsia="楷体" w:cs="Times New Roman" w:hint="eastAsia"/>
          <w:color w:val="auto"/>
          <w:sz w:val="24"/>
          <w:szCs w:val="24"/>
          <w:lang w:val="en-US" w:eastAsia="zh-CN"/>
        </w:rPr>
        <w:t>CO</w:t>
      </w:r>
      <w:r>
        <w:rPr>
          <w:rFonts w:eastAsia="楷体" w:cs="Times New Roman" w:hint="eastAsia"/>
          <w:color w:val="auto"/>
          <w:sz w:val="24"/>
          <w:szCs w:val="24"/>
          <w:vertAlign w:val="subscript"/>
          <w:lang w:val="en-US" w:eastAsia="zh-CN"/>
        </w:rPr>
        <w:t>3</w:t>
      </w:r>
      <w:r>
        <w:rPr>
          <w:rFonts w:eastAsia="楷体" w:cs="Times New Roman" w:hint="eastAsia"/>
          <w:color w:val="auto"/>
          <w:sz w:val="24"/>
          <w:szCs w:val="24"/>
          <w:lang w:val="en-US" w:eastAsia="zh-CN"/>
        </w:rPr>
        <w:t xml:space="preserve"> as alkali activator: hydration-hardening characteristics of MgO-Na</w:t>
      </w:r>
      <w:r>
        <w:rPr>
          <w:rFonts w:eastAsia="楷体" w:cs="Times New Roman" w:hint="eastAsia"/>
          <w:color w:val="auto"/>
          <w:sz w:val="24"/>
          <w:szCs w:val="24"/>
          <w:vertAlign w:val="subscript"/>
          <w:lang w:val="en-US" w:eastAsia="zh-CN"/>
        </w:rPr>
        <w:t>2</w:t>
      </w:r>
      <w:r>
        <w:rPr>
          <w:rFonts w:eastAsia="楷体" w:cs="Times New Roman" w:hint="eastAsia"/>
          <w:color w:val="auto"/>
          <w:sz w:val="24"/>
          <w:szCs w:val="24"/>
          <w:lang w:val="en-US" w:eastAsia="zh-CN"/>
        </w:rPr>
        <w:t>CO</w:t>
      </w:r>
      <w:r>
        <w:rPr>
          <w:rFonts w:eastAsia="楷体" w:cs="Times New Roman" w:hint="eastAsia"/>
          <w:color w:val="auto"/>
          <w:sz w:val="24"/>
          <w:szCs w:val="24"/>
          <w:vertAlign w:val="subscript"/>
          <w:lang w:val="en-US" w:eastAsia="zh-CN"/>
        </w:rPr>
        <w:t>3</w:t>
      </w:r>
      <w:r>
        <w:rPr>
          <w:rFonts w:eastAsia="楷体" w:cs="Times New Roman" w:hint="eastAsia"/>
          <w:color w:val="auto"/>
          <w:sz w:val="24"/>
          <w:szCs w:val="24"/>
          <w:lang w:val="en-US" w:eastAsia="zh-CN"/>
        </w:rPr>
        <w:t xml:space="preserve">-activated slag [J]. Journal of Materials in Civil Engineering, </w:t>
      </w:r>
      <w:r>
        <w:rPr>
          <w:rFonts w:eastAsia="楷体" w:cs="Times New Roman" w:hint="eastAsia"/>
          <w:b/>
          <w:bCs/>
          <w:color w:val="auto"/>
          <w:sz w:val="24"/>
          <w:szCs w:val="24"/>
          <w:lang w:val="en-US" w:eastAsia="zh-CN"/>
        </w:rPr>
        <w:t>2024</w:t>
      </w:r>
      <w:r>
        <w:rPr>
          <w:rFonts w:eastAsia="楷体" w:cs="Times New Roman" w:hint="eastAsia"/>
          <w:color w:val="auto"/>
          <w:sz w:val="24"/>
          <w:szCs w:val="24"/>
          <w:lang w:val="en-US" w:eastAsia="zh-CN"/>
        </w:rPr>
        <w:t>, 36(10): 04024332.</w:t>
      </w:r>
    </w:p>
    <w:p>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textAlignment w:val="auto"/>
        <w:rPr>
          <w:rFonts w:eastAsia="楷体" w:cs="Times New Roman" w:hint="eastAsia"/>
          <w:color w:val="auto"/>
          <w:sz w:val="24"/>
          <w:szCs w:val="24"/>
          <w:lang w:val="en-US" w:eastAsia="zh-CN"/>
        </w:rPr>
      </w:pPr>
      <w:r>
        <w:rPr>
          <w:rFonts w:eastAsia="楷体" w:cs="Times New Roman" w:hint="eastAsia"/>
          <w:color w:val="auto"/>
          <w:sz w:val="24"/>
          <w:szCs w:val="24"/>
          <w:lang w:val="en-US" w:eastAsia="zh-CN"/>
        </w:rPr>
        <w:t>[9]</w:t>
      </w:r>
      <w:r>
        <w:rPr>
          <w:rFonts w:eastAsia="楷体" w:cs="Times New Roman" w:hint="eastAsia"/>
          <w:b/>
          <w:bCs/>
          <w:color w:val="auto"/>
          <w:sz w:val="24"/>
          <w:szCs w:val="24"/>
          <w:lang w:val="en-US" w:eastAsia="zh-CN"/>
        </w:rPr>
        <w:t xml:space="preserve"> Ma</w:t>
      </w:r>
      <w:r>
        <w:rPr>
          <w:rFonts w:eastAsia="楷体" w:cs="Times New Roman" w:hint="eastAsia"/>
          <w:color w:val="auto"/>
          <w:sz w:val="24"/>
          <w:szCs w:val="24"/>
          <w:lang w:val="en-US" w:eastAsia="zh-CN"/>
        </w:rPr>
        <w:t xml:space="preserve"> </w:t>
      </w:r>
      <w:r>
        <w:rPr>
          <w:rFonts w:eastAsia="楷体" w:cs="Times New Roman" w:hint="eastAsia"/>
          <w:b/>
          <w:bCs/>
          <w:color w:val="auto"/>
          <w:sz w:val="24"/>
          <w:szCs w:val="24"/>
          <w:lang w:val="en-US" w:eastAsia="zh-CN"/>
        </w:rPr>
        <w:t>Hongqiang</w:t>
      </w:r>
      <w:r>
        <w:rPr>
          <w:rFonts w:eastAsia="楷体" w:cs="Times New Roman" w:hint="eastAsia"/>
          <w:color w:val="auto"/>
          <w:sz w:val="24"/>
          <w:szCs w:val="24"/>
          <w:lang w:val="en-US" w:eastAsia="zh-CN"/>
        </w:rPr>
        <w:t>, Fu Hao, Cao Chenyu, Xu Zishi, Niu Xiaoyan*. Effe</w:t>
      </w:r>
      <w:r>
        <w:rPr>
          <w:rFonts w:ascii="Times New Roman" w:eastAsia="楷体" w:hAnsi="Times New Roman" w:cs="Times New Roman" w:hint="default"/>
          <w:color w:val="auto"/>
          <w:sz w:val="24"/>
          <w:szCs w:val="24"/>
          <w:lang w:val="en-US" w:eastAsia="zh-CN"/>
        </w:rPr>
        <w:t>ct of 60℃ s</w:t>
      </w:r>
      <w:r>
        <w:rPr>
          <w:rFonts w:eastAsia="楷体" w:cs="Times New Roman" w:hint="eastAsia"/>
          <w:color w:val="auto"/>
          <w:sz w:val="24"/>
          <w:szCs w:val="24"/>
          <w:lang w:val="en-US" w:eastAsia="zh-CN"/>
        </w:rPr>
        <w:t xml:space="preserve">ustained temperature conditions on the mechanical properties and microstructure of alkali-activated fly ash-slag pastes and mortars [J]. Journal of Building Engineering, </w:t>
      </w:r>
      <w:r>
        <w:rPr>
          <w:rFonts w:eastAsia="楷体" w:cs="Times New Roman" w:hint="eastAsia"/>
          <w:b/>
          <w:bCs/>
          <w:color w:val="auto"/>
          <w:sz w:val="24"/>
          <w:szCs w:val="24"/>
          <w:lang w:val="en-US" w:eastAsia="zh-CN"/>
        </w:rPr>
        <w:t>2024</w:t>
      </w:r>
      <w:r>
        <w:rPr>
          <w:rFonts w:eastAsia="楷体" w:cs="Times New Roman" w:hint="eastAsia"/>
          <w:color w:val="auto"/>
          <w:sz w:val="24"/>
          <w:szCs w:val="24"/>
          <w:lang w:val="en-US" w:eastAsia="zh-CN"/>
        </w:rPr>
        <w:t>, 95: 110346.</w:t>
      </w:r>
    </w:p>
    <w:p>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textAlignment w:val="auto"/>
        <w:rPr>
          <w:rFonts w:eastAsia="楷体"/>
          <w:color w:val="auto"/>
          <w:sz w:val="24"/>
        </w:rPr>
      </w:pPr>
      <w:r>
        <w:rPr>
          <w:rFonts w:eastAsia="楷体" w:cs="Times New Roman" w:hint="eastAsia"/>
          <w:color w:val="auto"/>
          <w:sz w:val="24"/>
          <w:szCs w:val="24"/>
          <w:lang w:val="en-US" w:eastAsia="zh-CN"/>
        </w:rPr>
        <w:t>[10]</w:t>
      </w:r>
      <w:r>
        <w:rPr>
          <w:rFonts w:eastAsia="楷体" w:cs="Times New Roman" w:hint="eastAsia"/>
          <w:b/>
          <w:bCs/>
          <w:color w:val="auto"/>
          <w:sz w:val="24"/>
          <w:szCs w:val="24"/>
          <w:lang w:val="en-US" w:eastAsia="zh-CN"/>
        </w:rPr>
        <w:t xml:space="preserve"> </w:t>
      </w:r>
      <w:r>
        <w:rPr>
          <w:rFonts w:eastAsia="楷体"/>
          <w:b/>
          <w:bCs/>
          <w:color w:val="auto"/>
          <w:sz w:val="24"/>
        </w:rPr>
        <w:t>Ma</w:t>
      </w:r>
      <w:r>
        <w:rPr>
          <w:rFonts w:eastAsia="楷体"/>
          <w:color w:val="auto"/>
          <w:sz w:val="24"/>
        </w:rPr>
        <w:t xml:space="preserve"> </w:t>
      </w:r>
      <w:r>
        <w:rPr>
          <w:rFonts w:eastAsia="楷体"/>
          <w:b/>
          <w:bCs/>
          <w:color w:val="auto"/>
          <w:sz w:val="24"/>
        </w:rPr>
        <w:t>Hongqiang</w:t>
      </w:r>
      <w:r>
        <w:rPr>
          <w:rFonts w:eastAsia="楷体"/>
          <w:color w:val="auto"/>
          <w:sz w:val="24"/>
        </w:rPr>
        <w:t xml:space="preserve">, Wu Chao*. Early hydration kinetics and microstructure development of MgO-activated slag at room temperature [J]. Journal of Materials in Civil Engineering, </w:t>
      </w:r>
      <w:r>
        <w:rPr>
          <w:rFonts w:eastAsia="楷体"/>
          <w:b/>
          <w:bCs/>
          <w:color w:val="auto"/>
          <w:sz w:val="24"/>
        </w:rPr>
        <w:t>2023</w:t>
      </w:r>
      <w:r>
        <w:rPr>
          <w:rFonts w:eastAsia="楷体"/>
          <w:color w:val="auto"/>
          <w:sz w:val="24"/>
        </w:rPr>
        <w:t>, 35</w:t>
      </w:r>
      <w:r>
        <w:rPr>
          <w:rFonts w:eastAsia="楷体" w:hint="eastAsia"/>
          <w:color w:val="auto"/>
          <w:sz w:val="24"/>
          <w:lang w:val="en-US" w:eastAsia="zh-CN"/>
        </w:rPr>
        <w:t>(</w:t>
      </w:r>
      <w:r>
        <w:rPr>
          <w:rFonts w:eastAsia="楷体"/>
          <w:color w:val="auto"/>
          <w:sz w:val="24"/>
        </w:rPr>
        <w:t>1</w:t>
      </w:r>
      <w:r>
        <w:rPr>
          <w:rFonts w:eastAsia="楷体" w:hint="eastAsia"/>
          <w:color w:val="auto"/>
          <w:sz w:val="24"/>
          <w:lang w:val="en-US" w:eastAsia="zh-CN"/>
        </w:rPr>
        <w:t>)</w:t>
      </w:r>
      <w:r>
        <w:rPr>
          <w:rFonts w:eastAsia="楷体"/>
          <w:color w:val="auto"/>
          <w:sz w:val="24"/>
        </w:rPr>
        <w:t>: 04022376.</w:t>
      </w:r>
    </w:p>
    <w:p>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textAlignment w:val="auto"/>
        <w:rPr>
          <w:rFonts w:eastAsia="楷体"/>
          <w:color w:val="auto"/>
          <w:sz w:val="24"/>
        </w:rPr>
      </w:pPr>
      <w:r>
        <w:rPr>
          <w:rFonts w:eastAsia="楷体"/>
          <w:color w:val="auto"/>
          <w:sz w:val="24"/>
        </w:rPr>
        <w:t>[</w:t>
      </w:r>
      <w:r>
        <w:rPr>
          <w:rFonts w:eastAsia="楷体" w:hint="eastAsia"/>
          <w:color w:val="auto"/>
          <w:sz w:val="24"/>
          <w:lang w:val="en-US" w:eastAsia="zh-CN"/>
        </w:rPr>
        <w:t>11</w:t>
      </w:r>
      <w:r>
        <w:rPr>
          <w:rFonts w:eastAsia="楷体"/>
          <w:color w:val="auto"/>
          <w:sz w:val="24"/>
        </w:rPr>
        <w:t xml:space="preserve">] </w:t>
      </w:r>
      <w:r>
        <w:rPr>
          <w:rFonts w:eastAsia="楷体"/>
          <w:b/>
          <w:bCs/>
          <w:color w:val="auto"/>
          <w:sz w:val="24"/>
        </w:rPr>
        <w:t>Ma Hongqiang</w:t>
      </w:r>
      <w:r>
        <w:rPr>
          <w:rFonts w:eastAsia="楷体"/>
          <w:color w:val="auto"/>
          <w:sz w:val="24"/>
        </w:rPr>
        <w:t xml:space="preserve">, Fu Congcong, Huang Kang, Dai Enyang, Zhang Shaochen, Fang Youliang*, Feng Jingjing*. Study on the characteristics of alkali-activated fly ash-slag improved by cenosphere: hydration and drying shrinkage [J]. Construction and Building Materials, </w:t>
      </w:r>
      <w:r>
        <w:rPr>
          <w:rFonts w:eastAsia="楷体"/>
          <w:b/>
          <w:bCs/>
          <w:color w:val="auto"/>
          <w:sz w:val="24"/>
        </w:rPr>
        <w:t>2023</w:t>
      </w:r>
      <w:r>
        <w:rPr>
          <w:rFonts w:eastAsia="楷体"/>
          <w:color w:val="auto"/>
          <w:sz w:val="24"/>
        </w:rPr>
        <w:t>, 372: 130822.</w:t>
      </w:r>
    </w:p>
    <w:p>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textAlignment w:val="auto"/>
        <w:rPr>
          <w:rFonts w:eastAsia="楷体"/>
          <w:color w:val="auto"/>
          <w:sz w:val="24"/>
        </w:rPr>
      </w:pPr>
      <w:r>
        <w:rPr>
          <w:rFonts w:eastAsia="楷体"/>
          <w:color w:val="auto"/>
          <w:sz w:val="24"/>
        </w:rPr>
        <w:t>[</w:t>
      </w:r>
      <w:r>
        <w:rPr>
          <w:rFonts w:eastAsia="楷体" w:hint="eastAsia"/>
          <w:color w:val="auto"/>
          <w:sz w:val="24"/>
          <w:lang w:val="en-US" w:eastAsia="zh-CN"/>
        </w:rPr>
        <w:t>12</w:t>
      </w:r>
      <w:r>
        <w:rPr>
          <w:rFonts w:eastAsia="楷体"/>
          <w:color w:val="auto"/>
          <w:sz w:val="24"/>
        </w:rPr>
        <w:t xml:space="preserve">] </w:t>
      </w:r>
      <w:r>
        <w:rPr>
          <w:rFonts w:eastAsia="楷体"/>
          <w:b/>
          <w:bCs/>
          <w:color w:val="auto"/>
          <w:sz w:val="24"/>
        </w:rPr>
        <w:t>Ma Hongqiang</w:t>
      </w:r>
      <w:r>
        <w:rPr>
          <w:rFonts w:eastAsia="楷体"/>
          <w:color w:val="auto"/>
          <w:sz w:val="24"/>
        </w:rPr>
        <w:t xml:space="preserve">, He Li, Wu Chao*. Development of reactive MgO cement-silica fume based strain-hardening engineered cementitious composite [J]. Journal of Materials in Civil Engineering, </w:t>
      </w:r>
      <w:r>
        <w:rPr>
          <w:rFonts w:eastAsia="楷体"/>
          <w:b/>
          <w:bCs/>
          <w:color w:val="auto"/>
          <w:sz w:val="24"/>
        </w:rPr>
        <w:t xml:space="preserve">2023, </w:t>
      </w:r>
      <w:r>
        <w:rPr>
          <w:rFonts w:eastAsia="楷体"/>
          <w:color w:val="auto"/>
          <w:sz w:val="24"/>
        </w:rPr>
        <w:t>35</w:t>
      </w:r>
      <w:r>
        <w:rPr>
          <w:rFonts w:eastAsia="楷体" w:hint="eastAsia"/>
          <w:color w:val="auto"/>
          <w:sz w:val="24"/>
          <w:lang w:val="en-US" w:eastAsia="zh-CN"/>
        </w:rPr>
        <w:t>(</w:t>
      </w:r>
      <w:r>
        <w:rPr>
          <w:rFonts w:eastAsia="楷体"/>
          <w:color w:val="auto"/>
          <w:sz w:val="24"/>
        </w:rPr>
        <w:t>10</w:t>
      </w:r>
      <w:r>
        <w:rPr>
          <w:rFonts w:eastAsia="楷体" w:hint="eastAsia"/>
          <w:color w:val="auto"/>
          <w:sz w:val="24"/>
          <w:lang w:val="en-US" w:eastAsia="zh-CN"/>
        </w:rPr>
        <w:t>)</w:t>
      </w:r>
      <w:r>
        <w:rPr>
          <w:rFonts w:eastAsia="楷体"/>
          <w:color w:val="auto"/>
          <w:sz w:val="24"/>
        </w:rPr>
        <w:t>: 04023354.</w:t>
      </w:r>
    </w:p>
    <w:p>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textAlignment w:val="auto"/>
        <w:rPr>
          <w:rFonts w:eastAsia="楷体"/>
          <w:color w:val="auto"/>
          <w:sz w:val="24"/>
        </w:rPr>
      </w:pPr>
      <w:r>
        <w:rPr>
          <w:rFonts w:eastAsia="楷体"/>
          <w:color w:val="auto"/>
          <w:sz w:val="24"/>
        </w:rPr>
        <w:t>[</w:t>
      </w:r>
      <w:r>
        <w:rPr>
          <w:rFonts w:eastAsia="楷体" w:hint="eastAsia"/>
          <w:color w:val="auto"/>
          <w:sz w:val="24"/>
          <w:lang w:val="en-US" w:eastAsia="zh-CN"/>
        </w:rPr>
        <w:t>13</w:t>
      </w:r>
      <w:r>
        <w:rPr>
          <w:rFonts w:eastAsia="楷体"/>
          <w:color w:val="auto"/>
          <w:sz w:val="24"/>
        </w:rPr>
        <w:t xml:space="preserve">] </w:t>
      </w:r>
      <w:r>
        <w:rPr>
          <w:rFonts w:eastAsia="楷体"/>
          <w:b/>
          <w:bCs/>
          <w:color w:val="auto"/>
          <w:sz w:val="24"/>
        </w:rPr>
        <w:t>Ma Hongqiang*</w:t>
      </w:r>
      <w:r>
        <w:rPr>
          <w:rFonts w:eastAsia="楷体"/>
          <w:color w:val="auto"/>
          <w:sz w:val="24"/>
        </w:rPr>
        <w:t xml:space="preserve">, Du Erxia, Niu Xiaoyan, Feng Jingjing*. Drying shrinkage characteristics and mechanism primary exploration of MgO-slag mortars [J]. Construction and Building Materials, </w:t>
      </w:r>
      <w:r>
        <w:rPr>
          <w:rFonts w:eastAsia="楷体"/>
          <w:b/>
          <w:bCs/>
          <w:color w:val="auto"/>
          <w:sz w:val="24"/>
        </w:rPr>
        <w:t>2022</w:t>
      </w:r>
      <w:r>
        <w:rPr>
          <w:rFonts w:eastAsia="楷体"/>
          <w:color w:val="auto"/>
          <w:sz w:val="24"/>
        </w:rPr>
        <w:t>, 333: 127416.</w:t>
      </w:r>
    </w:p>
    <w:p>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textAlignment w:val="auto"/>
        <w:rPr>
          <w:rFonts w:eastAsia="楷体"/>
          <w:color w:val="auto"/>
          <w:sz w:val="24"/>
        </w:rPr>
      </w:pPr>
      <w:r>
        <w:rPr>
          <w:rFonts w:eastAsia="楷体"/>
          <w:color w:val="auto"/>
          <w:sz w:val="24"/>
        </w:rPr>
        <w:t>[</w:t>
      </w:r>
      <w:r>
        <w:rPr>
          <w:rFonts w:eastAsia="楷体" w:hint="eastAsia"/>
          <w:color w:val="auto"/>
          <w:sz w:val="24"/>
          <w:lang w:val="en-US" w:eastAsia="zh-CN"/>
        </w:rPr>
        <w:t>14</w:t>
      </w:r>
      <w:r>
        <w:rPr>
          <w:rFonts w:eastAsia="楷体"/>
          <w:color w:val="auto"/>
          <w:sz w:val="24"/>
        </w:rPr>
        <w:t>]</w:t>
      </w:r>
      <w:r>
        <w:rPr>
          <w:rFonts w:eastAsia="楷体"/>
          <w:b/>
          <w:bCs/>
          <w:color w:val="auto"/>
          <w:sz w:val="24"/>
        </w:rPr>
        <w:t xml:space="preserve"> Ma Hongqiang</w:t>
      </w:r>
      <w:r>
        <w:rPr>
          <w:rFonts w:eastAsia="楷体"/>
          <w:color w:val="auto"/>
          <w:sz w:val="24"/>
        </w:rPr>
        <w:t xml:space="preserve">, Li Xiaomeng, Zheng Xuan*, Niu Xiaoyan*, Fang Youliang*. Effect of active MgO on the hydration kinetics characteristics and microstructures of alkali-activated fly ash-slag materials [J]. Construction and Building Materials, </w:t>
      </w:r>
      <w:r>
        <w:rPr>
          <w:rFonts w:eastAsia="楷体"/>
          <w:b/>
          <w:bCs/>
          <w:color w:val="auto"/>
          <w:sz w:val="24"/>
        </w:rPr>
        <w:t>2022</w:t>
      </w:r>
      <w:r>
        <w:rPr>
          <w:rFonts w:eastAsia="楷体"/>
          <w:color w:val="auto"/>
          <w:sz w:val="24"/>
        </w:rPr>
        <w:t>, 361: 129677.</w:t>
      </w:r>
    </w:p>
    <w:p>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textAlignment w:val="auto"/>
        <w:rPr>
          <w:rFonts w:eastAsia="楷体"/>
          <w:color w:val="auto"/>
          <w:sz w:val="24"/>
        </w:rPr>
      </w:pPr>
      <w:r>
        <w:rPr>
          <w:rFonts w:eastAsia="楷体"/>
          <w:color w:val="auto"/>
          <w:sz w:val="24"/>
        </w:rPr>
        <w:t>[</w:t>
      </w:r>
      <w:r>
        <w:rPr>
          <w:rFonts w:eastAsia="楷体" w:hint="eastAsia"/>
          <w:color w:val="auto"/>
          <w:sz w:val="24"/>
          <w:lang w:val="en-US" w:eastAsia="zh-CN"/>
        </w:rPr>
        <w:t>15</w:t>
      </w:r>
      <w:r>
        <w:rPr>
          <w:rFonts w:eastAsia="楷体"/>
          <w:color w:val="auto"/>
          <w:sz w:val="24"/>
        </w:rPr>
        <w:t xml:space="preserve">] </w:t>
      </w:r>
      <w:r>
        <w:rPr>
          <w:rFonts w:eastAsia="楷体"/>
          <w:b/>
          <w:bCs/>
          <w:color w:val="auto"/>
          <w:sz w:val="24"/>
        </w:rPr>
        <w:t>Ma Hongqiang*</w:t>
      </w:r>
      <w:r>
        <w:rPr>
          <w:rFonts w:eastAsia="楷体"/>
          <w:color w:val="auto"/>
          <w:sz w:val="24"/>
        </w:rPr>
        <w:t xml:space="preserve">, Zhang Shaochen, Feng Jingjing*. Early hydration properties and microstructure evolutions of MgO-activated slag materials at different curing temperatures [J]. Ceramics International, </w:t>
      </w:r>
      <w:r>
        <w:rPr>
          <w:rFonts w:eastAsia="楷体"/>
          <w:b/>
          <w:bCs/>
          <w:color w:val="auto"/>
          <w:sz w:val="24"/>
        </w:rPr>
        <w:t>2022</w:t>
      </w:r>
      <w:r>
        <w:rPr>
          <w:rFonts w:eastAsia="楷体"/>
          <w:color w:val="auto"/>
          <w:sz w:val="24"/>
        </w:rPr>
        <w:t>, 48</w:t>
      </w:r>
      <w:r>
        <w:rPr>
          <w:rFonts w:eastAsia="楷体" w:hint="eastAsia"/>
          <w:color w:val="auto"/>
          <w:sz w:val="24"/>
          <w:lang w:val="en-US" w:eastAsia="zh-CN"/>
        </w:rPr>
        <w:t>(</w:t>
      </w:r>
      <w:r>
        <w:rPr>
          <w:rFonts w:eastAsia="楷体"/>
          <w:color w:val="auto"/>
          <w:sz w:val="24"/>
        </w:rPr>
        <w:t>12</w:t>
      </w:r>
      <w:r>
        <w:rPr>
          <w:rFonts w:eastAsia="楷体" w:hint="eastAsia"/>
          <w:color w:val="auto"/>
          <w:sz w:val="24"/>
          <w:lang w:val="en-US" w:eastAsia="zh-CN"/>
        </w:rPr>
        <w:t>)</w:t>
      </w:r>
      <w:r>
        <w:rPr>
          <w:rFonts w:eastAsia="楷体"/>
          <w:color w:val="auto"/>
          <w:sz w:val="24"/>
        </w:rPr>
        <w:t>: 17104-17115.</w:t>
      </w:r>
    </w:p>
    <w:p>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textAlignment w:val="auto"/>
        <w:rPr>
          <w:rFonts w:eastAsia="楷体"/>
          <w:color w:val="auto"/>
          <w:sz w:val="24"/>
        </w:rPr>
      </w:pPr>
      <w:r>
        <w:rPr>
          <w:rFonts w:eastAsia="楷体"/>
          <w:color w:val="auto"/>
          <w:sz w:val="24"/>
        </w:rPr>
        <w:t>[</w:t>
      </w:r>
      <w:r>
        <w:rPr>
          <w:rFonts w:eastAsia="楷体" w:hint="eastAsia"/>
          <w:color w:val="auto"/>
          <w:sz w:val="24"/>
          <w:lang w:val="en-US" w:eastAsia="zh-CN"/>
        </w:rPr>
        <w:t>16</w:t>
      </w:r>
      <w:r>
        <w:rPr>
          <w:rFonts w:eastAsia="楷体"/>
          <w:color w:val="auto"/>
          <w:sz w:val="24"/>
        </w:rPr>
        <w:t xml:space="preserve">] </w:t>
      </w:r>
      <w:r>
        <w:rPr>
          <w:rFonts w:eastAsia="楷体"/>
          <w:b/>
          <w:bCs/>
          <w:color w:val="auto"/>
          <w:sz w:val="24"/>
        </w:rPr>
        <w:t>Ma Hongqiang*</w:t>
      </w:r>
      <w:r>
        <w:rPr>
          <w:rFonts w:eastAsia="楷体"/>
          <w:color w:val="auto"/>
          <w:sz w:val="24"/>
        </w:rPr>
        <w:t xml:space="preserve">, Niu Xiaoyan, Feng Jingjing*. Mechanical and microstructural property evolutions of MgO-slag cementitious materials under high temperatures [J]. Journal of Building Engineering, </w:t>
      </w:r>
      <w:r>
        <w:rPr>
          <w:rFonts w:eastAsia="楷体"/>
          <w:b/>
          <w:bCs/>
          <w:color w:val="auto"/>
          <w:sz w:val="24"/>
        </w:rPr>
        <w:t>2022</w:t>
      </w:r>
      <w:r>
        <w:rPr>
          <w:rFonts w:eastAsia="楷体"/>
          <w:color w:val="auto"/>
          <w:sz w:val="24"/>
        </w:rPr>
        <w:t>, 56: 104756.</w:t>
      </w:r>
    </w:p>
    <w:p>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textAlignment w:val="auto"/>
        <w:rPr>
          <w:rFonts w:eastAsia="楷体" w:hint="default"/>
          <w:b w:val="0"/>
          <w:bCs w:val="0"/>
          <w:color w:val="auto"/>
          <w:sz w:val="24"/>
          <w:szCs w:val="24"/>
          <w:lang w:val="en-US" w:eastAsia="zh-CN"/>
        </w:rPr>
      </w:pPr>
      <w:r>
        <w:rPr>
          <w:rFonts w:eastAsia="楷体"/>
          <w:color w:val="auto"/>
          <w:sz w:val="24"/>
        </w:rPr>
        <w:t>[1</w:t>
      </w:r>
      <w:r>
        <w:rPr>
          <w:rFonts w:eastAsia="楷体" w:hint="eastAsia"/>
          <w:color w:val="auto"/>
          <w:sz w:val="24"/>
          <w:lang w:val="en-US" w:eastAsia="zh-CN"/>
        </w:rPr>
        <w:t>7</w:t>
      </w:r>
      <w:r>
        <w:rPr>
          <w:rFonts w:eastAsia="楷体"/>
          <w:color w:val="auto"/>
          <w:sz w:val="24"/>
        </w:rPr>
        <w:t xml:space="preserve">] </w:t>
      </w:r>
      <w:r>
        <w:rPr>
          <w:rFonts w:eastAsia="楷体"/>
          <w:b/>
          <w:bCs/>
          <w:color w:val="auto"/>
          <w:sz w:val="24"/>
        </w:rPr>
        <w:t>Ma Hongqiang*</w:t>
      </w:r>
      <w:r>
        <w:rPr>
          <w:rFonts w:eastAsia="楷体"/>
          <w:color w:val="auto"/>
          <w:sz w:val="24"/>
        </w:rPr>
        <w:t xml:space="preserve">, Zhang Shaochen, Feng Jingjing*. Physicochemical properties of MgO-silica fume cementitious materials exposed to high temperatures [J]. Journal of Building Engineering, </w:t>
      </w:r>
      <w:r>
        <w:rPr>
          <w:rFonts w:eastAsia="楷体"/>
          <w:b/>
          <w:bCs/>
          <w:color w:val="auto"/>
          <w:sz w:val="24"/>
        </w:rPr>
        <w:t>2022</w:t>
      </w:r>
      <w:r>
        <w:rPr>
          <w:rFonts w:eastAsia="楷体"/>
          <w:color w:val="auto"/>
          <w:sz w:val="24"/>
        </w:rPr>
        <w:t>, 50: 104124.</w:t>
      </w:r>
    </w:p>
    <w:p>
      <w:pPr>
        <w:keepNext w:val="0"/>
        <w:keepLines w:val="0"/>
        <w:pageBreakBefore w:val="0"/>
        <w:widowControl w:val="0"/>
        <w:kinsoku/>
        <w:wordWrap/>
        <w:overflowPunct/>
        <w:topLinePunct w:val="0"/>
        <w:autoSpaceDE/>
        <w:autoSpaceDN/>
        <w:bidi w:val="0"/>
        <w:adjustRightInd/>
        <w:spacing w:line="440" w:lineRule="exact"/>
        <w:ind w:firstLine="480" w:firstLineChars="200"/>
        <w:textAlignment w:val="auto"/>
        <w:rPr>
          <w:rFonts w:ascii="Times New Roman" w:eastAsia="楷体" w:hAnsi="Times New Roman" w:cs="Times New Roman" w:hint="default"/>
          <w:b/>
          <w:bCs/>
          <w:color w:val="auto"/>
          <w:sz w:val="24"/>
          <w:szCs w:val="24"/>
          <w:lang w:val="en-US" w:eastAsia="zh-CN"/>
        </w:rPr>
      </w:pPr>
      <w:r>
        <w:rPr>
          <w:rFonts w:ascii="Times New Roman" w:eastAsia="楷体" w:hAnsi="Times New Roman" w:cs="Times New Roman" w:hint="default"/>
          <w:b/>
          <w:bCs/>
          <w:color w:val="auto"/>
          <w:sz w:val="24"/>
          <w:szCs w:val="24"/>
          <w:lang w:val="en-US" w:eastAsia="zh-CN"/>
        </w:rPr>
        <w:t>（2）碱激发材料导电/热电/储电特性研究的工作成绩</w:t>
      </w:r>
    </w:p>
    <w:p>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textAlignment w:val="auto"/>
        <w:rPr>
          <w:rFonts w:ascii="Times New Roman" w:eastAsia="楷体" w:hAnsi="Times New Roman" w:cs="Times New Roman" w:hint="eastAsia"/>
          <w:color w:val="auto"/>
          <w:sz w:val="24"/>
          <w:szCs w:val="24"/>
          <w:lang w:eastAsia="zh-CN"/>
        </w:rPr>
      </w:pPr>
      <w:r>
        <w:rPr>
          <w:rFonts w:ascii="Times New Roman" w:eastAsia="楷体" w:hAnsi="Times New Roman" w:cs="Times New Roman" w:hint="default"/>
          <w:color w:val="auto"/>
          <w:sz w:val="24"/>
          <w:szCs w:val="24"/>
        </w:rPr>
        <w:t>针对本项目的研究内容，课题组</w:t>
      </w:r>
      <w:r>
        <w:rPr>
          <w:rFonts w:ascii="Times New Roman" w:eastAsia="楷体" w:hAnsi="Times New Roman" w:cs="Times New Roman" w:hint="default"/>
          <w:color w:val="auto"/>
          <w:sz w:val="24"/>
          <w:szCs w:val="24"/>
          <w:lang w:val="en-US" w:eastAsia="zh-CN"/>
        </w:rPr>
        <w:t>开展</w:t>
      </w:r>
      <w:r>
        <w:rPr>
          <w:rFonts w:ascii="Times New Roman" w:eastAsia="楷体" w:hAnsi="Times New Roman" w:cs="Times New Roman" w:hint="default"/>
          <w:color w:val="auto"/>
          <w:sz w:val="24"/>
          <w:szCs w:val="24"/>
        </w:rPr>
        <w:t>了碱激发粉煤灰-矿渣胶凝材料导电性能的</w:t>
      </w:r>
      <w:r>
        <w:rPr>
          <w:rFonts w:ascii="Times New Roman" w:eastAsia="楷体" w:hAnsi="Times New Roman" w:cs="Times New Roman" w:hint="default"/>
          <w:color w:val="auto"/>
          <w:sz w:val="24"/>
          <w:szCs w:val="24"/>
          <w:lang w:val="en-US" w:eastAsia="zh-CN"/>
        </w:rPr>
        <w:t>可行性</w:t>
      </w:r>
      <w:r>
        <w:rPr>
          <w:rFonts w:ascii="Times New Roman" w:eastAsia="楷体" w:hAnsi="Times New Roman" w:cs="Times New Roman" w:hint="default"/>
          <w:color w:val="auto"/>
          <w:sz w:val="24"/>
          <w:szCs w:val="24"/>
        </w:rPr>
        <w:t>研究，电阻值的测试曲线如图</w:t>
      </w:r>
      <w:r>
        <w:rPr>
          <w:rFonts w:eastAsia="楷体" w:cs="Times New Roman" w:hint="eastAsia"/>
          <w:color w:val="auto"/>
          <w:sz w:val="24"/>
          <w:szCs w:val="24"/>
          <w:lang w:val="en-US" w:eastAsia="zh-CN"/>
        </w:rPr>
        <w:t>8</w:t>
      </w:r>
      <w:r>
        <w:rPr>
          <w:rFonts w:ascii="Times New Roman" w:eastAsia="楷体" w:hAnsi="Times New Roman" w:cs="Times New Roman" w:hint="default"/>
          <w:color w:val="auto"/>
          <w:sz w:val="24"/>
          <w:szCs w:val="24"/>
        </w:rPr>
        <w:t>所示，电阻值取值为平缓段的平均值。</w:t>
      </w:r>
      <w:r>
        <w:rPr>
          <w:rFonts w:ascii="Times New Roman" w:eastAsia="楷体" w:hAnsi="Times New Roman" w:cs="Times New Roman" w:hint="eastAsia"/>
          <w:color w:val="auto"/>
          <w:sz w:val="24"/>
          <w:szCs w:val="24"/>
          <w:lang w:val="en-US" w:eastAsia="zh-CN"/>
        </w:rPr>
        <w:t>图</w:t>
      </w:r>
      <w:r>
        <w:rPr>
          <w:rFonts w:eastAsia="楷体" w:cs="Times New Roman" w:hint="eastAsia"/>
          <w:color w:val="auto"/>
          <w:sz w:val="24"/>
          <w:szCs w:val="24"/>
          <w:lang w:val="en-US" w:eastAsia="zh-CN"/>
        </w:rPr>
        <w:t>9</w:t>
      </w:r>
      <w:r>
        <w:rPr>
          <w:rFonts w:ascii="Times New Roman" w:eastAsia="楷体" w:hAnsi="Times New Roman" w:cs="Times New Roman" w:hint="eastAsia"/>
          <w:color w:val="auto"/>
          <w:sz w:val="24"/>
          <w:szCs w:val="24"/>
          <w:lang w:val="en-US" w:eastAsia="zh-CN"/>
        </w:rPr>
        <w:t>为</w:t>
      </w:r>
      <w:r>
        <w:rPr>
          <w:rFonts w:ascii="Times New Roman" w:eastAsia="楷体" w:hAnsi="Times New Roman" w:cs="Times New Roman" w:hint="default"/>
          <w:color w:val="auto"/>
          <w:sz w:val="24"/>
          <w:szCs w:val="24"/>
          <w:lang w:val="en-US" w:eastAsia="zh-CN"/>
        </w:rPr>
        <w:t>水量分配对碱激发粉煤灰-矿渣胶凝材料热电电压的影响（温度梯度20℃-80℃）</w:t>
      </w:r>
      <w:r>
        <w:rPr>
          <w:rFonts w:ascii="Times New Roman" w:eastAsia="楷体" w:hAnsi="Times New Roman" w:cs="Times New Roman" w:hint="eastAsia"/>
          <w:color w:val="auto"/>
          <w:sz w:val="24"/>
          <w:szCs w:val="24"/>
          <w:lang w:val="en-US" w:eastAsia="zh-CN"/>
        </w:rPr>
        <w:t>。</w:t>
      </w:r>
      <w:r>
        <w:rPr>
          <w:rFonts w:ascii="Times New Roman" w:eastAsia="楷体" w:hAnsi="Times New Roman" w:cs="Times New Roman" w:hint="default"/>
          <w:color w:val="auto"/>
          <w:sz w:val="24"/>
          <w:szCs w:val="24"/>
          <w:lang w:val="en-US" w:eastAsia="zh-CN"/>
        </w:rPr>
        <w:t>碱激发粉煤灰-矿渣</w:t>
      </w:r>
      <w:r>
        <w:rPr>
          <w:rFonts w:ascii="Times New Roman" w:eastAsia="楷体" w:hAnsi="Times New Roman" w:cs="Times New Roman" w:hint="eastAsia"/>
          <w:color w:val="auto"/>
          <w:sz w:val="24"/>
          <w:szCs w:val="24"/>
          <w:lang w:val="en-US" w:eastAsia="zh-CN"/>
        </w:rPr>
        <w:t>试样的热电类型在干燥作用6h时由N-type转变为P-type，在0h出现N-type的最大绝对值-0.81</w:t>
      </w:r>
      <w:r>
        <w:rPr>
          <w:rFonts w:ascii="Times New Roman" w:eastAsia="楷体" w:hAnsi="Times New Roman" w:cs="Times New Roman" w:hint="default"/>
          <w:color w:val="auto"/>
          <w:sz w:val="24"/>
          <w:szCs w:val="24"/>
          <w:lang w:val="en-US" w:eastAsia="zh-CN"/>
        </w:rPr>
        <w:t>mV/℃</w:t>
      </w:r>
      <w:r>
        <w:rPr>
          <w:rFonts w:ascii="Times New Roman" w:eastAsia="楷体" w:hAnsi="Times New Roman" w:cs="Times New Roman" w:hint="eastAsia"/>
          <w:color w:val="auto"/>
          <w:sz w:val="24"/>
          <w:szCs w:val="24"/>
          <w:lang w:val="en-US" w:eastAsia="zh-CN"/>
        </w:rPr>
        <w:t>，在12h出现P-type的最大绝对值0.60</w:t>
      </w:r>
      <w:r>
        <w:rPr>
          <w:rFonts w:ascii="Times New Roman" w:eastAsia="楷体" w:hAnsi="Times New Roman" w:cs="Times New Roman" w:hint="default"/>
          <w:color w:val="auto"/>
          <w:sz w:val="24"/>
          <w:szCs w:val="24"/>
          <w:lang w:val="en-US" w:eastAsia="zh-CN"/>
        </w:rPr>
        <w:t>mV/℃</w:t>
      </w:r>
      <w:r>
        <w:rPr>
          <w:rFonts w:ascii="Times New Roman" w:eastAsia="楷体" w:hAnsi="Times New Roman" w:cs="Times New Roman" w:hint="eastAsia"/>
          <w:color w:val="auto"/>
          <w:sz w:val="24"/>
          <w:szCs w:val="24"/>
          <w:lang w:val="en-US" w:eastAsia="zh-CN"/>
        </w:rPr>
        <w:t>。</w:t>
      </w:r>
      <w:r>
        <w:rPr>
          <w:rFonts w:ascii="Times New Roman" w:eastAsia="楷体" w:hAnsi="Times New Roman" w:cs="Times New Roman" w:hint="default"/>
          <w:color w:val="auto"/>
          <w:sz w:val="24"/>
          <w:szCs w:val="24"/>
        </w:rPr>
        <w:t>针对热电特性研究，基于现有参考文献，构建了化学-物理模型解释碱激发胶凝材料中的离子分布，如图</w:t>
      </w:r>
      <w:r>
        <w:rPr>
          <w:rFonts w:eastAsia="楷体" w:cs="Times New Roman" w:hint="eastAsia"/>
          <w:color w:val="auto"/>
          <w:sz w:val="24"/>
          <w:szCs w:val="24"/>
          <w:lang w:val="en-US" w:eastAsia="zh-CN"/>
        </w:rPr>
        <w:t>10</w:t>
      </w:r>
      <w:r>
        <w:rPr>
          <w:rFonts w:ascii="Times New Roman" w:eastAsia="楷体" w:hAnsi="Times New Roman" w:cs="Times New Roman" w:hint="default"/>
          <w:color w:val="auto"/>
          <w:sz w:val="24"/>
          <w:szCs w:val="24"/>
        </w:rPr>
        <w:t>所示，碱性阳离子作为电荷平衡剂分布在胶凝相产物中，[SiO4]和[AlO4]通过O键合形成无定形网络，四面体配位中与Al相关的负电荷与水化非骨架Ca</w:t>
      </w:r>
      <w:r>
        <w:rPr>
          <w:rFonts w:ascii="Times New Roman" w:eastAsia="楷体" w:hAnsi="Times New Roman" w:cs="Times New Roman" w:hint="default"/>
          <w:color w:val="auto"/>
          <w:sz w:val="24"/>
          <w:szCs w:val="24"/>
          <w:vertAlign w:val="superscript"/>
        </w:rPr>
        <w:t>2+</w:t>
      </w:r>
      <w:r>
        <w:rPr>
          <w:rFonts w:ascii="Times New Roman" w:eastAsia="楷体" w:hAnsi="Times New Roman" w:cs="Times New Roman" w:hint="default"/>
          <w:color w:val="auto"/>
          <w:sz w:val="24"/>
          <w:szCs w:val="24"/>
        </w:rPr>
        <w:t>、Na</w:t>
      </w:r>
      <w:r>
        <w:rPr>
          <w:rFonts w:ascii="Times New Roman" w:eastAsia="楷体" w:hAnsi="Times New Roman" w:cs="Times New Roman" w:hint="default"/>
          <w:color w:val="auto"/>
          <w:sz w:val="24"/>
          <w:szCs w:val="24"/>
          <w:vertAlign w:val="superscript"/>
        </w:rPr>
        <w:t>+</w:t>
      </w:r>
      <w:r>
        <w:rPr>
          <w:rFonts w:ascii="Times New Roman" w:eastAsia="楷体" w:hAnsi="Times New Roman" w:cs="Times New Roman" w:hint="default"/>
          <w:color w:val="auto"/>
          <w:sz w:val="24"/>
          <w:szCs w:val="24"/>
        </w:rPr>
        <w:t>阳离子平衡。热反应过程使OH</w:t>
      </w:r>
      <w:r>
        <w:rPr>
          <w:rFonts w:ascii="Times New Roman" w:eastAsia="楷体" w:hAnsi="Times New Roman" w:cs="Times New Roman" w:hint="default"/>
          <w:color w:val="auto"/>
          <w:sz w:val="24"/>
          <w:szCs w:val="24"/>
          <w:vertAlign w:val="superscript"/>
        </w:rPr>
        <w:t>-</w:t>
      </w:r>
      <w:r>
        <w:rPr>
          <w:rFonts w:ascii="Times New Roman" w:eastAsia="楷体" w:hAnsi="Times New Roman" w:cs="Times New Roman" w:hint="default"/>
          <w:color w:val="auto"/>
          <w:sz w:val="24"/>
          <w:szCs w:val="24"/>
        </w:rPr>
        <w:t>、Na</w:t>
      </w:r>
      <w:r>
        <w:rPr>
          <w:rFonts w:ascii="Times New Roman" w:eastAsia="楷体" w:hAnsi="Times New Roman" w:cs="Times New Roman" w:hint="default"/>
          <w:color w:val="auto"/>
          <w:sz w:val="24"/>
          <w:szCs w:val="24"/>
          <w:vertAlign w:val="superscript"/>
        </w:rPr>
        <w:t>+</w:t>
      </w:r>
      <w:r>
        <w:rPr>
          <w:rFonts w:ascii="Times New Roman" w:eastAsia="楷体" w:hAnsi="Times New Roman" w:cs="Times New Roman" w:hint="default"/>
          <w:color w:val="auto"/>
          <w:sz w:val="24"/>
          <w:szCs w:val="24"/>
        </w:rPr>
        <w:t>等迁移（图中虚线框标识为Na</w:t>
      </w:r>
      <w:r>
        <w:rPr>
          <w:rFonts w:ascii="Times New Roman" w:eastAsia="楷体" w:hAnsi="Times New Roman" w:cs="Times New Roman" w:hint="default"/>
          <w:color w:val="auto"/>
          <w:sz w:val="24"/>
          <w:szCs w:val="24"/>
          <w:vertAlign w:val="superscript"/>
        </w:rPr>
        <w:t>+</w:t>
      </w:r>
      <w:r>
        <w:rPr>
          <w:rFonts w:ascii="Times New Roman" w:eastAsia="楷体" w:hAnsi="Times New Roman" w:cs="Times New Roman" w:hint="default"/>
          <w:color w:val="auto"/>
          <w:sz w:val="24"/>
          <w:szCs w:val="24"/>
        </w:rPr>
        <w:t>迁移），引起电荷不平衡，形成局部偶极子，产生导电信号。</w:t>
      </w:r>
      <w:r>
        <w:rPr>
          <w:rFonts w:ascii="Times New Roman" w:eastAsia="楷体" w:hAnsi="Times New Roman" w:cs="Times New Roman" w:hint="default"/>
          <w:b/>
          <w:bCs/>
          <w:color w:val="auto"/>
          <w:sz w:val="24"/>
          <w:szCs w:val="24"/>
        </w:rPr>
        <w:t>该部分研究基础为本实验开展碱激发材料</w:t>
      </w:r>
      <w:r>
        <w:rPr>
          <w:rFonts w:ascii="Times New Roman" w:eastAsia="楷体" w:hAnsi="Times New Roman" w:cs="Times New Roman" w:hint="eastAsia"/>
          <w:b/>
          <w:bCs/>
          <w:color w:val="auto"/>
          <w:sz w:val="24"/>
          <w:szCs w:val="24"/>
          <w:lang w:val="en-US" w:eastAsia="zh-CN"/>
        </w:rPr>
        <w:t>导电和储电</w:t>
      </w:r>
      <w:r>
        <w:rPr>
          <w:rFonts w:ascii="Times New Roman" w:eastAsia="楷体" w:hAnsi="Times New Roman" w:cs="Times New Roman" w:hint="default"/>
          <w:b/>
          <w:bCs/>
          <w:color w:val="auto"/>
          <w:sz w:val="24"/>
          <w:szCs w:val="24"/>
        </w:rPr>
        <w:t>性能提供试验支撑</w:t>
      </w:r>
      <w:r>
        <w:rPr>
          <w:rFonts w:ascii="Times New Roman" w:eastAsia="楷体" w:hAnsi="Times New Roman" w:cs="Times New Roman" w:hint="default"/>
          <w:b/>
          <w:bCs/>
          <w:color w:val="auto"/>
          <w:sz w:val="24"/>
          <w:szCs w:val="24"/>
          <w:lang w:val="en-US" w:eastAsia="zh-CN"/>
        </w:rPr>
        <w:t>和理论分析</w:t>
      </w:r>
      <w:r>
        <w:rPr>
          <w:rFonts w:ascii="Times New Roman" w:eastAsia="楷体" w:hAnsi="Times New Roman" w:cs="Times New Roman" w:hint="default"/>
          <w:b/>
          <w:bCs/>
          <w:color w:val="auto"/>
          <w:sz w:val="24"/>
          <w:szCs w:val="24"/>
        </w:rPr>
        <w:t>条件</w:t>
      </w:r>
      <w:r>
        <w:rPr>
          <w:rFonts w:ascii="Times New Roman" w:eastAsia="楷体" w:hAnsi="Times New Roman" w:cs="Times New Roman" w:hint="default"/>
          <w:color w:val="auto"/>
          <w:sz w:val="24"/>
          <w:szCs w:val="24"/>
        </w:rPr>
        <w:t>。</w:t>
      </w:r>
    </w:p>
    <w:p>
      <w:pPr>
        <w:snapToGrid w:val="0"/>
        <w:jc w:val="center"/>
        <w:rPr>
          <w:rFonts w:ascii="Times New Roman" w:eastAsia="楷体" w:hAnsi="Times New Roman" w:cs="Times New Roman" w:hint="default"/>
          <w:color w:val="auto"/>
          <w:sz w:val="24"/>
          <w:szCs w:val="24"/>
        </w:rPr>
      </w:pPr>
      <w:r>
        <w:rPr>
          <w:rFonts w:ascii="Times New Roman" w:eastAsia="楷体" w:hAnsi="Times New Roman" w:cs="Times New Roman" w:hint="default"/>
          <w:color w:val="auto"/>
          <w:sz w:val="24"/>
          <w:szCs w:val="24"/>
        </w:rPr>
        <w:drawing>
          <wp:inline distT="0" distB="0" distL="114300" distR="114300">
            <wp:extent cx="3831590" cy="2940050"/>
            <wp:effectExtent l="0" t="0" r="0" b="12700"/>
            <wp:docPr id="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34561" name="图片 12"/>
                    <pic:cNvPicPr>
                      <a:picLocks noChangeAspect="1"/>
                    </pic:cNvPicPr>
                  </pic:nvPicPr>
                  <pic:blipFill>
                    <a:blip xmlns:r="http://schemas.openxmlformats.org/officeDocument/2006/relationships" r:embed="rId17"/>
                    <a:srcRect l="7748" t="9172" r="12148" b="6288"/>
                    <a:stretch>
                      <a:fillRect/>
                    </a:stretch>
                  </pic:blipFill>
                  <pic:spPr>
                    <a:xfrm>
                      <a:off x="0" y="0"/>
                      <a:ext cx="3831590" cy="2940050"/>
                    </a:xfrm>
                    <a:prstGeom prst="rect">
                      <a:avLst/>
                    </a:prstGeom>
                    <a:noFill/>
                    <a:ln>
                      <a:noFill/>
                    </a:ln>
                  </pic:spPr>
                </pic:pic>
              </a:graphicData>
            </a:graphic>
          </wp:inline>
        </w:drawing>
      </w:r>
    </w:p>
    <w:p>
      <w:pPr>
        <w:snapToGrid w:val="0"/>
        <w:spacing w:line="440" w:lineRule="exact"/>
        <w:ind w:firstLine="480" w:firstLineChars="200"/>
        <w:jc w:val="center"/>
        <w:rPr>
          <w:rFonts w:ascii="Times New Roman" w:eastAsia="楷体" w:hAnsi="Times New Roman" w:cs="Times New Roman" w:hint="default"/>
          <w:color w:val="auto"/>
          <w:sz w:val="24"/>
          <w:szCs w:val="24"/>
        </w:rPr>
      </w:pPr>
      <w:r>
        <w:rPr>
          <w:rFonts w:ascii="Times New Roman" w:eastAsia="楷体" w:hAnsi="Times New Roman" w:cs="Times New Roman" w:hint="default"/>
          <w:b/>
          <w:bCs/>
          <w:color w:val="auto"/>
          <w:sz w:val="24"/>
          <w:szCs w:val="24"/>
        </w:rPr>
        <w:t>图</w:t>
      </w:r>
      <w:r>
        <w:rPr>
          <w:rFonts w:eastAsia="楷体" w:cs="Times New Roman" w:hint="eastAsia"/>
          <w:b/>
          <w:bCs/>
          <w:color w:val="auto"/>
          <w:sz w:val="24"/>
          <w:szCs w:val="24"/>
          <w:lang w:val="en-US" w:eastAsia="zh-CN"/>
        </w:rPr>
        <w:t>8</w:t>
      </w:r>
      <w:r>
        <w:rPr>
          <w:rFonts w:ascii="Times New Roman" w:eastAsia="楷体" w:hAnsi="Times New Roman" w:cs="Times New Roman" w:hint="default"/>
          <w:color w:val="auto"/>
          <w:sz w:val="24"/>
          <w:szCs w:val="24"/>
        </w:rPr>
        <w:t xml:space="preserve"> 碱激发粉煤灰-矿渣胶凝材料电阻值测试曲线</w:t>
      </w:r>
    </w:p>
    <w:p>
      <w:pPr>
        <w:snapToGrid w:val="0"/>
        <w:spacing w:line="240" w:lineRule="auto"/>
        <w:jc w:val="center"/>
        <w:rPr>
          <w:rFonts w:ascii="Times New Roman" w:eastAsia="楷体" w:hAnsi="Times New Roman" w:cs="Times New Roman" w:hint="eastAsia"/>
          <w:color w:val="auto"/>
          <w:sz w:val="24"/>
          <w:szCs w:val="24"/>
          <w:lang w:eastAsia="zh-CN"/>
        </w:rPr>
      </w:pPr>
      <w:r>
        <w:rPr>
          <w:color w:val="auto"/>
        </w:rPr>
        <w:drawing>
          <wp:inline distT="0" distB="0" distL="114300" distR="114300">
            <wp:extent cx="4712335" cy="3362325"/>
            <wp:effectExtent l="0" t="0" r="12065" b="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46487" name="图片 9"/>
                    <pic:cNvPicPr>
                      <a:picLocks noChangeAspect="1"/>
                    </pic:cNvPicPr>
                  </pic:nvPicPr>
                  <pic:blipFill>
                    <a:blip xmlns:r="http://schemas.openxmlformats.org/officeDocument/2006/relationships" r:embed="rId18"/>
                    <a:stretch>
                      <a:fillRect/>
                    </a:stretch>
                  </pic:blipFill>
                  <pic:spPr>
                    <a:xfrm>
                      <a:off x="0" y="0"/>
                      <a:ext cx="4712335" cy="3362325"/>
                    </a:xfrm>
                    <a:prstGeom prst="rect">
                      <a:avLst/>
                    </a:prstGeom>
                    <a:noFill/>
                    <a:ln>
                      <a:noFill/>
                    </a:ln>
                  </pic:spPr>
                </pic:pic>
              </a:graphicData>
            </a:graphic>
          </wp:inline>
        </w:drawing>
      </w:r>
    </w:p>
    <w:p>
      <w:pPr>
        <w:snapToGrid w:val="0"/>
        <w:spacing w:line="440" w:lineRule="exact"/>
        <w:ind w:firstLine="480" w:firstLineChars="200"/>
        <w:jc w:val="center"/>
        <w:rPr>
          <w:rFonts w:ascii="Times New Roman" w:eastAsia="楷体" w:hAnsi="Times New Roman" w:cs="Times New Roman" w:hint="default"/>
          <w:color w:val="auto"/>
          <w:sz w:val="24"/>
          <w:szCs w:val="24"/>
        </w:rPr>
      </w:pPr>
      <w:r>
        <w:rPr>
          <w:rFonts w:ascii="Times New Roman" w:eastAsia="楷体" w:hAnsi="Times New Roman" w:cs="Times New Roman" w:hint="default"/>
          <w:b/>
          <w:bCs/>
          <w:color w:val="auto"/>
          <w:sz w:val="24"/>
          <w:szCs w:val="24"/>
          <w:lang w:val="en-US" w:eastAsia="zh-CN"/>
        </w:rPr>
        <w:t>图</w:t>
      </w:r>
      <w:r>
        <w:rPr>
          <w:rFonts w:eastAsia="楷体" w:cs="Times New Roman" w:hint="eastAsia"/>
          <w:b/>
          <w:bCs/>
          <w:color w:val="auto"/>
          <w:sz w:val="24"/>
          <w:szCs w:val="24"/>
          <w:lang w:val="en-US" w:eastAsia="zh-CN"/>
        </w:rPr>
        <w:t>9</w:t>
      </w:r>
      <w:r>
        <w:rPr>
          <w:rFonts w:ascii="Times New Roman" w:eastAsia="楷体" w:hAnsi="Times New Roman" w:cs="Times New Roman" w:hint="default"/>
          <w:color w:val="auto"/>
          <w:sz w:val="24"/>
          <w:szCs w:val="24"/>
          <w:lang w:val="en-US" w:eastAsia="zh-CN"/>
        </w:rPr>
        <w:t xml:space="preserve"> 水量分配对碱激发粉煤灰-矿渣胶凝材料热电电压的影响（温度梯度20℃-80℃）</w:t>
      </w:r>
    </w:p>
    <w:p>
      <w:pPr>
        <w:snapToGrid w:val="0"/>
        <w:jc w:val="center"/>
        <w:rPr>
          <w:rFonts w:ascii="Times New Roman" w:eastAsia="楷体" w:hAnsi="Times New Roman" w:cs="Times New Roman" w:hint="eastAsia"/>
          <w:color w:val="auto"/>
          <w:sz w:val="24"/>
          <w:szCs w:val="24"/>
          <w:lang w:eastAsia="zh-CN"/>
        </w:rPr>
      </w:pPr>
      <w:r>
        <w:rPr>
          <w:rFonts w:ascii="Times New Roman" w:eastAsia="楷体" w:hAnsi="Times New Roman" w:cs="Times New Roman" w:hint="default"/>
          <w:color w:val="auto"/>
          <w:sz w:val="24"/>
          <w:szCs w:val="24"/>
        </w:rPr>
        <w:drawing>
          <wp:inline distT="0" distB="0" distL="114300" distR="114300">
            <wp:extent cx="5419725" cy="2438400"/>
            <wp:effectExtent l="0" t="0" r="9525" b="0"/>
            <wp:docPr id="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29250" name="图片 13"/>
                    <pic:cNvPicPr>
                      <a:picLocks noChangeAspect="1"/>
                    </pic:cNvPicPr>
                  </pic:nvPicPr>
                  <pic:blipFill>
                    <a:blip xmlns:r="http://schemas.openxmlformats.org/officeDocument/2006/relationships" r:embed="rId19"/>
                    <a:stretch>
                      <a:fillRect/>
                    </a:stretch>
                  </pic:blipFill>
                  <pic:spPr>
                    <a:xfrm>
                      <a:off x="0" y="0"/>
                      <a:ext cx="5419725" cy="2438400"/>
                    </a:xfrm>
                    <a:prstGeom prst="rect">
                      <a:avLst/>
                    </a:prstGeom>
                    <a:noFill/>
                    <a:ln>
                      <a:noFill/>
                    </a:ln>
                  </pic:spPr>
                </pic:pic>
              </a:graphicData>
            </a:graphic>
          </wp:inline>
        </w:drawing>
      </w:r>
    </w:p>
    <w:p>
      <w:pPr>
        <w:snapToGrid w:val="0"/>
        <w:spacing w:line="440" w:lineRule="exact"/>
        <w:ind w:firstLine="470" w:firstLineChars="196"/>
        <w:jc w:val="center"/>
        <w:rPr>
          <w:rFonts w:ascii="Times New Roman" w:eastAsia="楷体" w:hAnsi="Times New Roman" w:cs="Times New Roman" w:hint="default"/>
          <w:color w:val="auto"/>
          <w:sz w:val="24"/>
          <w:szCs w:val="24"/>
          <w:lang w:val="en-US" w:eastAsia="zh-CN"/>
        </w:rPr>
      </w:pPr>
      <w:r>
        <w:rPr>
          <w:rFonts w:ascii="Times New Roman" w:eastAsia="楷体" w:hAnsi="Times New Roman" w:cs="Times New Roman" w:hint="default"/>
          <w:b/>
          <w:bCs/>
          <w:color w:val="auto"/>
          <w:sz w:val="24"/>
          <w:szCs w:val="24"/>
        </w:rPr>
        <w:t>图</w:t>
      </w:r>
      <w:r>
        <w:rPr>
          <w:rFonts w:eastAsia="楷体" w:cs="Times New Roman" w:hint="eastAsia"/>
          <w:b/>
          <w:bCs/>
          <w:color w:val="auto"/>
          <w:sz w:val="24"/>
          <w:szCs w:val="24"/>
          <w:lang w:val="en-US" w:eastAsia="zh-CN"/>
        </w:rPr>
        <w:t>10</w:t>
      </w:r>
      <w:r>
        <w:rPr>
          <w:rFonts w:ascii="Times New Roman" w:eastAsia="楷体" w:hAnsi="Times New Roman" w:cs="Times New Roman" w:hint="default"/>
          <w:b/>
          <w:bCs/>
          <w:color w:val="auto"/>
          <w:sz w:val="24"/>
          <w:szCs w:val="24"/>
        </w:rPr>
        <w:t xml:space="preserve"> </w:t>
      </w:r>
      <w:r>
        <w:rPr>
          <w:rFonts w:ascii="Times New Roman" w:eastAsia="楷体" w:hAnsi="Times New Roman" w:cs="Times New Roman" w:hint="default"/>
          <w:color w:val="auto"/>
          <w:sz w:val="24"/>
          <w:szCs w:val="24"/>
        </w:rPr>
        <w:t>化学-物理模型解释碱激发胶凝材料中的离子分布</w:t>
      </w:r>
    </w:p>
    <w:p>
      <w:pPr>
        <w:snapToGrid w:val="0"/>
        <w:spacing w:line="440" w:lineRule="exact"/>
        <w:ind w:firstLine="480" w:firstLineChars="200"/>
        <w:rPr>
          <w:rFonts w:ascii="Times New Roman" w:eastAsia="楷体" w:hAnsi="Times New Roman" w:cs="Times New Roman" w:hint="default"/>
          <w:color w:val="auto"/>
          <w:sz w:val="24"/>
          <w:szCs w:val="24"/>
        </w:rPr>
      </w:pPr>
      <w:r>
        <w:rPr>
          <w:rFonts w:ascii="Times New Roman" w:eastAsia="楷体" w:hAnsi="Times New Roman" w:cs="Times New Roman" w:hint="default"/>
          <w:b/>
          <w:bCs/>
          <w:color w:val="auto"/>
          <w:sz w:val="24"/>
          <w:szCs w:val="24"/>
        </w:rPr>
        <w:t>（3）碱激发粉煤灰-矿渣材料</w:t>
      </w:r>
      <w:r>
        <w:rPr>
          <w:rFonts w:ascii="Times New Roman" w:eastAsia="楷体" w:hAnsi="Times New Roman" w:cs="Times New Roman" w:hint="default"/>
          <w:b/>
          <w:bCs/>
          <w:color w:val="auto"/>
          <w:sz w:val="24"/>
          <w:szCs w:val="24"/>
          <w:vertAlign w:val="superscript"/>
          <w:lang w:val="en-US" w:eastAsia="zh-CN"/>
        </w:rPr>
        <w:t>1</w:t>
      </w:r>
      <w:r>
        <w:rPr>
          <w:rFonts w:ascii="Times New Roman" w:eastAsia="楷体" w:hAnsi="Times New Roman" w:cs="Times New Roman" w:hint="default"/>
          <w:b/>
          <w:bCs/>
          <w:color w:val="auto"/>
          <w:sz w:val="24"/>
          <w:szCs w:val="24"/>
          <w:lang w:val="en-US" w:eastAsia="zh-CN"/>
        </w:rPr>
        <w:t xml:space="preserve">H </w:t>
      </w:r>
      <w:r>
        <w:rPr>
          <w:rFonts w:eastAsia="楷体" w:cs="Times New Roman" w:hint="eastAsia"/>
          <w:b/>
          <w:bCs/>
          <w:color w:val="auto"/>
          <w:sz w:val="24"/>
          <w:szCs w:val="24"/>
          <w:lang w:val="en-US" w:eastAsia="zh-CN"/>
        </w:rPr>
        <w:t>LF-</w:t>
      </w:r>
      <w:r>
        <w:rPr>
          <w:rFonts w:ascii="Times New Roman" w:eastAsia="楷体" w:hAnsi="Times New Roman" w:cs="Times New Roman" w:hint="default"/>
          <w:b/>
          <w:bCs/>
          <w:color w:val="auto"/>
          <w:sz w:val="24"/>
          <w:szCs w:val="24"/>
          <w:lang w:val="en-US" w:eastAsia="zh-CN"/>
        </w:rPr>
        <w:t>NMR</w:t>
      </w:r>
      <w:r>
        <w:rPr>
          <w:rFonts w:ascii="Times New Roman" w:eastAsia="楷体" w:hAnsi="Times New Roman" w:cs="Times New Roman" w:hint="default"/>
          <w:b/>
          <w:bCs/>
          <w:color w:val="auto"/>
          <w:sz w:val="24"/>
          <w:szCs w:val="24"/>
        </w:rPr>
        <w:t>测试表征的研究基础和已取得的研究工作成绩</w:t>
      </w:r>
    </w:p>
    <w:p>
      <w:pPr>
        <w:snapToGrid w:val="0"/>
        <w:spacing w:line="440" w:lineRule="exact"/>
        <w:ind w:firstLine="480" w:firstLineChars="200"/>
        <w:jc w:val="both"/>
        <w:rPr>
          <w:rFonts w:eastAsia="楷体"/>
          <w:b/>
          <w:bCs/>
          <w:color w:val="auto"/>
          <w:sz w:val="24"/>
        </w:rPr>
      </w:pPr>
      <w:r>
        <w:rPr>
          <w:rFonts w:eastAsia="楷体"/>
          <w:color w:val="auto"/>
          <w:sz w:val="24"/>
        </w:rPr>
        <w:t>课题组开展了基于</w:t>
      </w:r>
      <w:r>
        <w:rPr>
          <w:rFonts w:eastAsia="楷体" w:hint="eastAsia"/>
          <w:color w:val="auto"/>
          <w:sz w:val="24"/>
          <w:vertAlign w:val="superscript"/>
          <w:lang w:val="en-US" w:eastAsia="zh-CN"/>
        </w:rPr>
        <w:t>1</w:t>
      </w:r>
      <w:r>
        <w:rPr>
          <w:rFonts w:eastAsia="楷体" w:hint="eastAsia"/>
          <w:color w:val="auto"/>
          <w:sz w:val="24"/>
          <w:lang w:val="en-US" w:eastAsia="zh-CN"/>
        </w:rPr>
        <w:t>H LF-NMR</w:t>
      </w:r>
      <w:r>
        <w:rPr>
          <w:rFonts w:eastAsia="楷体"/>
          <w:color w:val="auto"/>
          <w:sz w:val="24"/>
        </w:rPr>
        <w:t>表征碱激发粉煤灰-矿渣胶凝材料孔隙结构和水化特性</w:t>
      </w:r>
      <w:r>
        <w:rPr>
          <w:rFonts w:eastAsia="楷体" w:hint="eastAsia"/>
          <w:color w:val="auto"/>
          <w:sz w:val="24"/>
          <w:lang w:val="en-US" w:eastAsia="zh-CN"/>
        </w:rPr>
        <w:t>的</w:t>
      </w:r>
      <w:r>
        <w:rPr>
          <w:rFonts w:eastAsia="楷体"/>
          <w:color w:val="auto"/>
          <w:sz w:val="24"/>
        </w:rPr>
        <w:t>试验研究。图1</w:t>
      </w:r>
      <w:r>
        <w:rPr>
          <w:rFonts w:eastAsia="楷体" w:hint="eastAsia"/>
          <w:color w:val="auto"/>
          <w:sz w:val="24"/>
          <w:lang w:val="en-US" w:eastAsia="zh-CN"/>
        </w:rPr>
        <w:t>1</w:t>
      </w:r>
      <w:r>
        <w:rPr>
          <w:rFonts w:eastAsia="楷体"/>
          <w:color w:val="auto"/>
          <w:sz w:val="24"/>
        </w:rPr>
        <w:t>为碱激发粉煤灰-矿渣胶凝材料的</w:t>
      </w:r>
      <w:r>
        <w:rPr>
          <w:rFonts w:eastAsia="楷体" w:hint="eastAsia"/>
          <w:color w:val="auto"/>
          <w:sz w:val="24"/>
          <w:vertAlign w:val="superscript"/>
          <w:lang w:val="en-US" w:eastAsia="zh-CN"/>
        </w:rPr>
        <w:t>1</w:t>
      </w:r>
      <w:r>
        <w:rPr>
          <w:rFonts w:eastAsia="楷体" w:hint="eastAsia"/>
          <w:color w:val="auto"/>
          <w:sz w:val="24"/>
          <w:lang w:val="en-US" w:eastAsia="zh-CN"/>
        </w:rPr>
        <w:t>H LF-NMR</w:t>
      </w:r>
      <w:r>
        <w:rPr>
          <w:rFonts w:eastAsia="楷体"/>
          <w:color w:val="auto"/>
          <w:sz w:val="24"/>
        </w:rPr>
        <w:t>测试结果，</w:t>
      </w:r>
      <w:r>
        <w:rPr>
          <w:rFonts w:eastAsia="楷体" w:hint="eastAsia"/>
          <w:color w:val="auto"/>
          <w:sz w:val="24"/>
          <w:lang w:val="en-US" w:eastAsia="zh-CN"/>
        </w:rPr>
        <w:t>分别为碱激发粉煤灰、粉煤灰-矿渣和矿渣三种体系</w:t>
      </w:r>
      <w:r>
        <w:rPr>
          <w:rFonts w:eastAsia="楷体"/>
          <w:color w:val="auto"/>
          <w:sz w:val="24"/>
        </w:rPr>
        <w:t>，横坐标为横向弛豫时间T</w:t>
      </w:r>
      <w:r>
        <w:rPr>
          <w:rFonts w:eastAsia="楷体"/>
          <w:color w:val="auto"/>
          <w:sz w:val="24"/>
          <w:vertAlign w:val="subscript"/>
        </w:rPr>
        <w:t>2</w:t>
      </w:r>
      <w:r>
        <w:rPr>
          <w:rFonts w:eastAsia="楷体"/>
          <w:color w:val="auto"/>
          <w:sz w:val="24"/>
        </w:rPr>
        <w:t>，纵坐标表示</w:t>
      </w:r>
      <w:r>
        <w:rPr>
          <w:rFonts w:eastAsia="楷体" w:hint="eastAsia"/>
          <w:color w:val="auto"/>
          <w:sz w:val="24"/>
          <w:lang w:val="en-US" w:eastAsia="zh-CN"/>
        </w:rPr>
        <w:t>孔隙水强度</w:t>
      </w:r>
      <w:r>
        <w:rPr>
          <w:rFonts w:eastAsia="楷体"/>
          <w:color w:val="auto"/>
          <w:sz w:val="24"/>
        </w:rPr>
        <w:t>。</w:t>
      </w:r>
      <w:r>
        <w:rPr>
          <w:rFonts w:eastAsia="楷体" w:hint="eastAsia"/>
          <w:color w:val="auto"/>
          <w:sz w:val="24"/>
          <w:lang w:val="en-US" w:eastAsia="zh-CN"/>
        </w:rPr>
        <w:t>明显看出随着水化时间增加，</w:t>
      </w:r>
      <w:r>
        <w:rPr>
          <w:rFonts w:eastAsia="楷体" w:hint="eastAsia"/>
          <w:color w:val="auto"/>
          <w:sz w:val="24"/>
        </w:rPr>
        <w:t>峰值位置向左移动，这意味着</w:t>
      </w:r>
      <w:r>
        <w:rPr>
          <w:rFonts w:eastAsia="楷体" w:hint="eastAsia"/>
          <w:color w:val="auto"/>
          <w:sz w:val="24"/>
          <w:lang w:val="en-US" w:eastAsia="zh-CN"/>
        </w:rPr>
        <w:t>碱激发体系</w:t>
      </w:r>
      <w:r>
        <w:rPr>
          <w:rFonts w:eastAsia="楷体" w:hint="eastAsia"/>
          <w:color w:val="auto"/>
          <w:sz w:val="24"/>
        </w:rPr>
        <w:t>中的孔隙水减少，孔径变小。</w:t>
      </w:r>
      <w:r>
        <w:rPr>
          <w:rFonts w:eastAsia="楷体" w:hint="eastAsia"/>
          <w:color w:val="auto"/>
          <w:sz w:val="24"/>
          <w:lang w:val="en-US" w:eastAsia="zh-CN"/>
        </w:rPr>
        <w:t>三种体系表现出显著的差异性。</w:t>
      </w:r>
      <w:r>
        <w:rPr>
          <w:rFonts w:eastAsia="楷体"/>
          <w:b/>
          <w:bCs/>
          <w:color w:val="auto"/>
          <w:sz w:val="24"/>
        </w:rPr>
        <w:t>该部分研究为研究内容1中</w:t>
      </w:r>
      <w:r>
        <w:rPr>
          <w:rFonts w:eastAsia="楷体" w:hint="eastAsia"/>
          <w:b/>
          <w:bCs/>
          <w:color w:val="auto"/>
          <w:sz w:val="24"/>
          <w:lang w:val="en-US" w:eastAsia="zh-CN"/>
        </w:rPr>
        <w:t>水量分配</w:t>
      </w:r>
      <w:r>
        <w:rPr>
          <w:rFonts w:eastAsia="楷体"/>
          <w:b/>
          <w:bCs/>
          <w:color w:val="auto"/>
          <w:sz w:val="24"/>
        </w:rPr>
        <w:t>表征提供支撑条件。</w:t>
      </w:r>
    </w:p>
    <w:p>
      <w:pPr>
        <w:snapToGrid w:val="0"/>
        <w:jc w:val="center"/>
        <w:rPr>
          <w:rFonts w:eastAsia="宋体" w:hint="eastAsia"/>
          <w:color w:val="auto"/>
          <w:sz w:val="24"/>
          <w:szCs w:val="24"/>
          <w:lang w:eastAsia="zh-CN"/>
        </w:rPr>
      </w:pPr>
      <w:r>
        <w:rPr>
          <w:color w:val="auto"/>
          <w:sz w:val="24"/>
          <w:szCs w:val="24"/>
        </w:rPr>
        <w:drawing>
          <wp:inline distT="0" distB="0" distL="114300" distR="114300">
            <wp:extent cx="3234055" cy="2581910"/>
            <wp:effectExtent l="0" t="0" r="4445" b="8890"/>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50888" name="图片 6"/>
                    <pic:cNvPicPr>
                      <a:picLocks noChangeAspect="1"/>
                    </pic:cNvPicPr>
                  </pic:nvPicPr>
                  <pic:blipFill>
                    <a:blip xmlns:r="http://schemas.openxmlformats.org/officeDocument/2006/relationships" r:embed="rId20"/>
                    <a:srcRect l="8710" t="10602" r="10971" b="5727"/>
                    <a:stretch>
                      <a:fillRect/>
                    </a:stretch>
                  </pic:blipFill>
                  <pic:spPr>
                    <a:xfrm>
                      <a:off x="0" y="0"/>
                      <a:ext cx="3234055" cy="2581910"/>
                    </a:xfrm>
                    <a:prstGeom prst="rect">
                      <a:avLst/>
                    </a:prstGeom>
                    <a:noFill/>
                    <a:ln>
                      <a:noFill/>
                    </a:ln>
                  </pic:spPr>
                </pic:pic>
              </a:graphicData>
            </a:graphic>
          </wp:inline>
        </w:drawing>
      </w:r>
    </w:p>
    <w:p>
      <w:pPr>
        <w:numPr>
          <w:ilvl w:val="0"/>
          <w:numId w:val="1"/>
        </w:numPr>
        <w:snapToGrid w:val="0"/>
        <w:spacing w:line="240" w:lineRule="auto"/>
        <w:jc w:val="center"/>
        <w:rPr>
          <w:rFonts w:ascii="Times New Roman" w:eastAsia="楷体" w:hAnsi="Times New Roman" w:cs="Times New Roman" w:hint="default"/>
          <w:color w:val="auto"/>
          <w:sz w:val="24"/>
          <w:szCs w:val="24"/>
          <w:lang w:val="en-US" w:eastAsia="zh-CN"/>
        </w:rPr>
      </w:pPr>
      <w:r>
        <w:rPr>
          <w:rFonts w:ascii="Times New Roman" w:eastAsia="楷体" w:hAnsi="Times New Roman" w:cs="Times New Roman" w:hint="eastAsia"/>
          <w:color w:val="auto"/>
          <w:sz w:val="24"/>
          <w:szCs w:val="24"/>
          <w:lang w:val="en-US" w:eastAsia="zh-CN"/>
        </w:rPr>
        <w:t>碱激发粉煤灰体系</w:t>
      </w:r>
    </w:p>
    <w:p>
      <w:pPr>
        <w:snapToGrid w:val="0"/>
        <w:jc w:val="center"/>
        <w:rPr>
          <w:color w:val="auto"/>
          <w:sz w:val="24"/>
          <w:szCs w:val="24"/>
        </w:rPr>
      </w:pPr>
      <w:r>
        <w:rPr>
          <w:color w:val="auto"/>
          <w:sz w:val="24"/>
          <w:szCs w:val="24"/>
        </w:rPr>
        <w:drawing>
          <wp:inline distT="0" distB="0" distL="114300" distR="114300">
            <wp:extent cx="3317875" cy="2668270"/>
            <wp:effectExtent l="0" t="0" r="0" b="17780"/>
            <wp:docPr id="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83035" name="图片 7"/>
                    <pic:cNvPicPr>
                      <a:picLocks noChangeAspect="1"/>
                    </pic:cNvPicPr>
                  </pic:nvPicPr>
                  <pic:blipFill>
                    <a:blip xmlns:r="http://schemas.openxmlformats.org/officeDocument/2006/relationships" r:embed="rId21"/>
                    <a:srcRect l="8794" t="10208" r="11156" b="5814"/>
                    <a:stretch>
                      <a:fillRect/>
                    </a:stretch>
                  </pic:blipFill>
                  <pic:spPr>
                    <a:xfrm>
                      <a:off x="0" y="0"/>
                      <a:ext cx="3317875" cy="2668270"/>
                    </a:xfrm>
                    <a:prstGeom prst="rect">
                      <a:avLst/>
                    </a:prstGeom>
                    <a:noFill/>
                    <a:ln>
                      <a:noFill/>
                    </a:ln>
                  </pic:spPr>
                </pic:pic>
              </a:graphicData>
            </a:graphic>
          </wp:inline>
        </w:drawing>
      </w:r>
    </w:p>
    <w:p>
      <w:pPr>
        <w:keepNext w:val="0"/>
        <w:keepLines w:val="0"/>
        <w:pageBreakBefore w:val="0"/>
        <w:widowControl w:val="0"/>
        <w:numPr>
          <w:ilvl w:val="0"/>
          <w:numId w:val="1"/>
        </w:numPr>
        <w:kinsoku/>
        <w:wordWrap/>
        <w:overflowPunct/>
        <w:topLinePunct w:val="0"/>
        <w:autoSpaceDE/>
        <w:autoSpaceDN/>
        <w:bidi w:val="0"/>
        <w:adjustRightInd/>
        <w:snapToGrid w:val="0"/>
        <w:spacing w:line="240" w:lineRule="auto"/>
        <w:ind w:left="0" w:firstLine="0" w:leftChars="0" w:firstLineChars="0"/>
        <w:jc w:val="center"/>
        <w:textAlignment w:val="auto"/>
        <w:rPr>
          <w:rFonts w:eastAsia="宋体" w:hint="default"/>
          <w:color w:val="auto"/>
          <w:sz w:val="24"/>
          <w:szCs w:val="24"/>
          <w:lang w:val="en-US" w:eastAsia="zh-CN"/>
        </w:rPr>
      </w:pPr>
      <w:r>
        <w:rPr>
          <w:rFonts w:ascii="Times New Roman" w:eastAsia="楷体" w:hAnsi="Times New Roman" w:cs="Times New Roman" w:hint="eastAsia"/>
          <w:color w:val="auto"/>
          <w:sz w:val="24"/>
          <w:szCs w:val="24"/>
          <w:lang w:val="en-US" w:eastAsia="zh-CN"/>
        </w:rPr>
        <w:t>碱激发粉煤灰-矿渣体系</w:t>
      </w:r>
    </w:p>
    <w:p>
      <w:pPr>
        <w:snapToGrid w:val="0"/>
        <w:jc w:val="center"/>
        <w:rPr>
          <w:color w:val="auto"/>
          <w:sz w:val="24"/>
          <w:szCs w:val="24"/>
        </w:rPr>
      </w:pPr>
      <w:r>
        <w:rPr>
          <w:color w:val="auto"/>
          <w:sz w:val="24"/>
          <w:szCs w:val="24"/>
        </w:rPr>
        <w:drawing>
          <wp:inline distT="0" distB="0" distL="114300" distR="114300">
            <wp:extent cx="3171825" cy="2558415"/>
            <wp:effectExtent l="0" t="0" r="0" b="13335"/>
            <wp:docPr id="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96526" name="图片 8"/>
                    <pic:cNvPicPr>
                      <a:picLocks noChangeAspect="1"/>
                    </pic:cNvPicPr>
                  </pic:nvPicPr>
                  <pic:blipFill>
                    <a:blip xmlns:r="http://schemas.openxmlformats.org/officeDocument/2006/relationships" r:embed="rId22"/>
                    <a:srcRect l="8710" t="9618" r="10971" b="5836"/>
                    <a:stretch>
                      <a:fillRect/>
                    </a:stretch>
                  </pic:blipFill>
                  <pic:spPr>
                    <a:xfrm>
                      <a:off x="0" y="0"/>
                      <a:ext cx="3171825" cy="2558415"/>
                    </a:xfrm>
                    <a:prstGeom prst="rect">
                      <a:avLst/>
                    </a:prstGeom>
                    <a:noFill/>
                    <a:ln>
                      <a:noFill/>
                    </a:ln>
                  </pic:spPr>
                </pic:pic>
              </a:graphicData>
            </a:graphic>
          </wp:inline>
        </w:drawing>
      </w:r>
    </w:p>
    <w:p>
      <w:pPr>
        <w:keepNext w:val="0"/>
        <w:keepLines w:val="0"/>
        <w:pageBreakBefore w:val="0"/>
        <w:widowControl w:val="0"/>
        <w:numPr>
          <w:ilvl w:val="0"/>
          <w:numId w:val="1"/>
        </w:numPr>
        <w:kinsoku/>
        <w:wordWrap/>
        <w:overflowPunct/>
        <w:topLinePunct w:val="0"/>
        <w:autoSpaceDE/>
        <w:autoSpaceDN/>
        <w:bidi w:val="0"/>
        <w:adjustRightInd/>
        <w:snapToGrid w:val="0"/>
        <w:spacing w:line="440" w:lineRule="exact"/>
        <w:ind w:left="0" w:firstLine="0" w:leftChars="0" w:firstLineChars="0"/>
        <w:jc w:val="center"/>
        <w:textAlignment w:val="auto"/>
        <w:rPr>
          <w:rFonts w:ascii="Times New Roman" w:eastAsia="楷体" w:hAnsi="Times New Roman" w:cs="Times New Roman" w:hint="default"/>
          <w:color w:val="auto"/>
          <w:sz w:val="24"/>
          <w:szCs w:val="24"/>
          <w:lang w:val="en-US" w:eastAsia="zh-CN"/>
        </w:rPr>
      </w:pPr>
      <w:r>
        <w:rPr>
          <w:rFonts w:ascii="Times New Roman" w:eastAsia="楷体" w:hAnsi="Times New Roman" w:cs="Times New Roman" w:hint="eastAsia"/>
          <w:color w:val="auto"/>
          <w:sz w:val="24"/>
          <w:szCs w:val="24"/>
          <w:lang w:val="en-US" w:eastAsia="zh-CN"/>
        </w:rPr>
        <w:t>碱激发矿渣体系</w:t>
      </w:r>
    </w:p>
    <w:p>
      <w:pPr>
        <w:snapToGrid w:val="0"/>
        <w:spacing w:line="440" w:lineRule="exact"/>
        <w:jc w:val="center"/>
        <w:rPr>
          <w:rFonts w:eastAsia="楷体"/>
          <w:b/>
          <w:bCs/>
          <w:color w:val="auto"/>
          <w:sz w:val="24"/>
        </w:rPr>
      </w:pPr>
      <w:r>
        <w:rPr>
          <w:rFonts w:eastAsia="楷体"/>
          <w:b/>
          <w:bCs/>
          <w:color w:val="auto"/>
          <w:sz w:val="24"/>
          <w:szCs w:val="24"/>
        </w:rPr>
        <w:t>图1</w:t>
      </w:r>
      <w:r>
        <w:rPr>
          <w:rFonts w:eastAsia="楷体" w:hint="eastAsia"/>
          <w:b/>
          <w:bCs/>
          <w:color w:val="auto"/>
          <w:sz w:val="24"/>
          <w:szCs w:val="24"/>
          <w:lang w:val="en-US" w:eastAsia="zh-CN"/>
        </w:rPr>
        <w:t>1</w:t>
      </w:r>
      <w:r>
        <w:rPr>
          <w:rFonts w:eastAsia="楷体"/>
          <w:color w:val="auto"/>
          <w:sz w:val="24"/>
          <w:szCs w:val="24"/>
        </w:rPr>
        <w:t xml:space="preserve"> 碱激发粉煤灰-矿渣胶凝材料</w:t>
      </w:r>
      <w:r>
        <w:rPr>
          <w:rFonts w:ascii="Times New Roman" w:eastAsia="楷体" w:hAnsi="Times New Roman" w:cs="Times New Roman" w:hint="default"/>
          <w:color w:val="auto"/>
          <w:sz w:val="24"/>
          <w:szCs w:val="24"/>
        </w:rPr>
        <w:t>的</w:t>
      </w:r>
      <w:r>
        <w:rPr>
          <w:rFonts w:ascii="Times New Roman" w:eastAsia="楷体" w:hAnsi="Times New Roman" w:cs="Times New Roman" w:hint="default"/>
          <w:color w:val="auto"/>
          <w:sz w:val="24"/>
          <w:szCs w:val="24"/>
          <w:vertAlign w:val="superscript"/>
          <w:lang w:val="en-US" w:eastAsia="zh-CN"/>
        </w:rPr>
        <w:t>1</w:t>
      </w:r>
      <w:r>
        <w:rPr>
          <w:rFonts w:ascii="Times New Roman" w:eastAsia="楷体" w:hAnsi="Times New Roman" w:cs="Times New Roman" w:hint="eastAsia"/>
          <w:color w:val="auto"/>
          <w:sz w:val="24"/>
          <w:szCs w:val="24"/>
          <w:lang w:val="en-US" w:eastAsia="zh-CN"/>
        </w:rPr>
        <w:t>H LF-NMR</w:t>
      </w:r>
      <w:r>
        <w:rPr>
          <w:rFonts w:ascii="Times New Roman" w:eastAsia="楷体" w:hAnsi="Times New Roman" w:cs="Times New Roman" w:hint="default"/>
          <w:color w:val="auto"/>
          <w:sz w:val="24"/>
          <w:szCs w:val="24"/>
        </w:rPr>
        <w:t>测试结果</w:t>
      </w:r>
    </w:p>
    <w:p>
      <w:pPr>
        <w:snapToGrid w:val="0"/>
        <w:spacing w:line="440" w:lineRule="exact"/>
        <w:ind w:firstLine="480" w:firstLineChars="200"/>
        <w:jc w:val="both"/>
        <w:rPr>
          <w:rFonts w:eastAsia="楷体"/>
          <w:color w:val="auto"/>
          <w:sz w:val="24"/>
        </w:rPr>
      </w:pPr>
      <w:r>
        <w:rPr>
          <w:rFonts w:eastAsia="楷体"/>
          <w:color w:val="auto"/>
          <w:sz w:val="24"/>
        </w:rPr>
        <w:t>课题组开展了持续中温作用对碱激发粉煤灰-矿渣混凝土细观结构的影响，基于X-CT测试不同温度水平、粉煤灰-矿渣质量比、持续时间下碱激发粉煤灰-矿渣混凝土的细观尺度结构分析。图1</w:t>
      </w:r>
      <w:r>
        <w:rPr>
          <w:rFonts w:eastAsia="楷体" w:hint="eastAsia"/>
          <w:color w:val="auto"/>
          <w:sz w:val="24"/>
          <w:lang w:val="en-US" w:eastAsia="zh-CN"/>
        </w:rPr>
        <w:t>2</w:t>
      </w:r>
      <w:r>
        <w:rPr>
          <w:rFonts w:eastAsia="楷体"/>
          <w:color w:val="auto"/>
          <w:sz w:val="24"/>
        </w:rPr>
        <w:t>为X-CT图像处理过程，</w:t>
      </w:r>
      <w:r>
        <w:rPr>
          <w:rFonts w:eastAsia="楷体" w:hint="eastAsia"/>
          <w:color w:val="auto"/>
          <w:sz w:val="24"/>
          <w:lang w:eastAsia="zh-CN"/>
        </w:rPr>
        <w:t>（</w:t>
      </w:r>
      <w:r>
        <w:rPr>
          <w:rFonts w:eastAsia="楷体"/>
          <w:color w:val="auto"/>
          <w:sz w:val="24"/>
        </w:rPr>
        <w:t>I</w:t>
      </w:r>
      <w:r>
        <w:rPr>
          <w:rFonts w:eastAsia="楷体" w:hint="eastAsia"/>
          <w:color w:val="auto"/>
          <w:sz w:val="24"/>
          <w:lang w:eastAsia="zh-CN"/>
        </w:rPr>
        <w:t>）</w:t>
      </w:r>
      <w:r>
        <w:rPr>
          <w:rFonts w:eastAsia="楷体"/>
          <w:color w:val="auto"/>
          <w:sz w:val="24"/>
        </w:rPr>
        <w:t>部分显示了碱激发粉煤灰-矿渣混凝土的三维重构模型。</w:t>
      </w:r>
      <w:r>
        <w:rPr>
          <w:rFonts w:eastAsia="楷体" w:hint="eastAsia"/>
          <w:color w:val="auto"/>
          <w:sz w:val="24"/>
          <w:lang w:eastAsia="zh-CN"/>
        </w:rPr>
        <w:t>（</w:t>
      </w:r>
      <w:r>
        <w:rPr>
          <w:rFonts w:eastAsia="楷体"/>
          <w:color w:val="auto"/>
          <w:sz w:val="24"/>
        </w:rPr>
        <w:t>II</w:t>
      </w:r>
      <w:r>
        <w:rPr>
          <w:rFonts w:eastAsia="楷体" w:hint="eastAsia"/>
          <w:color w:val="auto"/>
          <w:sz w:val="24"/>
          <w:lang w:eastAsia="zh-CN"/>
        </w:rPr>
        <w:t>）</w:t>
      </w:r>
      <w:r>
        <w:rPr>
          <w:rFonts w:eastAsia="楷体"/>
          <w:color w:val="auto"/>
          <w:sz w:val="24"/>
        </w:rPr>
        <w:t>部分展示了对切片预处理的方式。图1</w:t>
      </w:r>
      <w:r>
        <w:rPr>
          <w:rFonts w:eastAsia="楷体" w:hint="eastAsia"/>
          <w:color w:val="auto"/>
          <w:sz w:val="24"/>
          <w:lang w:val="en-US" w:eastAsia="zh-CN"/>
        </w:rPr>
        <w:t>3</w:t>
      </w:r>
      <w:r>
        <w:rPr>
          <w:rFonts w:eastAsia="楷体"/>
          <w:color w:val="auto"/>
          <w:sz w:val="24"/>
        </w:rPr>
        <w:t>为垂直高度上的孔隙率分布，可以分析试样沿垂直高度方向的孔隙率分布。图1</w:t>
      </w:r>
      <w:r>
        <w:rPr>
          <w:rFonts w:eastAsia="楷体" w:hint="eastAsia"/>
          <w:color w:val="auto"/>
          <w:sz w:val="24"/>
          <w:lang w:val="en-US" w:eastAsia="zh-CN"/>
        </w:rPr>
        <w:t>4</w:t>
      </w:r>
      <w:r>
        <w:rPr>
          <w:rFonts w:eastAsia="楷体"/>
          <w:color w:val="auto"/>
          <w:sz w:val="24"/>
        </w:rPr>
        <w:t>为基于X-CT测试的碱激发粉煤灰-矿渣混凝土的3D可视化孔隙分布，可以获得细观尺度孔隙特征，提取孔隙率、孔径分布、孔隙体积等重要信息，获得孔隙的直径和三维孔隙结构的骨架长度、连通性和弯曲度的结果。</w:t>
      </w:r>
      <w:r>
        <w:rPr>
          <w:rFonts w:eastAsia="楷体" w:hint="eastAsia"/>
          <w:color w:val="auto"/>
          <w:sz w:val="24"/>
          <w:lang w:val="en-US" w:eastAsia="zh-CN"/>
        </w:rPr>
        <w:t>相应的成果发表在</w:t>
      </w:r>
      <w:r>
        <w:rPr>
          <w:rFonts w:eastAsia="楷体" w:cs="Times New Roman" w:hint="eastAsia"/>
          <w:color w:val="auto"/>
          <w:sz w:val="24"/>
          <w:szCs w:val="24"/>
          <w:lang w:val="en-US" w:eastAsia="zh-CN"/>
        </w:rPr>
        <w:t>Materials Today Sustainability (</w:t>
      </w:r>
      <w:r>
        <w:rPr>
          <w:rFonts w:eastAsia="楷体" w:cs="Times New Roman" w:hint="eastAsia"/>
          <w:b/>
          <w:bCs/>
          <w:color w:val="auto"/>
          <w:sz w:val="24"/>
          <w:szCs w:val="24"/>
          <w:lang w:val="en-US" w:eastAsia="zh-CN"/>
        </w:rPr>
        <w:t>2024</w:t>
      </w:r>
      <w:r>
        <w:rPr>
          <w:rFonts w:eastAsia="楷体" w:cs="Times New Roman" w:hint="eastAsia"/>
          <w:color w:val="auto"/>
          <w:sz w:val="24"/>
          <w:szCs w:val="24"/>
          <w:lang w:val="en-US" w:eastAsia="zh-CN"/>
        </w:rPr>
        <w:t>, 28: 101036）。</w:t>
      </w:r>
      <w:r>
        <w:rPr>
          <w:rFonts w:eastAsia="楷体"/>
          <w:b/>
          <w:bCs/>
          <w:color w:val="auto"/>
          <w:sz w:val="24"/>
        </w:rPr>
        <w:t>该部分研究为研究内容</w:t>
      </w:r>
      <w:r>
        <w:rPr>
          <w:rFonts w:eastAsia="楷体" w:hint="eastAsia"/>
          <w:b/>
          <w:bCs/>
          <w:color w:val="auto"/>
          <w:sz w:val="24"/>
          <w:lang w:val="en-US" w:eastAsia="zh-CN"/>
        </w:rPr>
        <w:t>1和2</w:t>
      </w:r>
      <w:r>
        <w:rPr>
          <w:rFonts w:eastAsia="楷体"/>
          <w:b/>
          <w:bCs/>
          <w:color w:val="auto"/>
          <w:sz w:val="24"/>
        </w:rPr>
        <w:t>的细观尺度孔隙特征分析提供支撑条件</w:t>
      </w:r>
      <w:r>
        <w:rPr>
          <w:rFonts w:eastAsia="楷体"/>
          <w:color w:val="auto"/>
          <w:sz w:val="24"/>
        </w:rPr>
        <w:t>。</w:t>
      </w:r>
    </w:p>
    <w:p>
      <w:pPr>
        <w:snapToGrid w:val="0"/>
        <w:spacing w:line="440" w:lineRule="exact"/>
        <w:ind w:firstLine="480" w:firstLineChars="200"/>
        <w:jc w:val="both"/>
        <w:rPr>
          <w:rFonts w:eastAsia="楷体"/>
          <w:b/>
          <w:bCs/>
          <w:color w:val="auto"/>
          <w:sz w:val="24"/>
        </w:rPr>
      </w:pPr>
      <w:r>
        <w:rPr>
          <w:rFonts w:eastAsia="楷体"/>
          <w:b/>
          <w:bCs/>
          <w:color w:val="auto"/>
          <w:sz w:val="24"/>
        </w:rPr>
        <w:t>以上关于碱激发胶凝材料水化-硬化特性、导电性、</w:t>
      </w:r>
      <w:r>
        <w:rPr>
          <w:rFonts w:eastAsia="楷体" w:hint="eastAsia"/>
          <w:b/>
          <w:bCs/>
          <w:color w:val="auto"/>
          <w:sz w:val="24"/>
          <w:vertAlign w:val="superscript"/>
          <w:lang w:val="en-US" w:eastAsia="zh-CN"/>
        </w:rPr>
        <w:t>1</w:t>
      </w:r>
      <w:r>
        <w:rPr>
          <w:rFonts w:eastAsia="楷体" w:hint="eastAsia"/>
          <w:b/>
          <w:bCs/>
          <w:color w:val="auto"/>
          <w:sz w:val="24"/>
          <w:lang w:val="en-US" w:eastAsia="zh-CN"/>
        </w:rPr>
        <w:t>H LF-NMR</w:t>
      </w:r>
      <w:r>
        <w:rPr>
          <w:rFonts w:eastAsia="楷体"/>
          <w:b/>
          <w:bCs/>
          <w:color w:val="auto"/>
          <w:sz w:val="24"/>
        </w:rPr>
        <w:t>测试、X-CT测试的相关研究取得的研究经验、研究基础和成绩，可为顺利开展</w:t>
      </w:r>
      <w:r>
        <w:rPr>
          <w:rFonts w:eastAsia="楷体" w:hint="eastAsia"/>
          <w:b/>
          <w:bCs/>
          <w:color w:val="auto"/>
          <w:sz w:val="24"/>
          <w:lang w:val="en-US" w:eastAsia="zh-CN"/>
        </w:rPr>
        <w:t>水量分配、细观尺度孔隙表征等方面的研究</w:t>
      </w:r>
      <w:r>
        <w:rPr>
          <w:rFonts w:eastAsia="楷体"/>
          <w:b/>
          <w:bCs/>
          <w:color w:val="auto"/>
          <w:sz w:val="24"/>
        </w:rPr>
        <w:t>提供有力保障。</w:t>
      </w:r>
    </w:p>
    <w:p>
      <w:pPr>
        <w:snapToGrid w:val="0"/>
        <w:jc w:val="center"/>
        <w:rPr>
          <w:rFonts w:eastAsia="楷体" w:hint="eastAsia"/>
          <w:color w:val="auto"/>
          <w:lang w:eastAsia="zh-CN"/>
        </w:rPr>
      </w:pPr>
      <w:r>
        <w:rPr>
          <w:rFonts w:eastAsia="楷体"/>
          <w:color w:val="auto"/>
        </w:rPr>
        <w:drawing>
          <wp:inline distT="0" distB="0" distL="0" distR="0">
            <wp:extent cx="5599430" cy="4716145"/>
            <wp:effectExtent l="0" t="0" r="1270" b="8255"/>
            <wp:docPr id="20634655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87331" name="图片 2"/>
                    <pic:cNvPicPr>
                      <a:picLocks noChangeAspect="1" noChangeArrowheads="1"/>
                    </pic:cNvPicPr>
                  </pic:nvPicPr>
                  <pic:blipFill>
                    <a:blip xmlns:r="http://schemas.openxmlformats.org/officeDocument/2006/relationships" r:embed="rId23">
                      <a:extLst>
                        <a:ext xmlns:a="http://schemas.openxmlformats.org/drawingml/2006/main" uri="{28A0092B-C50C-407E-A947-70E740481C1C}">
                          <a14:useLocalDpi xmlns:a14="http://schemas.microsoft.com/office/drawing/2010/main" val="0"/>
                        </a:ext>
                      </a:extLst>
                    </a:blip>
                    <a:stretch>
                      <a:fillRect/>
                    </a:stretch>
                  </pic:blipFill>
                  <pic:spPr>
                    <a:xfrm>
                      <a:off x="0" y="0"/>
                      <a:ext cx="5599430" cy="471614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eastAsia="楷体" w:hint="default"/>
          <w:b/>
          <w:bCs/>
          <w:color w:val="auto"/>
          <w:sz w:val="24"/>
        </w:rPr>
      </w:pPr>
      <w:r>
        <w:rPr>
          <w:rFonts w:eastAsia="楷体"/>
          <w:b/>
          <w:bCs/>
          <w:color w:val="auto"/>
          <w:sz w:val="24"/>
          <w:szCs w:val="24"/>
        </w:rPr>
        <w:t>图1</w:t>
      </w:r>
      <w:r>
        <w:rPr>
          <w:rFonts w:eastAsia="楷体" w:hint="eastAsia"/>
          <w:b/>
          <w:bCs/>
          <w:color w:val="auto"/>
          <w:sz w:val="24"/>
          <w:szCs w:val="24"/>
          <w:lang w:val="en-US" w:eastAsia="zh-CN"/>
        </w:rPr>
        <w:t>2</w:t>
      </w:r>
      <w:r>
        <w:rPr>
          <w:rFonts w:eastAsia="楷体"/>
          <w:color w:val="auto"/>
          <w:sz w:val="24"/>
          <w:szCs w:val="24"/>
        </w:rPr>
        <w:t xml:space="preserve"> X-CT图像处理过程</w:t>
      </w:r>
    </w:p>
    <w:p>
      <w:pPr>
        <w:snapToGrid w:val="0"/>
        <w:jc w:val="center"/>
        <w:rPr>
          <w:rFonts w:eastAsia="楷体"/>
          <w:color w:val="auto"/>
          <w:sz w:val="24"/>
          <w:szCs w:val="24"/>
        </w:rPr>
      </w:pPr>
    </w:p>
    <w:p>
      <w:pPr>
        <w:snapToGrid w:val="0"/>
        <w:jc w:val="center"/>
        <w:rPr>
          <w:rFonts w:eastAsia="楷体"/>
          <w:color w:val="auto"/>
          <w:sz w:val="24"/>
          <w:szCs w:val="24"/>
        </w:rPr>
      </w:pPr>
    </w:p>
    <w:p>
      <w:pPr>
        <w:snapToGrid w:val="0"/>
        <w:jc w:val="center"/>
        <w:rPr>
          <w:rFonts w:eastAsia="楷体"/>
          <w:color w:val="auto"/>
          <w:sz w:val="24"/>
          <w:szCs w:val="24"/>
        </w:rPr>
      </w:pPr>
      <w:r>
        <w:rPr>
          <w:rFonts w:eastAsia="楷体"/>
          <w:color w:val="auto"/>
          <w:sz w:val="24"/>
          <w:szCs w:val="24"/>
        </w:rPr>
        <w:pict>
          <v:line id="_x0000_s1026" o:spid="_x0000_s1030" style="flip:x y;mso-height-relative:page;mso-width-relative:page;position:absolute;z-index:251658240" from="241.5pt,15.9pt" to="263.05pt,50.85pt" coordsize="21600,21600" stroked="t" strokecolor="blue">
            <v:stroke endarrow="open"/>
            <o:lock v:ext="edit" aspectratio="f"/>
          </v:line>
        </w:pict>
      </w:r>
      <w:r>
        <w:rPr>
          <w:rFonts w:eastAsia="楷体"/>
          <w:color w:val="auto"/>
          <w:sz w:val="24"/>
          <w:szCs w:val="24"/>
        </w:rPr>
        <w:object>
          <v:shape id="_x0000_i1031" type="#_x0000_t75" style="width:285.15pt;height:237.15pt" o:oleicon="f" o:ole="" coordsize="21600,21600" o:preferrelative="t" filled="f" stroked="f">
            <v:imagedata r:id="rId24" o:title="" croptop="6270f" cropbottom="3873f" cropleft="6182f" cropright="8258f"/>
            <o:lock v:ext="edit" aspectratio="f"/>
            <w10:anchorlock/>
          </v:shape>
          <o:OLEObject Type="Embed" ProgID="Visio.Drawing.15" ShapeID="_x0000_i1031" DrawAspect="Content" ObjectID="_1468075730" r:id="rId25"/>
        </w:object>
      </w:r>
    </w:p>
    <w:p>
      <w:pPr>
        <w:keepNext w:val="0"/>
        <w:keepLines w:val="0"/>
        <w:pageBreakBefore w:val="0"/>
        <w:widowControl w:val="0"/>
        <w:kinsoku/>
        <w:wordWrap/>
        <w:overflowPunct/>
        <w:topLinePunct w:val="0"/>
        <w:autoSpaceDE/>
        <w:autoSpaceDN/>
        <w:bidi w:val="0"/>
        <w:adjustRightInd/>
        <w:snapToGrid w:val="0"/>
        <w:spacing w:line="440" w:lineRule="exact"/>
        <w:jc w:val="center"/>
        <w:textAlignment w:val="auto"/>
        <w:rPr>
          <w:rFonts w:eastAsia="楷体"/>
          <w:color w:val="auto"/>
        </w:rPr>
      </w:pPr>
      <w:r>
        <w:rPr>
          <w:rFonts w:eastAsia="楷体"/>
          <w:b/>
          <w:bCs/>
          <w:color w:val="auto"/>
          <w:sz w:val="24"/>
          <w:szCs w:val="24"/>
        </w:rPr>
        <w:t>图1</w:t>
      </w:r>
      <w:r>
        <w:rPr>
          <w:rFonts w:eastAsia="楷体" w:hint="eastAsia"/>
          <w:b/>
          <w:bCs/>
          <w:color w:val="auto"/>
          <w:sz w:val="24"/>
          <w:szCs w:val="24"/>
          <w:lang w:val="en-US" w:eastAsia="zh-CN"/>
        </w:rPr>
        <w:t>3</w:t>
      </w:r>
      <w:r>
        <w:rPr>
          <w:rFonts w:eastAsia="楷体"/>
          <w:color w:val="auto"/>
          <w:sz w:val="24"/>
          <w:szCs w:val="24"/>
        </w:rPr>
        <w:t xml:space="preserve"> 垂直高度上的孔隙率分布</w:t>
      </w:r>
    </w:p>
    <w:p>
      <w:pPr>
        <w:snapToGrid w:val="0"/>
        <w:jc w:val="center"/>
        <w:rPr>
          <w:rFonts w:eastAsia="楷体"/>
          <w:color w:val="auto"/>
        </w:rPr>
      </w:pPr>
      <w:r>
        <w:rPr>
          <w:rFonts w:eastAsia="楷体"/>
          <w:color w:val="auto"/>
        </w:rPr>
        <w:drawing>
          <wp:inline distT="0" distB="0" distL="0" distR="0">
            <wp:extent cx="5394960" cy="5149850"/>
            <wp:effectExtent l="0" t="0" r="15240" b="12700"/>
            <wp:docPr id="16789922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47275" name="图片 1"/>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a:xfrm>
                      <a:off x="0" y="0"/>
                      <a:ext cx="5394960" cy="5149850"/>
                    </a:xfrm>
                    <a:prstGeom prst="rect">
                      <a:avLst/>
                    </a:prstGeom>
                    <a:noFill/>
                    <a:ln>
                      <a:noFill/>
                    </a:ln>
                  </pic:spPr>
                </pic:pic>
              </a:graphicData>
            </a:graphic>
          </wp:inline>
        </w:drawing>
      </w:r>
    </w:p>
    <w:p>
      <w:pPr>
        <w:wordWrap w:val="0"/>
        <w:spacing w:line="440" w:lineRule="exact"/>
        <w:ind w:firstLine="480" w:firstLineChars="200"/>
        <w:jc w:val="center"/>
        <w:rPr>
          <w:rFonts w:ascii="楷体" w:eastAsia="楷体" w:hAnsi="楷体" w:cs="楷体"/>
          <w:color w:val="auto"/>
        </w:rPr>
      </w:pPr>
      <w:r>
        <w:rPr>
          <w:rFonts w:eastAsia="楷体"/>
          <w:b/>
          <w:bCs/>
          <w:color w:val="auto"/>
          <w:sz w:val="24"/>
          <w:szCs w:val="24"/>
        </w:rPr>
        <w:t>图1</w:t>
      </w:r>
      <w:r>
        <w:rPr>
          <w:rFonts w:eastAsia="楷体" w:hint="eastAsia"/>
          <w:b/>
          <w:bCs/>
          <w:color w:val="auto"/>
          <w:sz w:val="24"/>
          <w:szCs w:val="24"/>
          <w:lang w:val="en-US" w:eastAsia="zh-CN"/>
        </w:rPr>
        <w:t>4</w:t>
      </w:r>
      <w:r>
        <w:rPr>
          <w:rFonts w:eastAsia="楷体"/>
          <w:color w:val="auto"/>
          <w:sz w:val="24"/>
          <w:szCs w:val="24"/>
        </w:rPr>
        <w:t xml:space="preserve"> 基于X-CT测试的碱激发粉煤灰-矿渣混凝土的3D可视化孔隙分布</w:t>
      </w:r>
    </w:p>
    <w:p>
      <w:pPr>
        <w:numPr>
          <w:ilvl w:val="255"/>
          <w:numId w:val="0"/>
        </w:numPr>
        <w:wordWrap w:val="0"/>
        <w:spacing w:line="440" w:lineRule="exact"/>
        <w:ind w:firstLine="560" w:firstLineChars="200"/>
        <w:rPr>
          <w:rFonts w:ascii="楷体" w:eastAsia="楷体" w:hAnsi="楷体" w:cs="楷体"/>
        </w:rPr>
      </w:pPr>
      <w:r>
        <w:rPr>
          <w:rFonts w:ascii="楷体" w:eastAsia="楷体" w:hAnsi="楷体" w:cs="楷体" w:hint="eastAsia"/>
        </w:rPr>
        <w:t>2.工作条件（已具备的实验条件，尚缺少的实验条件和拟解决的途径）</w:t>
      </w:r>
    </w:p>
    <w:p>
      <w:pPr>
        <w:keepNext w:val="0"/>
        <w:keepLines w:val="0"/>
        <w:pageBreakBefore w:val="0"/>
        <w:widowControl w:val="0"/>
        <w:numPr>
          <w:ilvl w:val="255"/>
          <w:numId w:val="0"/>
        </w:numPr>
        <w:kinsoku/>
        <w:wordWrap w:val="0"/>
        <w:overflowPunct/>
        <w:topLinePunct w:val="0"/>
        <w:autoSpaceDE/>
        <w:autoSpaceDN/>
        <w:bidi w:val="0"/>
        <w:adjustRightInd/>
        <w:snapToGrid/>
        <w:spacing w:line="440" w:lineRule="exact"/>
        <w:ind w:firstLine="480" w:firstLineChars="200"/>
        <w:textAlignment w:val="auto"/>
        <w:rPr>
          <w:rFonts w:ascii="楷体" w:eastAsia="楷体" w:hAnsi="楷体" w:cs="楷体"/>
          <w:color w:val="auto"/>
        </w:rPr>
      </w:pPr>
      <w:r>
        <w:rPr>
          <w:rFonts w:ascii="Times New Roman" w:eastAsia="楷体" w:hAnsi="Times New Roman" w:cs="Times New Roman" w:hint="default"/>
          <w:b/>
          <w:bCs/>
          <w:color w:val="auto"/>
          <w:sz w:val="24"/>
          <w:szCs w:val="24"/>
        </w:rPr>
        <w:t>本项目开展需要的工作条件均可在河北大学内部得到解决。</w:t>
      </w:r>
      <w:r>
        <w:rPr>
          <w:rFonts w:ascii="Times New Roman" w:eastAsia="楷体" w:hAnsi="Times New Roman" w:cs="Times New Roman" w:hint="default"/>
          <w:color w:val="auto"/>
          <w:sz w:val="24"/>
        </w:rPr>
        <w:t>申请人所在学校拥有新能源光电器件国家地方联合工程实验室、高分子材料与加工技术国家地方联合工程实验室和新型药物制剂与辅料全国重点实验室等科研平台；申请人所在学院拥有零碳能源建筑与计量技术教育部工程研究中心、河北省土木工程监测与评估技术创新中心、</w:t>
      </w:r>
      <w:r>
        <w:rPr>
          <w:rFonts w:ascii="Times New Roman" w:eastAsia="楷体" w:hAnsi="Times New Roman" w:cs="Times New Roman" w:hint="default"/>
          <w:color w:val="auto"/>
          <w:sz w:val="24"/>
          <w:lang w:val="en-US" w:eastAsia="zh-CN"/>
        </w:rPr>
        <w:t>河北省基础设施防灾减灾与智能评估重点实验室、</w:t>
      </w:r>
      <w:r>
        <w:rPr>
          <w:rFonts w:ascii="Times New Roman" w:eastAsia="楷体" w:hAnsi="Times New Roman" w:cs="Times New Roman" w:hint="default"/>
          <w:color w:val="auto"/>
          <w:sz w:val="24"/>
        </w:rPr>
        <w:t>保定市智能建造重点实验室（申请人担任副主任）和保定市智能建造与绿色建筑创新研究中心等科研平台。本项目研究所需的导电和</w:t>
      </w:r>
      <w:r>
        <w:rPr>
          <w:rFonts w:ascii="Times New Roman" w:eastAsia="楷体" w:hAnsi="Times New Roman" w:cs="Times New Roman" w:hint="default"/>
          <w:color w:val="auto"/>
          <w:sz w:val="24"/>
          <w:lang w:val="en-US" w:eastAsia="zh-CN"/>
        </w:rPr>
        <w:t>电化学</w:t>
      </w:r>
      <w:r>
        <w:rPr>
          <w:rFonts w:ascii="Times New Roman" w:eastAsia="楷体" w:hAnsi="Times New Roman" w:cs="Times New Roman" w:hint="default"/>
          <w:color w:val="auto"/>
          <w:sz w:val="24"/>
        </w:rPr>
        <w:t>性能测试以及电感耦合等离子体发射光谱</w:t>
      </w:r>
      <w:r>
        <w:rPr>
          <w:rFonts w:ascii="Times New Roman" w:eastAsia="楷体" w:hAnsi="Times New Roman" w:cs="Times New Roman" w:hint="default"/>
          <w:color w:val="auto"/>
          <w:sz w:val="24"/>
          <w:lang w:eastAsia="zh-CN"/>
        </w:rPr>
        <w:t>、</w:t>
      </w:r>
      <w:r>
        <w:rPr>
          <w:rFonts w:ascii="Times New Roman" w:eastAsia="楷体" w:hAnsi="Times New Roman" w:cs="Times New Roman" w:hint="default"/>
          <w:color w:val="auto"/>
          <w:sz w:val="24"/>
          <w:vertAlign w:val="superscript"/>
          <w:lang w:val="en-US" w:eastAsia="zh-CN"/>
        </w:rPr>
        <w:t>1</w:t>
      </w:r>
      <w:r>
        <w:rPr>
          <w:rFonts w:ascii="Times New Roman" w:eastAsia="楷体" w:hAnsi="Times New Roman" w:cs="Times New Roman" w:hint="default"/>
          <w:color w:val="auto"/>
          <w:sz w:val="24"/>
          <w:lang w:val="en-US" w:eastAsia="zh-CN"/>
        </w:rPr>
        <w:t>H LF-NMR</w:t>
      </w:r>
      <w:r>
        <w:rPr>
          <w:rFonts w:ascii="Times New Roman" w:eastAsia="楷体" w:hAnsi="Times New Roman" w:cs="Times New Roman" w:hint="default"/>
          <w:color w:val="auto"/>
          <w:sz w:val="24"/>
        </w:rPr>
        <w:t>、热重</w:t>
      </w:r>
      <w:r>
        <w:rPr>
          <w:rFonts w:ascii="Times New Roman" w:eastAsia="楷体" w:hAnsi="Times New Roman" w:cs="Times New Roman" w:hint="default"/>
          <w:color w:val="auto"/>
          <w:sz w:val="24"/>
          <w:lang w:val="en-US" w:eastAsia="zh-CN"/>
        </w:rPr>
        <w:t>和压汞</w:t>
      </w:r>
      <w:r>
        <w:rPr>
          <w:rFonts w:ascii="Times New Roman" w:eastAsia="楷体" w:hAnsi="Times New Roman" w:cs="Times New Roman" w:hint="default"/>
          <w:color w:val="auto"/>
          <w:sz w:val="24"/>
        </w:rPr>
        <w:t>测试均可在本课题组的建筑材料实验室完成测试。本项目相关的物相分析、微观/细</w:t>
      </w:r>
      <w:bookmarkStart w:id="120" w:name="OLE_LINK35"/>
      <w:r>
        <w:rPr>
          <w:rFonts w:ascii="Times New Roman" w:eastAsia="楷体" w:hAnsi="Times New Roman" w:cs="Times New Roman" w:hint="default"/>
          <w:color w:val="auto"/>
          <w:sz w:val="24"/>
        </w:rPr>
        <w:t>观</w:t>
      </w:r>
      <w:bookmarkEnd w:id="120"/>
      <w:r>
        <w:rPr>
          <w:rFonts w:ascii="Times New Roman" w:eastAsia="楷体" w:hAnsi="Times New Roman" w:cs="Times New Roman" w:hint="default"/>
          <w:color w:val="auto"/>
          <w:sz w:val="24"/>
        </w:rPr>
        <w:t>孔隙结构表征的试验均可在河北大学校内公共测试平台完成，例如：X-射线衍射仪、傅里叶红外光谱测试仪、固体核磁共振仪和X-CT等。</w:t>
      </w:r>
      <w:r>
        <w:rPr>
          <w:rFonts w:ascii="Times New Roman" w:eastAsia="楷体" w:hAnsi="Times New Roman" w:cs="Times New Roman" w:hint="default"/>
          <w:color w:val="auto"/>
          <w:sz w:val="24"/>
          <w:lang w:val="en-US" w:eastAsia="zh-CN"/>
        </w:rPr>
        <w:t>申请人所在校内研究团队（河北大学零碳能源载体建筑创新团队）和校外合作团队（山东农业大学冯竟竟教授团队、英国帝国理工学院Chao Wu教授和坎特伯雷大学Scott Allan教授）学术力量雄厚，均能够为本项目提供研究和理论指导。</w:t>
      </w:r>
    </w:p>
    <w:p>
      <w:pPr>
        <w:wordWrap w:val="0"/>
        <w:spacing w:line="440" w:lineRule="exact"/>
        <w:ind w:firstLine="560" w:firstLineChars="200"/>
        <w:rPr>
          <w:rFonts w:ascii="楷体" w:eastAsia="楷体" w:hAnsi="楷体" w:cs="楷体"/>
        </w:rPr>
      </w:pPr>
      <w:r>
        <w:rPr>
          <w:rFonts w:ascii="楷体" w:eastAsia="楷体" w:hAnsi="楷体" w:cs="楷体" w:hint="eastAsia"/>
        </w:rPr>
        <w:t>3.申请者和项目主要成员业务简历（分人填写申请人和项目组主要参与者的学历和研究工作简历，近五年已发表与本项目有关的主要论著目录和获得学术奖励情况及在本项目中承担的任务。论著目录要求详细列出所有作者、论著题目、期刊名或出版社名、年、卷（期）、起止页码等，申请人不超过6篇，参与者不超过3篇；奖励情况也须详细列出全部受奖人员、奖励名称等级、授奖年等）</w:t>
      </w:r>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ascii="Times New Roman" w:hAnsi="Times New Roman" w:eastAsiaTheme="minorEastAsia" w:cs="Times New Roman" w:hint="default"/>
          <w:b/>
          <w:bCs/>
          <w:color w:val="auto"/>
          <w:sz w:val="24"/>
          <w:szCs w:val="24"/>
        </w:rPr>
      </w:pPr>
      <w:r>
        <w:rPr>
          <w:rFonts w:ascii="Times New Roman" w:eastAsia="楷体" w:hAnsi="Times New Roman" w:cs="Times New Roman" w:hint="default"/>
          <w:b/>
          <w:bCs/>
          <w:color w:val="auto"/>
          <w:sz w:val="24"/>
          <w:szCs w:val="24"/>
          <w:lang w:eastAsia="zh-CN"/>
        </w:rPr>
        <w:t>（</w:t>
      </w:r>
      <w:r>
        <w:rPr>
          <w:rFonts w:ascii="Times New Roman" w:eastAsia="楷体" w:hAnsi="Times New Roman" w:cs="Times New Roman" w:hint="default"/>
          <w:b/>
          <w:bCs/>
          <w:color w:val="auto"/>
          <w:sz w:val="24"/>
          <w:szCs w:val="24"/>
          <w:lang w:val="en-US" w:eastAsia="zh-CN"/>
        </w:rPr>
        <w:t>1）</w:t>
      </w:r>
      <w:r>
        <w:rPr>
          <w:rFonts w:ascii="Times New Roman" w:eastAsia="楷体" w:hAnsi="Times New Roman" w:cs="Times New Roman" w:hint="default"/>
          <w:b/>
          <w:bCs/>
          <w:color w:val="auto"/>
          <w:sz w:val="24"/>
          <w:szCs w:val="24"/>
        </w:rPr>
        <w:t>马宏强</w:t>
      </w:r>
      <w:r>
        <w:rPr>
          <w:rFonts w:ascii="Times New Roman" w:eastAsia="楷体" w:hAnsi="Times New Roman" w:cs="Times New Roman" w:hint="eastAsia"/>
          <w:b/>
          <w:bCs/>
          <w:color w:val="auto"/>
          <w:sz w:val="24"/>
          <w:szCs w:val="24"/>
          <w:lang w:eastAsia="zh-CN"/>
        </w:rPr>
        <w:t>，</w:t>
      </w:r>
      <w:r>
        <w:rPr>
          <w:rFonts w:ascii="Times New Roman" w:eastAsia="楷体" w:hAnsi="Times New Roman" w:cs="Times New Roman" w:hint="eastAsia"/>
          <w:b/>
          <w:bCs/>
          <w:color w:val="auto"/>
          <w:sz w:val="24"/>
          <w:szCs w:val="24"/>
          <w:lang w:val="en-US" w:eastAsia="zh-CN"/>
        </w:rPr>
        <w:t>项目</w:t>
      </w:r>
      <w:r>
        <w:rPr>
          <w:rFonts w:ascii="Times New Roman" w:eastAsia="楷体" w:hAnsi="Times New Roman" w:cs="Times New Roman" w:hint="default"/>
          <w:b/>
          <w:bCs/>
          <w:color w:val="auto"/>
          <w:sz w:val="24"/>
          <w:szCs w:val="24"/>
        </w:rPr>
        <w:t>申请人</w:t>
      </w:r>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eastAsia="楷体" w:hint="default"/>
          <w:b/>
          <w:bCs/>
          <w:color w:val="auto"/>
          <w:sz w:val="24"/>
          <w:szCs w:val="24"/>
          <w:lang w:val="en-US" w:eastAsia="zh-CN"/>
        </w:rPr>
      </w:pPr>
      <w:r>
        <w:rPr>
          <w:rFonts w:eastAsia="楷体" w:hint="eastAsia"/>
          <w:b w:val="0"/>
          <w:bCs w:val="0"/>
          <w:color w:val="auto"/>
          <w:sz w:val="24"/>
          <w:szCs w:val="24"/>
          <w:lang w:val="en-US" w:eastAsia="zh-CN"/>
        </w:rPr>
        <w:t>河北大学建筑工程学院，副教授（校聘教授），硕士生导师，智能建造专业系主任，保定市智能建造重点实验室副主任，城市基础设施智能建造与安全运维专业委员会委员，河北大学学报（自然科学版）青年编委。</w:t>
      </w:r>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eastAsia="楷体"/>
          <w:b/>
          <w:bCs/>
          <w:color w:val="auto"/>
          <w:sz w:val="24"/>
          <w:szCs w:val="24"/>
        </w:rPr>
      </w:pPr>
      <w:r>
        <w:rPr>
          <w:rFonts w:eastAsia="楷体"/>
          <w:b/>
          <w:bCs/>
          <w:color w:val="auto"/>
          <w:sz w:val="24"/>
          <w:szCs w:val="24"/>
        </w:rPr>
        <w:t>主要教育背景：</w:t>
      </w:r>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eastAsia="楷体" w:hint="default"/>
          <w:color w:val="auto"/>
          <w:sz w:val="24"/>
          <w:szCs w:val="24"/>
          <w:lang w:val="en-US" w:eastAsia="zh-CN"/>
        </w:rPr>
      </w:pPr>
      <w:r>
        <w:rPr>
          <w:rFonts w:eastAsia="楷体" w:hint="eastAsia"/>
          <w:color w:val="auto"/>
          <w:sz w:val="24"/>
          <w:szCs w:val="24"/>
          <w:lang w:val="en-US" w:eastAsia="zh-CN"/>
        </w:rPr>
        <w:t>[1] 2024年11月至今，</w:t>
      </w:r>
      <w:r>
        <w:rPr>
          <w:rFonts w:eastAsia="楷体"/>
          <w:color w:val="auto"/>
          <w:sz w:val="24"/>
          <w:szCs w:val="24"/>
        </w:rPr>
        <w:t>河北大学建筑工程学院，</w:t>
      </w:r>
      <w:r>
        <w:rPr>
          <w:rFonts w:eastAsia="楷体" w:hint="eastAsia"/>
          <w:color w:val="auto"/>
          <w:sz w:val="24"/>
          <w:szCs w:val="24"/>
          <w:lang w:val="en-US" w:eastAsia="zh-CN"/>
        </w:rPr>
        <w:t>副教授</w:t>
      </w:r>
      <w:r>
        <w:rPr>
          <w:rFonts w:eastAsia="楷体"/>
          <w:color w:val="auto"/>
          <w:sz w:val="24"/>
          <w:szCs w:val="24"/>
        </w:rPr>
        <w:t>（校聘教授）</w:t>
      </w:r>
      <w:r>
        <w:rPr>
          <w:rFonts w:eastAsia="楷体" w:hint="eastAsia"/>
          <w:color w:val="auto"/>
          <w:sz w:val="24"/>
          <w:szCs w:val="24"/>
        </w:rPr>
        <w:t>；</w:t>
      </w:r>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eastAsia="楷体"/>
          <w:color w:val="auto"/>
          <w:sz w:val="24"/>
          <w:szCs w:val="24"/>
        </w:rPr>
      </w:pPr>
      <w:r>
        <w:rPr>
          <w:rFonts w:eastAsia="楷体" w:hint="eastAsia"/>
          <w:color w:val="auto"/>
          <w:sz w:val="24"/>
          <w:szCs w:val="24"/>
          <w:lang w:val="en-US" w:eastAsia="zh-CN"/>
        </w:rPr>
        <w:t xml:space="preserve">[2] </w:t>
      </w:r>
      <w:r>
        <w:rPr>
          <w:rFonts w:eastAsia="楷体"/>
          <w:color w:val="auto"/>
          <w:sz w:val="24"/>
          <w:szCs w:val="24"/>
        </w:rPr>
        <w:t>2021年7月至</w:t>
      </w:r>
      <w:r>
        <w:rPr>
          <w:rFonts w:eastAsia="楷体" w:hint="eastAsia"/>
          <w:color w:val="auto"/>
          <w:sz w:val="24"/>
          <w:szCs w:val="24"/>
          <w:lang w:val="en-US" w:eastAsia="zh-CN"/>
        </w:rPr>
        <w:t>2024年11月</w:t>
      </w:r>
      <w:r>
        <w:rPr>
          <w:rFonts w:eastAsia="楷体"/>
          <w:color w:val="auto"/>
          <w:sz w:val="24"/>
          <w:szCs w:val="24"/>
        </w:rPr>
        <w:t>，河北大学建筑工程学院，</w:t>
      </w:r>
      <w:r>
        <w:rPr>
          <w:rFonts w:eastAsia="楷体" w:hint="eastAsia"/>
          <w:color w:val="auto"/>
          <w:sz w:val="24"/>
          <w:szCs w:val="24"/>
          <w:lang w:val="en-US" w:eastAsia="zh-CN"/>
        </w:rPr>
        <w:t>讲师</w:t>
      </w:r>
      <w:r>
        <w:rPr>
          <w:rFonts w:eastAsia="楷体" w:hint="eastAsia"/>
          <w:color w:val="auto"/>
          <w:sz w:val="24"/>
          <w:szCs w:val="24"/>
        </w:rPr>
        <w:t>；</w:t>
      </w:r>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eastAsia="楷体" w:hint="eastAsia"/>
          <w:color w:val="auto"/>
          <w:sz w:val="24"/>
          <w:szCs w:val="24"/>
          <w:lang w:eastAsia="zh-CN"/>
        </w:rPr>
      </w:pPr>
      <w:r>
        <w:rPr>
          <w:rFonts w:eastAsia="楷体" w:hint="eastAsia"/>
          <w:color w:val="auto"/>
          <w:sz w:val="24"/>
          <w:szCs w:val="24"/>
          <w:lang w:val="en-US" w:eastAsia="zh-CN"/>
        </w:rPr>
        <w:t xml:space="preserve">[3] </w:t>
      </w:r>
      <w:r>
        <w:rPr>
          <w:rFonts w:eastAsia="楷体"/>
          <w:color w:val="auto"/>
          <w:sz w:val="24"/>
          <w:szCs w:val="24"/>
        </w:rPr>
        <w:t>2015年9月至2021年6月，中国矿业大学（北京），结构工程专业，硕博连读</w:t>
      </w:r>
      <w:r>
        <w:rPr>
          <w:rFonts w:eastAsia="楷体" w:hint="eastAsia"/>
          <w:color w:val="auto"/>
          <w:sz w:val="24"/>
          <w:szCs w:val="24"/>
        </w:rPr>
        <w:t>，工学博士；期间于2019年10月至2020年10月国家公派坎特伯雷大学博士联合培养</w:t>
      </w:r>
      <w:r>
        <w:rPr>
          <w:rFonts w:eastAsia="楷体" w:hint="eastAsia"/>
          <w:color w:val="auto"/>
          <w:sz w:val="24"/>
          <w:szCs w:val="24"/>
          <w:lang w:eastAsia="zh-CN"/>
        </w:rPr>
        <w:t>。</w:t>
      </w:r>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eastAsia="楷体"/>
          <w:b/>
          <w:bCs/>
          <w:color w:val="auto"/>
          <w:sz w:val="24"/>
          <w:szCs w:val="24"/>
        </w:rPr>
      </w:pPr>
      <w:r>
        <w:rPr>
          <w:rFonts w:eastAsia="楷体" w:hint="eastAsia"/>
          <w:b/>
          <w:bCs/>
          <w:color w:val="auto"/>
          <w:sz w:val="24"/>
          <w:szCs w:val="24"/>
        </w:rPr>
        <w:t>主要研究方向：</w:t>
      </w:r>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eastAsia="楷体" w:hint="default"/>
          <w:color w:val="auto"/>
          <w:sz w:val="24"/>
          <w:szCs w:val="24"/>
          <w:lang w:val="en-US" w:eastAsia="zh-CN"/>
        </w:rPr>
      </w:pPr>
      <w:r>
        <w:rPr>
          <w:rFonts w:eastAsia="楷体" w:hint="eastAsia"/>
          <w:color w:val="auto"/>
          <w:sz w:val="24"/>
          <w:szCs w:val="24"/>
          <w:lang w:val="en-US" w:eastAsia="zh-CN"/>
        </w:rPr>
        <w:t>先进低碳建筑材料，</w:t>
      </w:r>
      <w:r>
        <w:rPr>
          <w:rFonts w:eastAsia="楷体" w:hint="eastAsia"/>
          <w:color w:val="auto"/>
          <w:sz w:val="24"/>
          <w:szCs w:val="24"/>
        </w:rPr>
        <w:t>碱激发胶凝材料</w:t>
      </w:r>
      <w:r>
        <w:rPr>
          <w:rFonts w:eastAsia="楷体" w:hint="eastAsia"/>
          <w:color w:val="auto"/>
          <w:sz w:val="24"/>
          <w:szCs w:val="24"/>
          <w:lang w:val="en-US" w:eastAsia="zh-CN"/>
        </w:rPr>
        <w:t>，智能建筑材料设计等。</w:t>
      </w:r>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eastAsia="楷体"/>
          <w:b/>
          <w:bCs/>
          <w:color w:val="auto"/>
          <w:sz w:val="24"/>
          <w:szCs w:val="24"/>
        </w:rPr>
      </w:pPr>
      <w:r>
        <w:rPr>
          <w:rFonts w:eastAsia="楷体"/>
          <w:b/>
          <w:bCs/>
          <w:color w:val="auto"/>
          <w:sz w:val="24"/>
          <w:szCs w:val="24"/>
        </w:rPr>
        <w:t>主要代表性研究成果：</w:t>
      </w:r>
    </w:p>
    <w:p>
      <w:pPr>
        <w:keepNext w:val="0"/>
        <w:keepLines w:val="0"/>
        <w:pageBreakBefore w:val="0"/>
        <w:widowControl w:val="0"/>
        <w:numPr>
          <w:ilvl w:val="0"/>
          <w:numId w:val="0"/>
        </w:numPr>
        <w:kinsoku/>
        <w:overflowPunct/>
        <w:topLinePunct w:val="0"/>
        <w:autoSpaceDE/>
        <w:autoSpaceDN/>
        <w:bidi w:val="0"/>
        <w:adjustRightInd/>
        <w:snapToGrid/>
        <w:spacing w:line="440" w:lineRule="exact"/>
        <w:ind w:firstLine="480" w:firstLineChars="200"/>
        <w:textAlignment w:val="auto"/>
        <w:rPr>
          <w:rFonts w:eastAsia="楷体" w:hint="eastAsia"/>
          <w:b w:val="0"/>
          <w:bCs w:val="0"/>
          <w:color w:val="auto"/>
          <w:sz w:val="24"/>
          <w:szCs w:val="24"/>
          <w:lang w:val="en-US" w:eastAsia="zh-CN"/>
        </w:rPr>
      </w:pPr>
      <w:r>
        <w:rPr>
          <w:rFonts w:eastAsia="楷体" w:hint="eastAsia"/>
          <w:b w:val="0"/>
          <w:bCs w:val="0"/>
          <w:color w:val="auto"/>
          <w:sz w:val="24"/>
          <w:szCs w:val="24"/>
          <w:lang w:val="en-US" w:eastAsia="zh-CN"/>
        </w:rPr>
        <w:t xml:space="preserve">[1] </w:t>
      </w:r>
      <w:r>
        <w:rPr>
          <w:rFonts w:eastAsia="楷体" w:hint="eastAsia"/>
          <w:b/>
          <w:bCs/>
          <w:color w:val="auto"/>
          <w:sz w:val="24"/>
          <w:szCs w:val="24"/>
          <w:lang w:val="en-US" w:eastAsia="zh-CN"/>
        </w:rPr>
        <w:t>Hongqiang Ma</w:t>
      </w:r>
      <w:r>
        <w:rPr>
          <w:rFonts w:eastAsia="楷体" w:hint="eastAsia"/>
          <w:b w:val="0"/>
          <w:bCs w:val="0"/>
          <w:color w:val="auto"/>
          <w:sz w:val="24"/>
          <w:szCs w:val="24"/>
          <w:lang w:val="en-US" w:eastAsia="zh-CN"/>
        </w:rPr>
        <w:t xml:space="preserve">, Chao Wu. Mechanical and microstructural properties of alkali-activated fly ash-slag material under sustained moderate temperature effect [J]. Cement and Concrete Research, </w:t>
      </w:r>
      <w:r>
        <w:rPr>
          <w:rFonts w:eastAsia="楷体" w:hint="eastAsia"/>
          <w:b/>
          <w:bCs/>
          <w:color w:val="auto"/>
          <w:sz w:val="24"/>
          <w:szCs w:val="24"/>
          <w:lang w:val="en-US" w:eastAsia="zh-CN"/>
        </w:rPr>
        <w:t>2022</w:t>
      </w:r>
      <w:r>
        <w:rPr>
          <w:rFonts w:eastAsia="楷体" w:hint="eastAsia"/>
          <w:b w:val="0"/>
          <w:bCs w:val="0"/>
          <w:color w:val="auto"/>
          <w:sz w:val="24"/>
          <w:szCs w:val="24"/>
          <w:lang w:val="en-US" w:eastAsia="zh-CN"/>
        </w:rPr>
        <w:t>, 134, 104744.</w:t>
      </w:r>
    </w:p>
    <w:p>
      <w:pPr>
        <w:keepNext w:val="0"/>
        <w:keepLines w:val="0"/>
        <w:pageBreakBefore w:val="0"/>
        <w:widowControl w:val="0"/>
        <w:numPr>
          <w:ilvl w:val="0"/>
          <w:numId w:val="0"/>
        </w:numPr>
        <w:kinsoku/>
        <w:overflowPunct/>
        <w:topLinePunct w:val="0"/>
        <w:autoSpaceDE/>
        <w:autoSpaceDN/>
        <w:bidi w:val="0"/>
        <w:adjustRightInd/>
        <w:snapToGrid/>
        <w:spacing w:line="440" w:lineRule="exact"/>
        <w:ind w:firstLine="480" w:firstLineChars="200"/>
        <w:textAlignment w:val="auto"/>
        <w:rPr>
          <w:rFonts w:eastAsia="楷体" w:hint="default"/>
          <w:b w:val="0"/>
          <w:bCs w:val="0"/>
          <w:color w:val="auto"/>
          <w:sz w:val="24"/>
          <w:szCs w:val="24"/>
          <w:lang w:val="en-US" w:eastAsia="zh-CN"/>
        </w:rPr>
      </w:pPr>
      <w:r>
        <w:rPr>
          <w:rFonts w:eastAsia="楷体" w:hint="eastAsia"/>
          <w:b w:val="0"/>
          <w:bCs w:val="0"/>
          <w:color w:val="auto"/>
          <w:sz w:val="24"/>
          <w:szCs w:val="24"/>
          <w:lang w:val="en-US" w:eastAsia="zh-CN"/>
        </w:rPr>
        <w:t xml:space="preserve">[2] </w:t>
      </w:r>
      <w:r>
        <w:rPr>
          <w:rFonts w:eastAsia="楷体" w:hint="eastAsia"/>
          <w:b/>
          <w:bCs/>
          <w:color w:val="auto"/>
          <w:sz w:val="24"/>
          <w:szCs w:val="24"/>
          <w:lang w:val="en-US" w:eastAsia="zh-CN"/>
        </w:rPr>
        <w:t>Hongqiang Ma</w:t>
      </w:r>
      <w:r>
        <w:rPr>
          <w:rFonts w:eastAsia="楷体" w:hint="eastAsia"/>
          <w:b w:val="0"/>
          <w:bCs w:val="0"/>
          <w:color w:val="auto"/>
          <w:sz w:val="24"/>
          <w:szCs w:val="24"/>
          <w:lang w:val="en-US" w:eastAsia="zh-CN"/>
        </w:rPr>
        <w:t xml:space="preserve">, Congcong Fu, Kang Huang, Enyang Dai, Shaochen Zhang, Youliang Fang, Jingjing Feng. Study on the characteristics of alkali-activated fly ash-slag improved by cenosphere: Hydration and drying shrinkage [J]. Construction and Building Materials, </w:t>
      </w:r>
      <w:r>
        <w:rPr>
          <w:rFonts w:eastAsia="楷体" w:hint="eastAsia"/>
          <w:b/>
          <w:bCs/>
          <w:color w:val="auto"/>
          <w:sz w:val="24"/>
          <w:szCs w:val="24"/>
          <w:lang w:val="en-US" w:eastAsia="zh-CN"/>
        </w:rPr>
        <w:t>2023</w:t>
      </w:r>
      <w:r>
        <w:rPr>
          <w:rFonts w:eastAsia="楷体" w:hint="eastAsia"/>
          <w:b w:val="0"/>
          <w:bCs w:val="0"/>
          <w:color w:val="auto"/>
          <w:sz w:val="24"/>
          <w:szCs w:val="24"/>
          <w:lang w:val="en-US" w:eastAsia="zh-CN"/>
        </w:rPr>
        <w:t>, 372, 130822.</w:t>
      </w:r>
    </w:p>
    <w:p>
      <w:pPr>
        <w:keepNext w:val="0"/>
        <w:keepLines w:val="0"/>
        <w:pageBreakBefore w:val="0"/>
        <w:widowControl w:val="0"/>
        <w:numPr>
          <w:ilvl w:val="0"/>
          <w:numId w:val="0"/>
        </w:numPr>
        <w:kinsoku/>
        <w:overflowPunct/>
        <w:topLinePunct w:val="0"/>
        <w:autoSpaceDE/>
        <w:autoSpaceDN/>
        <w:bidi w:val="0"/>
        <w:adjustRightInd/>
        <w:snapToGrid/>
        <w:spacing w:line="440" w:lineRule="exact"/>
        <w:ind w:firstLine="480" w:firstLineChars="200"/>
        <w:textAlignment w:val="auto"/>
        <w:rPr>
          <w:rFonts w:eastAsia="楷体" w:hint="default"/>
          <w:b w:val="0"/>
          <w:bCs w:val="0"/>
          <w:color w:val="auto"/>
          <w:sz w:val="24"/>
          <w:szCs w:val="24"/>
          <w:lang w:val="en-US" w:eastAsia="zh-CN"/>
        </w:rPr>
      </w:pPr>
      <w:r>
        <w:rPr>
          <w:rFonts w:eastAsia="楷体" w:hint="eastAsia"/>
          <w:b w:val="0"/>
          <w:bCs w:val="0"/>
          <w:color w:val="auto"/>
          <w:sz w:val="24"/>
          <w:szCs w:val="24"/>
          <w:lang w:val="en-US" w:eastAsia="zh-CN"/>
        </w:rPr>
        <w:t>[3]</w:t>
      </w:r>
      <w:r>
        <w:rPr>
          <w:rFonts w:eastAsia="楷体" w:hint="eastAsia"/>
          <w:b/>
          <w:bCs/>
          <w:color w:val="auto"/>
          <w:sz w:val="24"/>
          <w:szCs w:val="24"/>
          <w:lang w:val="en-US" w:eastAsia="zh-CN"/>
        </w:rPr>
        <w:t xml:space="preserve"> Hongqiang Ma</w:t>
      </w:r>
      <w:r>
        <w:rPr>
          <w:rFonts w:eastAsia="楷体" w:hint="eastAsia"/>
          <w:b w:val="0"/>
          <w:bCs w:val="0"/>
          <w:color w:val="auto"/>
          <w:sz w:val="24"/>
          <w:szCs w:val="24"/>
          <w:lang w:val="en-US" w:eastAsia="zh-CN"/>
        </w:rPr>
        <w:t xml:space="preserve">, Congcong Fu, Jialong Wu, Xinhua Yuan, Chao Wu, Jingjing Feng. Micro/meso scales characterization of alkali-activated fly ash-slag concrete under sustained high-temperatures with X-CT, MIP, and SEM tests [J]. Materials Today Sustainability, </w:t>
      </w:r>
      <w:r>
        <w:rPr>
          <w:rFonts w:eastAsia="楷体" w:hint="eastAsia"/>
          <w:b/>
          <w:bCs/>
          <w:color w:val="auto"/>
          <w:sz w:val="24"/>
          <w:szCs w:val="24"/>
          <w:lang w:val="en-US" w:eastAsia="zh-CN"/>
        </w:rPr>
        <w:t>2024</w:t>
      </w:r>
      <w:r>
        <w:rPr>
          <w:rFonts w:eastAsia="楷体" w:hint="eastAsia"/>
          <w:b w:val="0"/>
          <w:bCs w:val="0"/>
          <w:color w:val="auto"/>
          <w:sz w:val="24"/>
          <w:szCs w:val="24"/>
          <w:lang w:val="en-US" w:eastAsia="zh-CN"/>
        </w:rPr>
        <w:t>, 28, 101036.</w:t>
      </w:r>
    </w:p>
    <w:p>
      <w:pPr>
        <w:keepNext w:val="0"/>
        <w:keepLines w:val="0"/>
        <w:pageBreakBefore w:val="0"/>
        <w:widowControl w:val="0"/>
        <w:numPr>
          <w:ilvl w:val="0"/>
          <w:numId w:val="0"/>
        </w:numPr>
        <w:kinsoku/>
        <w:overflowPunct/>
        <w:topLinePunct w:val="0"/>
        <w:autoSpaceDE/>
        <w:autoSpaceDN/>
        <w:bidi w:val="0"/>
        <w:adjustRightInd/>
        <w:snapToGrid/>
        <w:spacing w:line="440" w:lineRule="exact"/>
        <w:ind w:firstLine="480" w:firstLineChars="200"/>
        <w:textAlignment w:val="auto"/>
        <w:rPr>
          <w:rFonts w:eastAsia="楷体" w:hint="default"/>
          <w:b w:val="0"/>
          <w:bCs w:val="0"/>
          <w:color w:val="auto"/>
          <w:sz w:val="24"/>
          <w:szCs w:val="24"/>
          <w:lang w:val="en-US" w:eastAsia="zh-CN"/>
        </w:rPr>
      </w:pPr>
      <w:r>
        <w:rPr>
          <w:rFonts w:eastAsia="楷体" w:hint="eastAsia"/>
          <w:b w:val="0"/>
          <w:bCs w:val="0"/>
          <w:color w:val="auto"/>
          <w:sz w:val="24"/>
          <w:szCs w:val="24"/>
          <w:lang w:val="en-US" w:eastAsia="zh-CN"/>
        </w:rPr>
        <w:t>[4]</w:t>
      </w:r>
      <w:r>
        <w:rPr>
          <w:rFonts w:eastAsia="楷体" w:hint="eastAsia"/>
          <w:b/>
          <w:bCs/>
          <w:color w:val="auto"/>
          <w:sz w:val="24"/>
          <w:szCs w:val="24"/>
          <w:lang w:val="en-US" w:eastAsia="zh-CN"/>
        </w:rPr>
        <w:t xml:space="preserve"> Hongqiang Ma</w:t>
      </w:r>
      <w:r>
        <w:rPr>
          <w:rFonts w:eastAsia="楷体" w:hint="eastAsia"/>
          <w:b w:val="0"/>
          <w:bCs w:val="0"/>
          <w:color w:val="auto"/>
          <w:sz w:val="24"/>
          <w:szCs w:val="24"/>
          <w:lang w:val="en-US" w:eastAsia="zh-CN"/>
        </w:rPr>
        <w:t>, Congcong Fu</w:t>
      </w:r>
      <w:r>
        <w:rPr>
          <w:rFonts w:ascii="Times New Roman" w:eastAsia="楷体" w:hAnsi="Times New Roman" w:cs="Times New Roman" w:hint="default"/>
          <w:b w:val="0"/>
          <w:bCs w:val="0"/>
          <w:color w:val="auto"/>
          <w:sz w:val="24"/>
          <w:szCs w:val="24"/>
          <w:lang w:val="en-US" w:eastAsia="zh-CN"/>
        </w:rPr>
        <w:t xml:space="preserve">, </w:t>
      </w:r>
      <w:r>
        <w:rPr>
          <w:rFonts w:eastAsia="楷体" w:cs="Times New Roman" w:hint="eastAsia"/>
          <w:b w:val="0"/>
          <w:bCs w:val="0"/>
          <w:color w:val="auto"/>
          <w:sz w:val="24"/>
          <w:szCs w:val="24"/>
          <w:lang w:val="en-US" w:eastAsia="zh-CN"/>
        </w:rPr>
        <w:t xml:space="preserve">Enyang </w:t>
      </w:r>
      <w:r>
        <w:rPr>
          <w:rFonts w:ascii="Times New Roman" w:eastAsia="楷体" w:hAnsi="Times New Roman" w:cs="Times New Roman" w:hint="default"/>
          <w:b w:val="0"/>
          <w:bCs w:val="0"/>
          <w:color w:val="auto"/>
          <w:sz w:val="24"/>
          <w:szCs w:val="24"/>
          <w:lang w:val="en-US" w:eastAsia="zh-CN"/>
        </w:rPr>
        <w:t xml:space="preserve">Dai, </w:t>
      </w:r>
      <w:r>
        <w:rPr>
          <w:rFonts w:eastAsia="楷体" w:cs="Times New Roman" w:hint="eastAsia"/>
          <w:b w:val="0"/>
          <w:bCs w:val="0"/>
          <w:color w:val="auto"/>
          <w:sz w:val="24"/>
          <w:szCs w:val="24"/>
          <w:lang w:val="en-US" w:eastAsia="zh-CN"/>
        </w:rPr>
        <w:t xml:space="preserve">Kang </w:t>
      </w:r>
      <w:r>
        <w:rPr>
          <w:rFonts w:ascii="Times New Roman" w:eastAsia="楷体" w:hAnsi="Times New Roman" w:cs="Times New Roman" w:hint="default"/>
          <w:b w:val="0"/>
          <w:bCs w:val="0"/>
          <w:color w:val="auto"/>
          <w:sz w:val="24"/>
          <w:szCs w:val="24"/>
          <w:lang w:val="en-US" w:eastAsia="zh-CN"/>
        </w:rPr>
        <w:t xml:space="preserve">Huang, </w:t>
      </w:r>
      <w:r>
        <w:rPr>
          <w:rFonts w:eastAsia="楷体" w:cs="Times New Roman" w:hint="eastAsia"/>
          <w:b w:val="0"/>
          <w:bCs w:val="0"/>
          <w:color w:val="auto"/>
          <w:sz w:val="24"/>
          <w:szCs w:val="24"/>
          <w:lang w:val="en-US" w:eastAsia="zh-CN"/>
        </w:rPr>
        <w:t xml:space="preserve">Shaochen </w:t>
      </w:r>
      <w:r>
        <w:rPr>
          <w:rFonts w:ascii="Times New Roman" w:eastAsia="楷体" w:hAnsi="Times New Roman" w:cs="Times New Roman" w:hint="default"/>
          <w:b w:val="0"/>
          <w:bCs w:val="0"/>
          <w:color w:val="auto"/>
          <w:sz w:val="24"/>
          <w:szCs w:val="24"/>
          <w:lang w:val="en-US" w:eastAsia="zh-CN"/>
        </w:rPr>
        <w:t xml:space="preserve">Zhang, </w:t>
      </w:r>
      <w:r>
        <w:rPr>
          <w:rFonts w:eastAsia="楷体" w:hint="eastAsia"/>
          <w:b w:val="0"/>
          <w:bCs w:val="0"/>
          <w:color w:val="auto"/>
          <w:sz w:val="24"/>
          <w:szCs w:val="24"/>
          <w:lang w:val="en-US" w:eastAsia="zh-CN"/>
        </w:rPr>
        <w:t>Jingjing Feng</w:t>
      </w:r>
      <w:r>
        <w:rPr>
          <w:rFonts w:ascii="Times New Roman" w:eastAsia="楷体" w:hAnsi="Times New Roman" w:cs="Times New Roman" w:hint="default"/>
          <w:b w:val="0"/>
          <w:bCs w:val="0"/>
          <w:color w:val="auto"/>
          <w:sz w:val="24"/>
          <w:szCs w:val="24"/>
          <w:lang w:val="en-US" w:eastAsia="zh-CN"/>
        </w:rPr>
        <w:t>. Research on the effect of 60℃ thermal cycling on the properties of alkali-activated fly ash-slag materials: A new perspective</w:t>
      </w:r>
      <w:r>
        <w:rPr>
          <w:rFonts w:ascii="Times New Roman" w:eastAsia="楷体" w:hAnsi="Times New Roman" w:cs="Times New Roman" w:hint="eastAsia"/>
          <w:b w:val="0"/>
          <w:bCs w:val="0"/>
          <w:color w:val="auto"/>
          <w:sz w:val="24"/>
          <w:szCs w:val="24"/>
          <w:lang w:val="en-US" w:eastAsia="zh-CN"/>
        </w:rPr>
        <w:t xml:space="preserve"> [J]. Construction and Building Materials, </w:t>
      </w:r>
      <w:r>
        <w:rPr>
          <w:rFonts w:ascii="Times New Roman" w:eastAsia="楷体" w:hAnsi="Times New Roman" w:cs="Times New Roman" w:hint="eastAsia"/>
          <w:b/>
          <w:bCs/>
          <w:color w:val="auto"/>
          <w:sz w:val="24"/>
          <w:szCs w:val="24"/>
          <w:lang w:val="en-US" w:eastAsia="zh-CN"/>
        </w:rPr>
        <w:t>2024</w:t>
      </w:r>
      <w:r>
        <w:rPr>
          <w:rFonts w:ascii="Times New Roman" w:eastAsia="楷体" w:hAnsi="Times New Roman" w:cs="Times New Roman" w:hint="eastAsia"/>
          <w:b w:val="0"/>
          <w:bCs w:val="0"/>
          <w:color w:val="auto"/>
          <w:sz w:val="24"/>
          <w:szCs w:val="24"/>
          <w:lang w:val="en-US" w:eastAsia="zh-CN"/>
        </w:rPr>
        <w:t>, 416, 135192.</w:t>
      </w:r>
    </w:p>
    <w:p>
      <w:pPr>
        <w:keepNext w:val="0"/>
        <w:keepLines w:val="0"/>
        <w:pageBreakBefore w:val="0"/>
        <w:widowControl w:val="0"/>
        <w:numPr>
          <w:ilvl w:val="0"/>
          <w:numId w:val="0"/>
        </w:numPr>
        <w:kinsoku/>
        <w:overflowPunct/>
        <w:topLinePunct w:val="0"/>
        <w:autoSpaceDE/>
        <w:autoSpaceDN/>
        <w:bidi w:val="0"/>
        <w:adjustRightInd/>
        <w:snapToGrid/>
        <w:spacing w:line="440" w:lineRule="exact"/>
        <w:ind w:firstLine="480" w:firstLineChars="200"/>
        <w:textAlignment w:val="auto"/>
        <w:rPr>
          <w:rFonts w:eastAsia="楷体" w:hint="default"/>
          <w:b w:val="0"/>
          <w:bCs w:val="0"/>
          <w:color w:val="auto"/>
          <w:sz w:val="24"/>
          <w:szCs w:val="24"/>
          <w:lang w:val="en-US" w:eastAsia="zh-CN"/>
        </w:rPr>
      </w:pPr>
      <w:r>
        <w:rPr>
          <w:rFonts w:eastAsia="楷体" w:hint="eastAsia"/>
          <w:b w:val="0"/>
          <w:bCs w:val="0"/>
          <w:color w:val="auto"/>
          <w:sz w:val="24"/>
          <w:szCs w:val="24"/>
          <w:lang w:val="en-US" w:eastAsia="zh-CN"/>
        </w:rPr>
        <w:t xml:space="preserve">[5] </w:t>
      </w:r>
      <w:r>
        <w:rPr>
          <w:rFonts w:eastAsia="楷体" w:hint="eastAsia"/>
          <w:b/>
          <w:bCs/>
          <w:color w:val="auto"/>
          <w:sz w:val="24"/>
          <w:szCs w:val="24"/>
          <w:lang w:val="en-US" w:eastAsia="zh-CN"/>
        </w:rPr>
        <w:t>Hongqiang Ma</w:t>
      </w:r>
      <w:r>
        <w:rPr>
          <w:rFonts w:eastAsia="楷体" w:hint="eastAsia"/>
          <w:b w:val="0"/>
          <w:bCs w:val="0"/>
          <w:color w:val="auto"/>
          <w:sz w:val="24"/>
          <w:szCs w:val="24"/>
          <w:lang w:val="en-US" w:eastAsia="zh-CN"/>
        </w:rPr>
        <w:t xml:space="preserve">, Maozheng Su, Hao Fu, Zishi Xu, Chenyu Cao, Jingjing Feng. Multi-walled carbon nanotubes improved alkali-activated fly ash/slag materials: mechanical, shrinkage properties and microstructure [J]. Journal of Sustainable Cement-Based Materials, </w:t>
      </w:r>
      <w:r>
        <w:rPr>
          <w:rFonts w:eastAsia="楷体" w:hint="eastAsia"/>
          <w:b/>
          <w:bCs/>
          <w:color w:val="auto"/>
          <w:sz w:val="24"/>
          <w:szCs w:val="24"/>
          <w:lang w:val="en-US" w:eastAsia="zh-CN"/>
        </w:rPr>
        <w:t>2025</w:t>
      </w:r>
      <w:r>
        <w:rPr>
          <w:rFonts w:eastAsia="楷体" w:hint="eastAsia"/>
          <w:b w:val="0"/>
          <w:bCs w:val="0"/>
          <w:color w:val="auto"/>
          <w:sz w:val="24"/>
          <w:szCs w:val="24"/>
          <w:lang w:val="en-US" w:eastAsia="zh-CN"/>
        </w:rPr>
        <w:t>, 14(1), 222-236.</w:t>
      </w:r>
    </w:p>
    <w:p>
      <w:pPr>
        <w:keepNext w:val="0"/>
        <w:keepLines w:val="0"/>
        <w:pageBreakBefore w:val="0"/>
        <w:widowControl w:val="0"/>
        <w:numPr>
          <w:ilvl w:val="0"/>
          <w:numId w:val="0"/>
        </w:numPr>
        <w:kinsoku/>
        <w:overflowPunct/>
        <w:topLinePunct w:val="0"/>
        <w:autoSpaceDE/>
        <w:autoSpaceDN/>
        <w:bidi w:val="0"/>
        <w:adjustRightInd/>
        <w:snapToGrid/>
        <w:spacing w:line="440" w:lineRule="exact"/>
        <w:ind w:firstLine="480" w:firstLineChars="200"/>
        <w:textAlignment w:val="auto"/>
        <w:rPr>
          <w:rFonts w:eastAsia="楷体" w:cs="Times New Roman" w:hint="default"/>
          <w:color w:val="auto"/>
          <w:sz w:val="24"/>
          <w:szCs w:val="24"/>
          <w:lang w:val="en-US" w:eastAsia="zh-CN"/>
        </w:rPr>
      </w:pPr>
      <w:r>
        <w:rPr>
          <w:rFonts w:eastAsia="楷体" w:hint="eastAsia"/>
          <w:b w:val="0"/>
          <w:bCs w:val="0"/>
          <w:color w:val="auto"/>
          <w:sz w:val="24"/>
          <w:szCs w:val="24"/>
          <w:lang w:val="en-US" w:eastAsia="zh-CN"/>
        </w:rPr>
        <w:t xml:space="preserve">[6] </w:t>
      </w:r>
      <w:r>
        <w:rPr>
          <w:rFonts w:eastAsia="楷体" w:hint="eastAsia"/>
          <w:b/>
          <w:bCs/>
          <w:color w:val="auto"/>
          <w:sz w:val="24"/>
          <w:szCs w:val="24"/>
          <w:lang w:val="en-US" w:eastAsia="zh-CN"/>
        </w:rPr>
        <w:t>马宏强</w:t>
      </w:r>
      <w:r>
        <w:rPr>
          <w:rFonts w:eastAsia="楷体" w:hint="eastAsia"/>
          <w:b w:val="0"/>
          <w:bCs w:val="0"/>
          <w:color w:val="auto"/>
          <w:sz w:val="24"/>
          <w:szCs w:val="24"/>
          <w:lang w:val="en-US" w:eastAsia="zh-CN"/>
        </w:rPr>
        <w:t xml:space="preserve">, 牛晓燕. 建筑材料理论与应用[M]. 中国建筑工业出版社, 2025. ISBN: </w:t>
      </w:r>
      <w:r>
        <w:rPr>
          <w:rFonts w:eastAsia="楷体" w:cs="Times New Roman" w:hint="eastAsia"/>
          <w:color w:val="auto"/>
          <w:sz w:val="24"/>
          <w:szCs w:val="24"/>
          <w:lang w:val="en-US" w:eastAsia="zh-CN"/>
        </w:rPr>
        <w:t>978-7-112-30902-3. （专著）</w:t>
      </w:r>
    </w:p>
    <w:p>
      <w:pPr>
        <w:keepNext w:val="0"/>
        <w:keepLines w:val="0"/>
        <w:pageBreakBefore w:val="0"/>
        <w:widowControl w:val="0"/>
        <w:numPr>
          <w:ilvl w:val="0"/>
          <w:numId w:val="0"/>
        </w:numPr>
        <w:kinsoku/>
        <w:overflowPunct/>
        <w:topLinePunct w:val="0"/>
        <w:autoSpaceDE/>
        <w:autoSpaceDN/>
        <w:bidi w:val="0"/>
        <w:adjustRightInd/>
        <w:snapToGrid/>
        <w:spacing w:line="440" w:lineRule="exact"/>
        <w:ind w:firstLine="480" w:firstLineChars="200"/>
        <w:textAlignment w:val="auto"/>
        <w:rPr>
          <w:rFonts w:eastAsia="楷体" w:cs="Times New Roman" w:hint="eastAsia"/>
          <w:color w:val="auto"/>
          <w:sz w:val="24"/>
          <w:szCs w:val="24"/>
          <w:lang w:val="en-US" w:eastAsia="zh-CN"/>
        </w:rPr>
      </w:pPr>
      <w:r>
        <w:rPr>
          <w:rFonts w:eastAsia="楷体" w:cs="Times New Roman" w:hint="eastAsia"/>
          <w:b/>
          <w:bCs/>
          <w:color w:val="auto"/>
          <w:sz w:val="24"/>
          <w:szCs w:val="24"/>
          <w:lang w:val="en-US" w:eastAsia="zh-CN"/>
        </w:rPr>
        <w:t>获奖情况</w:t>
      </w:r>
      <w:r>
        <w:rPr>
          <w:rFonts w:eastAsia="楷体" w:cs="Times New Roman" w:hint="eastAsia"/>
          <w:color w:val="auto"/>
          <w:sz w:val="24"/>
          <w:szCs w:val="24"/>
          <w:lang w:val="en-US" w:eastAsia="zh-CN"/>
        </w:rPr>
        <w:t>：</w:t>
      </w:r>
    </w:p>
    <w:p>
      <w:pPr>
        <w:keepNext w:val="0"/>
        <w:keepLines w:val="0"/>
        <w:pageBreakBefore w:val="0"/>
        <w:widowControl w:val="0"/>
        <w:numPr>
          <w:ilvl w:val="0"/>
          <w:numId w:val="0"/>
        </w:numPr>
        <w:kinsoku/>
        <w:overflowPunct/>
        <w:topLinePunct w:val="0"/>
        <w:autoSpaceDE/>
        <w:autoSpaceDN/>
        <w:bidi w:val="0"/>
        <w:adjustRightInd/>
        <w:snapToGrid/>
        <w:spacing w:line="440" w:lineRule="exact"/>
        <w:ind w:firstLine="480" w:firstLineChars="200"/>
        <w:textAlignment w:val="auto"/>
        <w:rPr>
          <w:rFonts w:eastAsia="楷体" w:cs="Times New Roman" w:hint="default"/>
          <w:color w:val="auto"/>
          <w:sz w:val="24"/>
          <w:szCs w:val="24"/>
          <w:lang w:val="en-US" w:eastAsia="zh-CN"/>
        </w:rPr>
      </w:pPr>
      <w:r>
        <w:rPr>
          <w:rFonts w:eastAsia="楷体" w:cs="Times New Roman" w:hint="eastAsia"/>
          <w:color w:val="auto"/>
          <w:sz w:val="24"/>
          <w:szCs w:val="24"/>
          <w:lang w:val="en-US" w:eastAsia="zh-CN"/>
        </w:rPr>
        <w:t>[1] 第七届河北省大学生结构设计竞赛暨第十七届全国大学生结构设计竞赛河北省分区赛“突出贡献奖”（个人），2024年7月，颁奖单位：河北省教育厅。</w:t>
      </w:r>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eastAsia="楷体"/>
          <w:b/>
          <w:bCs/>
          <w:color w:val="auto"/>
          <w:sz w:val="24"/>
          <w:szCs w:val="24"/>
        </w:rPr>
      </w:pPr>
      <w:r>
        <w:rPr>
          <w:rFonts w:eastAsia="楷体" w:hint="eastAsia"/>
          <w:b/>
          <w:bCs/>
          <w:color w:val="auto"/>
          <w:sz w:val="24"/>
          <w:szCs w:val="24"/>
        </w:rPr>
        <w:t>本项目中承担任务：</w:t>
      </w:r>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eastAsia="楷体" w:hint="eastAsia"/>
          <w:color w:val="auto"/>
          <w:sz w:val="24"/>
          <w:szCs w:val="24"/>
        </w:rPr>
      </w:pPr>
      <w:r>
        <w:rPr>
          <w:rFonts w:eastAsia="楷体" w:hint="eastAsia"/>
          <w:color w:val="auto"/>
          <w:sz w:val="24"/>
          <w:szCs w:val="24"/>
        </w:rPr>
        <w:t>项目负责人，全面负责项目开展、提交年度报告和结题报告等。</w:t>
      </w:r>
    </w:p>
    <w:p>
      <w:pPr>
        <w:keepNext w:val="0"/>
        <w:keepLines w:val="0"/>
        <w:pageBreakBefore w:val="0"/>
        <w:widowControl w:val="0"/>
        <w:numPr>
          <w:ilvl w:val="0"/>
          <w:numId w:val="0"/>
        </w:numPr>
        <w:kinsoku/>
        <w:overflowPunct/>
        <w:topLinePunct w:val="0"/>
        <w:autoSpaceDE/>
        <w:autoSpaceDN/>
        <w:bidi w:val="0"/>
        <w:adjustRightInd/>
        <w:snapToGrid/>
        <w:spacing w:line="440" w:lineRule="exact"/>
        <w:ind w:firstLine="480" w:firstLineChars="200"/>
        <w:textAlignment w:val="auto"/>
        <w:rPr>
          <w:rFonts w:eastAsia="楷体" w:hint="eastAsia"/>
          <w:b/>
          <w:bCs/>
          <w:color w:val="auto"/>
          <w:sz w:val="24"/>
          <w:szCs w:val="24"/>
          <w:lang w:val="en-US" w:eastAsia="zh-CN"/>
        </w:rPr>
      </w:pPr>
      <w:r>
        <w:rPr>
          <w:rFonts w:eastAsia="楷体" w:hint="eastAsia"/>
          <w:b/>
          <w:bCs/>
          <w:color w:val="auto"/>
          <w:sz w:val="24"/>
          <w:szCs w:val="24"/>
          <w:lang w:eastAsia="zh-CN"/>
        </w:rPr>
        <w:t>（</w:t>
      </w:r>
      <w:r>
        <w:rPr>
          <w:rFonts w:eastAsia="楷体" w:hint="eastAsia"/>
          <w:b/>
          <w:bCs/>
          <w:color w:val="auto"/>
          <w:sz w:val="24"/>
          <w:szCs w:val="24"/>
          <w:lang w:val="en-US" w:eastAsia="zh-CN"/>
        </w:rPr>
        <w:t>2）辛勤，项目参与人</w:t>
      </w:r>
    </w:p>
    <w:p>
      <w:pPr>
        <w:keepNext w:val="0"/>
        <w:keepLines w:val="0"/>
        <w:pageBreakBefore w:val="0"/>
        <w:widowControl w:val="0"/>
        <w:numPr>
          <w:ilvl w:val="0"/>
          <w:numId w:val="0"/>
        </w:numPr>
        <w:kinsoku/>
        <w:overflowPunct/>
        <w:topLinePunct w:val="0"/>
        <w:autoSpaceDE/>
        <w:autoSpaceDN/>
        <w:bidi w:val="0"/>
        <w:adjustRightInd/>
        <w:snapToGrid/>
        <w:spacing w:line="440" w:lineRule="exact"/>
        <w:ind w:firstLine="480" w:firstLineChars="200"/>
        <w:textAlignment w:val="auto"/>
        <w:rPr>
          <w:rFonts w:eastAsia="楷体" w:hint="default"/>
          <w:b w:val="0"/>
          <w:bCs w:val="0"/>
          <w:color w:val="auto"/>
          <w:sz w:val="24"/>
          <w:szCs w:val="24"/>
          <w:lang w:val="en-US" w:eastAsia="zh-CN"/>
        </w:rPr>
      </w:pPr>
      <w:r>
        <w:rPr>
          <w:rFonts w:eastAsia="楷体" w:hint="eastAsia"/>
          <w:b w:val="0"/>
          <w:bCs w:val="0"/>
          <w:color w:val="auto"/>
          <w:sz w:val="24"/>
          <w:szCs w:val="24"/>
          <w:lang w:val="en-US" w:eastAsia="zh-CN"/>
        </w:rPr>
        <w:t>河北大学建筑工程学院，工学博士，副教授，硕士生导师。</w:t>
      </w:r>
    </w:p>
    <w:p>
      <w:pPr>
        <w:keepNext w:val="0"/>
        <w:keepLines w:val="0"/>
        <w:pageBreakBefore w:val="0"/>
        <w:widowControl w:val="0"/>
        <w:numPr>
          <w:ilvl w:val="0"/>
          <w:numId w:val="0"/>
        </w:numPr>
        <w:kinsoku/>
        <w:overflowPunct/>
        <w:topLinePunct w:val="0"/>
        <w:autoSpaceDE/>
        <w:autoSpaceDN/>
        <w:bidi w:val="0"/>
        <w:adjustRightInd/>
        <w:snapToGrid/>
        <w:spacing w:line="440" w:lineRule="exact"/>
        <w:ind w:firstLine="480" w:firstLineChars="200"/>
        <w:textAlignment w:val="auto"/>
        <w:rPr>
          <w:rFonts w:eastAsia="楷体" w:hint="default"/>
          <w:b w:val="0"/>
          <w:bCs w:val="0"/>
          <w:color w:val="auto"/>
          <w:sz w:val="24"/>
          <w:szCs w:val="24"/>
          <w:lang w:val="en-US" w:eastAsia="zh-CN"/>
        </w:rPr>
      </w:pPr>
      <w:r>
        <w:rPr>
          <w:rFonts w:eastAsia="楷体" w:hint="eastAsia"/>
          <w:color w:val="auto"/>
          <w:sz w:val="24"/>
          <w:szCs w:val="24"/>
          <w:lang w:val="en-US" w:eastAsia="zh-CN"/>
        </w:rPr>
        <w:t>主要代表性研究成果：</w:t>
      </w:r>
    </w:p>
    <w:p>
      <w:pPr>
        <w:keepNext w:val="0"/>
        <w:keepLines w:val="0"/>
        <w:pageBreakBefore w:val="0"/>
        <w:widowControl w:val="0"/>
        <w:numPr>
          <w:ilvl w:val="0"/>
          <w:numId w:val="0"/>
        </w:numPr>
        <w:kinsoku/>
        <w:overflowPunct/>
        <w:topLinePunct w:val="0"/>
        <w:autoSpaceDE/>
        <w:autoSpaceDN/>
        <w:bidi w:val="0"/>
        <w:adjustRightInd/>
        <w:snapToGrid/>
        <w:spacing w:line="440" w:lineRule="exact"/>
        <w:ind w:firstLine="480" w:firstLineChars="200"/>
        <w:textAlignment w:val="auto"/>
        <w:rPr>
          <w:rFonts w:eastAsia="楷体" w:hint="default"/>
          <w:b w:val="0"/>
          <w:bCs w:val="0"/>
          <w:color w:val="auto"/>
          <w:sz w:val="24"/>
          <w:szCs w:val="24"/>
          <w:lang w:val="en-US" w:eastAsia="zh-CN"/>
        </w:rPr>
      </w:pPr>
      <w:r>
        <w:rPr>
          <w:rFonts w:eastAsia="楷体" w:hint="eastAsia"/>
          <w:b w:val="0"/>
          <w:bCs w:val="0"/>
          <w:color w:val="auto"/>
          <w:sz w:val="24"/>
          <w:szCs w:val="24"/>
          <w:lang w:val="en-US" w:eastAsia="zh-CN"/>
        </w:rPr>
        <w:t xml:space="preserve">[1] </w:t>
      </w:r>
      <w:r>
        <w:rPr>
          <w:rFonts w:eastAsia="楷体" w:hint="eastAsia"/>
          <w:b/>
          <w:bCs/>
          <w:color w:val="auto"/>
          <w:sz w:val="24"/>
          <w:szCs w:val="24"/>
          <w:lang w:val="en-US" w:eastAsia="zh-CN"/>
        </w:rPr>
        <w:t>Qin Xin</w:t>
      </w:r>
      <w:r>
        <w:rPr>
          <w:rFonts w:eastAsia="楷体" w:hint="eastAsia"/>
          <w:b w:val="0"/>
          <w:bCs w:val="0"/>
          <w:color w:val="auto"/>
          <w:sz w:val="24"/>
          <w:szCs w:val="24"/>
          <w:lang w:val="en-US" w:eastAsia="zh-CN"/>
        </w:rPr>
        <w:t xml:space="preserve">, Xiuquan Hu, Zehan Li, Shixiong Lu, </w:t>
      </w:r>
      <w:r>
        <w:rPr>
          <w:rFonts w:eastAsia="楷体" w:hint="eastAsia"/>
          <w:b/>
          <w:bCs/>
          <w:color w:val="auto"/>
          <w:sz w:val="24"/>
          <w:szCs w:val="24"/>
          <w:lang w:val="en-US" w:eastAsia="zh-CN"/>
        </w:rPr>
        <w:t>Hongqiang Ma*</w:t>
      </w:r>
      <w:r>
        <w:rPr>
          <w:rFonts w:eastAsia="楷体" w:hint="eastAsia"/>
          <w:b w:val="0"/>
          <w:bCs w:val="0"/>
          <w:color w:val="auto"/>
          <w:sz w:val="24"/>
          <w:szCs w:val="24"/>
          <w:lang w:val="en-US" w:eastAsia="zh-CN"/>
        </w:rPr>
        <w:t>. Effect of recycled fiber modified by CNTs-epoxy resin composite coating on mechanical properties of mortar [J]. Construction and Building Materials, 2024, 446, 138055.</w:t>
      </w:r>
    </w:p>
    <w:p>
      <w:pPr>
        <w:keepNext w:val="0"/>
        <w:keepLines w:val="0"/>
        <w:pageBreakBefore w:val="0"/>
        <w:widowControl w:val="0"/>
        <w:numPr>
          <w:ilvl w:val="0"/>
          <w:numId w:val="0"/>
        </w:numPr>
        <w:kinsoku/>
        <w:overflowPunct/>
        <w:topLinePunct w:val="0"/>
        <w:autoSpaceDE/>
        <w:autoSpaceDN/>
        <w:bidi w:val="0"/>
        <w:adjustRightInd/>
        <w:snapToGrid/>
        <w:spacing w:line="440" w:lineRule="exact"/>
        <w:ind w:firstLine="480" w:firstLineChars="200"/>
        <w:textAlignment w:val="auto"/>
        <w:rPr>
          <w:rFonts w:eastAsia="楷体" w:hint="default"/>
          <w:b w:val="0"/>
          <w:bCs w:val="0"/>
          <w:color w:val="auto"/>
          <w:sz w:val="24"/>
          <w:szCs w:val="24"/>
          <w:lang w:val="en-US" w:eastAsia="zh-CN"/>
        </w:rPr>
      </w:pPr>
      <w:r>
        <w:rPr>
          <w:rFonts w:eastAsia="楷体" w:hint="eastAsia"/>
          <w:b w:val="0"/>
          <w:bCs w:val="0"/>
          <w:color w:val="auto"/>
          <w:sz w:val="24"/>
          <w:szCs w:val="24"/>
          <w:lang w:val="en-US" w:eastAsia="zh-CN"/>
        </w:rPr>
        <w:t xml:space="preserve">[2] </w:t>
      </w:r>
      <w:r>
        <w:rPr>
          <w:rFonts w:eastAsia="楷体" w:hint="eastAsia"/>
          <w:b/>
          <w:bCs/>
          <w:color w:val="auto"/>
          <w:sz w:val="24"/>
          <w:szCs w:val="24"/>
          <w:lang w:val="en-US" w:eastAsia="zh-CN"/>
        </w:rPr>
        <w:t>Qin Xin</w:t>
      </w:r>
      <w:r>
        <w:rPr>
          <w:rFonts w:eastAsia="楷体" w:hint="eastAsia"/>
          <w:b w:val="0"/>
          <w:bCs w:val="0"/>
          <w:color w:val="auto"/>
          <w:sz w:val="24"/>
          <w:szCs w:val="24"/>
          <w:lang w:val="en-US" w:eastAsia="zh-CN"/>
        </w:rPr>
        <w:t>, Zehan Li, Shixiong Lu, Pengtao Shao, Miao Zhang. The synergistic effect of recycled glass fiber reinforced plastic and silica fume on cement mortar properties [J]. Journal of Building Engineering, 2024, 94, 110055.</w:t>
      </w:r>
    </w:p>
    <w:p>
      <w:pPr>
        <w:keepNext w:val="0"/>
        <w:keepLines w:val="0"/>
        <w:pageBreakBefore w:val="0"/>
        <w:widowControl w:val="0"/>
        <w:numPr>
          <w:ilvl w:val="0"/>
          <w:numId w:val="0"/>
        </w:numPr>
        <w:kinsoku/>
        <w:overflowPunct/>
        <w:topLinePunct w:val="0"/>
        <w:autoSpaceDE/>
        <w:autoSpaceDN/>
        <w:bidi w:val="0"/>
        <w:adjustRightInd/>
        <w:snapToGrid/>
        <w:spacing w:line="440" w:lineRule="exact"/>
        <w:ind w:firstLine="480" w:firstLineChars="200"/>
        <w:textAlignment w:val="auto"/>
        <w:rPr>
          <w:rFonts w:eastAsia="楷体" w:hint="eastAsia"/>
          <w:b w:val="0"/>
          <w:bCs w:val="0"/>
          <w:color w:val="auto"/>
          <w:sz w:val="24"/>
          <w:szCs w:val="24"/>
          <w:lang w:val="en-US" w:eastAsia="zh-CN"/>
        </w:rPr>
      </w:pPr>
      <w:r>
        <w:rPr>
          <w:rFonts w:eastAsia="楷体" w:hint="eastAsia"/>
          <w:b w:val="0"/>
          <w:bCs w:val="0"/>
          <w:color w:val="auto"/>
          <w:sz w:val="24"/>
          <w:szCs w:val="24"/>
          <w:lang w:val="en-US" w:eastAsia="zh-CN"/>
        </w:rPr>
        <w:t xml:space="preserve">[3] </w:t>
      </w:r>
      <w:r>
        <w:rPr>
          <w:rFonts w:eastAsia="楷体" w:hint="eastAsia"/>
          <w:b/>
          <w:bCs/>
          <w:color w:val="auto"/>
          <w:sz w:val="24"/>
          <w:szCs w:val="24"/>
          <w:lang w:val="en-US" w:eastAsia="zh-CN"/>
        </w:rPr>
        <w:t>Qin Xin</w:t>
      </w:r>
      <w:r>
        <w:rPr>
          <w:rFonts w:eastAsia="楷体" w:hint="eastAsia"/>
          <w:b w:val="0"/>
          <w:bCs w:val="0"/>
          <w:color w:val="auto"/>
          <w:sz w:val="24"/>
          <w:szCs w:val="24"/>
          <w:lang w:val="en-US" w:eastAsia="zh-CN"/>
        </w:rPr>
        <w:t>, Qilong Niu, Miao Zhang, Zehan Li, Ruyu Gao. Effect of chlorine salt erosion on flexural performance of GFRP and steel bars hybrid reinforced beams [J]. Structures, 2024, 59, 105779.</w:t>
      </w:r>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eastAsia="楷体" w:hint="eastAsia"/>
          <w:color w:val="auto"/>
          <w:sz w:val="24"/>
          <w:szCs w:val="24"/>
        </w:rPr>
      </w:pPr>
      <w:r>
        <w:rPr>
          <w:rFonts w:eastAsia="楷体" w:hint="eastAsia"/>
          <w:b/>
          <w:bCs/>
          <w:color w:val="auto"/>
          <w:sz w:val="24"/>
          <w:szCs w:val="24"/>
        </w:rPr>
        <w:t>本项目中承担任务：</w:t>
      </w:r>
      <w:r>
        <w:rPr>
          <w:rFonts w:eastAsia="楷体" w:hint="eastAsia"/>
          <w:b w:val="0"/>
          <w:bCs w:val="0"/>
          <w:color w:val="auto"/>
          <w:sz w:val="24"/>
          <w:szCs w:val="24"/>
          <w:lang w:val="en-US" w:eastAsia="zh-CN"/>
        </w:rPr>
        <w:t>技术和试验指导。</w:t>
      </w:r>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eastAsia="楷体" w:hint="default"/>
          <w:b/>
          <w:bCs/>
          <w:color w:val="auto"/>
          <w:sz w:val="24"/>
          <w:szCs w:val="24"/>
          <w:lang w:val="en-US" w:eastAsia="zh-CN"/>
        </w:rPr>
      </w:pPr>
      <w:r>
        <w:rPr>
          <w:rFonts w:eastAsia="楷体" w:hint="eastAsia"/>
          <w:b/>
          <w:bCs/>
          <w:color w:val="auto"/>
          <w:sz w:val="24"/>
          <w:szCs w:val="24"/>
          <w:lang w:eastAsia="zh-CN"/>
        </w:rPr>
        <w:t>（</w:t>
      </w:r>
      <w:r>
        <w:rPr>
          <w:rFonts w:eastAsia="楷体" w:hint="eastAsia"/>
          <w:b/>
          <w:bCs/>
          <w:color w:val="auto"/>
          <w:sz w:val="24"/>
          <w:szCs w:val="24"/>
          <w:lang w:val="en-US" w:eastAsia="zh-CN"/>
        </w:rPr>
        <w:t>3）郑轩，项目参与人</w:t>
      </w:r>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eastAsia="楷体" w:hint="eastAsia"/>
          <w:color w:val="auto"/>
          <w:sz w:val="24"/>
          <w:szCs w:val="24"/>
        </w:rPr>
      </w:pPr>
      <w:r>
        <w:rPr>
          <w:rFonts w:eastAsia="楷体" w:hint="eastAsia"/>
          <w:b w:val="0"/>
          <w:bCs w:val="0"/>
          <w:color w:val="auto"/>
          <w:sz w:val="24"/>
          <w:szCs w:val="24"/>
          <w:lang w:val="en-US" w:eastAsia="zh-CN"/>
        </w:rPr>
        <w:t>河北大学建筑工程学院，工学博士，副教授，硕士生导师。</w:t>
      </w:r>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eastAsia="楷体" w:hint="eastAsia"/>
          <w:color w:val="auto"/>
          <w:sz w:val="24"/>
          <w:szCs w:val="24"/>
          <w:lang w:val="en-US" w:eastAsia="zh-CN"/>
        </w:rPr>
      </w:pPr>
      <w:r>
        <w:rPr>
          <w:rFonts w:eastAsia="楷体" w:hint="eastAsia"/>
          <w:color w:val="auto"/>
          <w:sz w:val="24"/>
          <w:szCs w:val="24"/>
          <w:lang w:val="en-US" w:eastAsia="zh-CN"/>
        </w:rPr>
        <w:t>主要代表性研究成果：</w:t>
      </w:r>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eastAsia="楷体" w:hint="default"/>
          <w:color w:val="auto"/>
          <w:sz w:val="24"/>
          <w:szCs w:val="24"/>
          <w:lang w:val="en-US" w:eastAsia="zh-CN"/>
        </w:rPr>
      </w:pPr>
      <w:r>
        <w:rPr>
          <w:rFonts w:eastAsia="楷体" w:hint="eastAsia"/>
          <w:color w:val="auto"/>
          <w:sz w:val="24"/>
          <w:szCs w:val="24"/>
          <w:lang w:val="en-US" w:eastAsia="zh-CN"/>
        </w:rPr>
        <w:t xml:space="preserve">[1] </w:t>
      </w:r>
      <w:r>
        <w:rPr>
          <w:rFonts w:eastAsia="楷体" w:hint="eastAsia"/>
          <w:b/>
          <w:bCs/>
          <w:color w:val="auto"/>
          <w:sz w:val="24"/>
          <w:szCs w:val="24"/>
          <w:lang w:val="en-US" w:eastAsia="zh-CN"/>
        </w:rPr>
        <w:t>Xuan</w:t>
      </w:r>
      <w:r>
        <w:rPr>
          <w:rFonts w:eastAsia="楷体" w:hint="eastAsia"/>
          <w:color w:val="auto"/>
          <w:sz w:val="24"/>
          <w:szCs w:val="24"/>
          <w:lang w:val="en-US" w:eastAsia="zh-CN"/>
        </w:rPr>
        <w:t xml:space="preserve"> </w:t>
      </w:r>
      <w:r>
        <w:rPr>
          <w:rFonts w:eastAsia="楷体" w:hint="eastAsia"/>
          <w:b/>
          <w:bCs/>
          <w:color w:val="auto"/>
          <w:sz w:val="24"/>
          <w:szCs w:val="24"/>
          <w:lang w:val="en-US" w:eastAsia="zh-CN"/>
        </w:rPr>
        <w:t>Zheng</w:t>
      </w:r>
      <w:r>
        <w:rPr>
          <w:rFonts w:eastAsia="楷体" w:hint="eastAsia"/>
          <w:color w:val="auto"/>
          <w:sz w:val="24"/>
          <w:szCs w:val="24"/>
          <w:lang w:val="en-US" w:eastAsia="zh-CN"/>
        </w:rPr>
        <w:t>, Fangzheng Wang, Zhongzhen Wu</w:t>
      </w:r>
      <w:r>
        <w:rPr>
          <w:rFonts w:eastAsia="楷体" w:hint="eastAsia"/>
          <w:b w:val="0"/>
          <w:bCs w:val="0"/>
          <w:color w:val="auto"/>
          <w:sz w:val="24"/>
          <w:szCs w:val="24"/>
          <w:lang w:val="en-US" w:eastAsia="zh-CN"/>
        </w:rPr>
        <w:t>, Kefan Liu. Interaction between zeolite and sulfate, and its influences on cement hydration [J]. Cement and Concrete Composites, 2024, 148, 105448.</w:t>
      </w:r>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eastAsia="楷体" w:hint="default"/>
          <w:color w:val="auto"/>
          <w:sz w:val="24"/>
          <w:szCs w:val="24"/>
          <w:lang w:val="en-US" w:eastAsia="zh-CN"/>
        </w:rPr>
      </w:pPr>
      <w:r>
        <w:rPr>
          <w:rFonts w:eastAsia="楷体" w:hint="eastAsia"/>
          <w:color w:val="auto"/>
          <w:sz w:val="24"/>
          <w:szCs w:val="24"/>
          <w:lang w:val="en-US" w:eastAsia="zh-CN"/>
        </w:rPr>
        <w:t xml:space="preserve">[2] </w:t>
      </w:r>
      <w:r>
        <w:rPr>
          <w:rFonts w:eastAsia="楷体" w:hint="eastAsia"/>
          <w:b/>
          <w:bCs/>
          <w:color w:val="auto"/>
          <w:sz w:val="24"/>
          <w:szCs w:val="24"/>
          <w:lang w:val="en-US" w:eastAsia="zh-CN"/>
        </w:rPr>
        <w:t>Xuan Zheng</w:t>
      </w:r>
      <w:r>
        <w:rPr>
          <w:rFonts w:eastAsia="楷体" w:hint="eastAsia"/>
          <w:b w:val="0"/>
          <w:bCs w:val="0"/>
          <w:color w:val="auto"/>
          <w:sz w:val="24"/>
          <w:szCs w:val="24"/>
          <w:lang w:val="en-US" w:eastAsia="zh-CN"/>
        </w:rPr>
        <w:t xml:space="preserve">, Chi Zhang, </w:t>
      </w:r>
      <w:r>
        <w:rPr>
          <w:rFonts w:eastAsia="楷体" w:hint="eastAsia"/>
          <w:b/>
          <w:bCs/>
          <w:color w:val="auto"/>
          <w:sz w:val="24"/>
          <w:szCs w:val="24"/>
          <w:lang w:val="en-US" w:eastAsia="zh-CN"/>
        </w:rPr>
        <w:t>Hongqiang Ma</w:t>
      </w:r>
      <w:r>
        <w:rPr>
          <w:rFonts w:eastAsia="楷体" w:hint="eastAsia"/>
          <w:b w:val="0"/>
          <w:bCs w:val="0"/>
          <w:color w:val="auto"/>
          <w:sz w:val="24"/>
          <w:szCs w:val="24"/>
          <w:lang w:val="en-US" w:eastAsia="zh-CN"/>
        </w:rPr>
        <w:t>, Hongxin Yang, Yanping Zhao, Baorong Liu. Effect of albite on shrinkage and carbonation resistance of alkali-activated slag [J]. Construction and Building Materials. 2023, 409, 134141.</w:t>
      </w:r>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eastAsia="楷体" w:hint="eastAsia"/>
          <w:b w:val="0"/>
          <w:bCs w:val="0"/>
          <w:color w:val="auto"/>
          <w:sz w:val="24"/>
          <w:szCs w:val="24"/>
          <w:lang w:val="en-US" w:eastAsia="zh-CN"/>
        </w:rPr>
      </w:pPr>
      <w:r>
        <w:rPr>
          <w:rFonts w:eastAsia="楷体" w:hint="eastAsia"/>
          <w:color w:val="auto"/>
          <w:sz w:val="24"/>
          <w:szCs w:val="24"/>
          <w:lang w:val="en-US" w:eastAsia="zh-CN"/>
        </w:rPr>
        <w:t xml:space="preserve">[3] </w:t>
      </w:r>
      <w:r>
        <w:rPr>
          <w:rFonts w:eastAsia="楷体" w:hint="eastAsia"/>
          <w:b/>
          <w:bCs/>
          <w:color w:val="auto"/>
          <w:sz w:val="24"/>
          <w:szCs w:val="24"/>
          <w:lang w:val="en-US" w:eastAsia="zh-CN"/>
        </w:rPr>
        <w:t>Xuan Zheng</w:t>
      </w:r>
      <w:r>
        <w:rPr>
          <w:rFonts w:eastAsia="楷体" w:hint="eastAsia"/>
          <w:color w:val="auto"/>
          <w:sz w:val="24"/>
          <w:szCs w:val="24"/>
          <w:lang w:val="en-US" w:eastAsia="zh-CN"/>
        </w:rPr>
        <w:t xml:space="preserve">, </w:t>
      </w:r>
      <w:r>
        <w:rPr>
          <w:rFonts w:eastAsia="楷体" w:hint="eastAsia"/>
          <w:b w:val="0"/>
          <w:bCs w:val="0"/>
          <w:color w:val="auto"/>
          <w:sz w:val="24"/>
          <w:szCs w:val="24"/>
          <w:lang w:val="en-US" w:eastAsia="zh-CN"/>
        </w:rPr>
        <w:t>Kefan Liu, Shengzhe Gao, Fangzheng Wang, Zhongzhen Wu. Effect of pozzolanic reaction of zeolite on its internal curing performance in cement-based materials [J]. Journal of Building Engineering, 2023, 63, 105503.</w:t>
      </w:r>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eastAsia="楷体" w:hint="default"/>
          <w:b w:val="0"/>
          <w:bCs w:val="0"/>
          <w:color w:val="auto"/>
          <w:sz w:val="24"/>
          <w:szCs w:val="24"/>
          <w:lang w:val="en-US" w:eastAsia="zh-CN"/>
        </w:rPr>
      </w:pPr>
      <w:r>
        <w:rPr>
          <w:rFonts w:eastAsia="楷体" w:hint="eastAsia"/>
          <w:b/>
          <w:bCs/>
          <w:color w:val="auto"/>
          <w:sz w:val="24"/>
          <w:szCs w:val="24"/>
        </w:rPr>
        <w:t>本项目中承担任务：</w:t>
      </w:r>
      <w:bookmarkStart w:id="121" w:name="OLE_LINK36"/>
      <w:r>
        <w:rPr>
          <w:rFonts w:eastAsia="楷体" w:hint="eastAsia"/>
          <w:b w:val="0"/>
          <w:bCs w:val="0"/>
          <w:color w:val="auto"/>
          <w:sz w:val="24"/>
          <w:szCs w:val="24"/>
          <w:lang w:val="en-US" w:eastAsia="zh-CN"/>
        </w:rPr>
        <w:t>技术和试验指导</w:t>
      </w:r>
      <w:bookmarkEnd w:id="121"/>
      <w:r>
        <w:rPr>
          <w:rFonts w:eastAsia="楷体" w:hint="eastAsia"/>
          <w:b w:val="0"/>
          <w:bCs w:val="0"/>
          <w:color w:val="auto"/>
          <w:sz w:val="24"/>
          <w:szCs w:val="24"/>
          <w:lang w:val="en-US" w:eastAsia="zh-CN"/>
        </w:rPr>
        <w:t>。</w:t>
      </w:r>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eastAsia="楷体" w:hint="default"/>
          <w:b/>
          <w:bCs/>
          <w:color w:val="auto"/>
          <w:sz w:val="24"/>
          <w:szCs w:val="24"/>
          <w:lang w:val="en-US" w:eastAsia="zh-CN"/>
        </w:rPr>
      </w:pPr>
      <w:r>
        <w:rPr>
          <w:rFonts w:eastAsia="楷体" w:hint="eastAsia"/>
          <w:b/>
          <w:bCs/>
          <w:color w:val="auto"/>
          <w:sz w:val="24"/>
          <w:szCs w:val="24"/>
          <w:lang w:val="en-US" w:eastAsia="zh-CN"/>
        </w:rPr>
        <w:t>（4）牛晓燕，项目参与人</w:t>
      </w:r>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eastAsia="楷体" w:hint="eastAsia"/>
          <w:color w:val="auto"/>
          <w:sz w:val="24"/>
          <w:szCs w:val="24"/>
        </w:rPr>
      </w:pPr>
      <w:r>
        <w:rPr>
          <w:rFonts w:eastAsia="楷体" w:hint="eastAsia"/>
          <w:b w:val="0"/>
          <w:bCs w:val="0"/>
          <w:color w:val="auto"/>
          <w:sz w:val="24"/>
          <w:szCs w:val="24"/>
          <w:lang w:val="en-US" w:eastAsia="zh-CN"/>
        </w:rPr>
        <w:t>河北大学建筑工程学院，工学博士，副院长，教授，博士生导师。</w:t>
      </w:r>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eastAsia="楷体" w:hint="default"/>
          <w:color w:val="auto"/>
          <w:sz w:val="24"/>
          <w:szCs w:val="24"/>
          <w:lang w:val="en-US" w:eastAsia="zh-CN"/>
        </w:rPr>
      </w:pPr>
      <w:r>
        <w:rPr>
          <w:rFonts w:eastAsia="楷体" w:hint="eastAsia"/>
          <w:color w:val="auto"/>
          <w:sz w:val="24"/>
          <w:szCs w:val="24"/>
          <w:lang w:val="en-US" w:eastAsia="zh-CN"/>
        </w:rPr>
        <w:t>主要代表性研究成果：</w:t>
      </w:r>
    </w:p>
    <w:p>
      <w:pPr>
        <w:keepNext w:val="0"/>
        <w:keepLines w:val="0"/>
        <w:pageBreakBefore w:val="0"/>
        <w:widowControl w:val="0"/>
        <w:numPr>
          <w:ilvl w:val="0"/>
          <w:numId w:val="0"/>
        </w:numPr>
        <w:kinsoku/>
        <w:overflowPunct/>
        <w:topLinePunct w:val="0"/>
        <w:autoSpaceDE/>
        <w:autoSpaceDN/>
        <w:bidi w:val="0"/>
        <w:adjustRightInd/>
        <w:snapToGrid/>
        <w:spacing w:line="440" w:lineRule="exact"/>
        <w:ind w:firstLine="480" w:firstLineChars="200"/>
        <w:textAlignment w:val="auto"/>
        <w:rPr>
          <w:rFonts w:eastAsia="楷体" w:hint="eastAsia"/>
          <w:b w:val="0"/>
          <w:bCs w:val="0"/>
          <w:color w:val="auto"/>
          <w:sz w:val="24"/>
          <w:szCs w:val="24"/>
          <w:lang w:val="en-US" w:eastAsia="zh-CN"/>
        </w:rPr>
      </w:pPr>
      <w:r>
        <w:rPr>
          <w:rFonts w:eastAsia="楷体" w:hint="eastAsia"/>
          <w:b w:val="0"/>
          <w:bCs w:val="0"/>
          <w:color w:val="auto"/>
          <w:sz w:val="24"/>
          <w:szCs w:val="24"/>
          <w:lang w:val="en-US" w:eastAsia="zh-CN"/>
        </w:rPr>
        <w:t xml:space="preserve">[1] </w:t>
      </w:r>
      <w:r>
        <w:rPr>
          <w:rFonts w:eastAsia="楷体" w:hint="eastAsia"/>
          <w:b/>
          <w:bCs/>
          <w:color w:val="auto"/>
          <w:sz w:val="24"/>
          <w:szCs w:val="24"/>
          <w:lang w:val="en-US" w:eastAsia="zh-CN"/>
        </w:rPr>
        <w:t>Hongqiang Ma</w:t>
      </w:r>
      <w:r>
        <w:rPr>
          <w:rFonts w:eastAsia="楷体" w:hint="eastAsia"/>
          <w:b w:val="0"/>
          <w:bCs w:val="0"/>
          <w:color w:val="auto"/>
          <w:sz w:val="24"/>
          <w:szCs w:val="24"/>
          <w:lang w:val="en-US" w:eastAsia="zh-CN"/>
        </w:rPr>
        <w:t xml:space="preserve">, Xiaomeng Li, Xuan Zheng, </w:t>
      </w:r>
      <w:r>
        <w:rPr>
          <w:rFonts w:eastAsia="楷体" w:hint="eastAsia"/>
          <w:b/>
          <w:bCs/>
          <w:color w:val="auto"/>
          <w:sz w:val="24"/>
          <w:szCs w:val="24"/>
          <w:lang w:val="en-US" w:eastAsia="zh-CN"/>
        </w:rPr>
        <w:t>Xiaoyan Niu*</w:t>
      </w:r>
      <w:r>
        <w:rPr>
          <w:rFonts w:eastAsia="楷体" w:hint="eastAsia"/>
          <w:b w:val="0"/>
          <w:bCs w:val="0"/>
          <w:color w:val="auto"/>
          <w:sz w:val="24"/>
          <w:szCs w:val="24"/>
          <w:lang w:val="en-US" w:eastAsia="zh-CN"/>
        </w:rPr>
        <w:t>, Youliang Fang. Effect of active MgO on the hydration kinetics characteristics and microstructures of alkali-activated fly ash-slag materials [J]. Construction and Building Materials, 2022, 361, 129677.</w:t>
      </w:r>
    </w:p>
    <w:p>
      <w:pPr>
        <w:keepNext w:val="0"/>
        <w:keepLines w:val="0"/>
        <w:pageBreakBefore w:val="0"/>
        <w:widowControl w:val="0"/>
        <w:numPr>
          <w:ilvl w:val="0"/>
          <w:numId w:val="0"/>
        </w:numPr>
        <w:kinsoku/>
        <w:overflowPunct/>
        <w:topLinePunct w:val="0"/>
        <w:autoSpaceDE/>
        <w:autoSpaceDN/>
        <w:bidi w:val="0"/>
        <w:adjustRightInd/>
        <w:snapToGrid/>
        <w:spacing w:line="440" w:lineRule="exact"/>
        <w:ind w:firstLine="480" w:firstLineChars="200"/>
        <w:textAlignment w:val="auto"/>
        <w:rPr>
          <w:rFonts w:ascii="Times New Roman" w:eastAsia="楷体" w:hAnsi="Times New Roman" w:cs="Times New Roman" w:hint="default"/>
          <w:b w:val="0"/>
          <w:bCs w:val="0"/>
          <w:color w:val="auto"/>
          <w:kern w:val="2"/>
          <w:sz w:val="24"/>
          <w:szCs w:val="24"/>
          <w:lang w:val="en-US" w:eastAsia="zh-CN" w:bidi="ar-SA"/>
        </w:rPr>
      </w:pPr>
      <w:r>
        <w:rPr>
          <w:rFonts w:ascii="Times New Roman" w:eastAsia="楷体" w:hAnsi="Times New Roman" w:cs="Times New Roman" w:hint="eastAsia"/>
          <w:b w:val="0"/>
          <w:bCs w:val="0"/>
          <w:color w:val="auto"/>
          <w:kern w:val="2"/>
          <w:sz w:val="24"/>
          <w:szCs w:val="24"/>
          <w:lang w:val="en-US" w:eastAsia="zh-CN" w:bidi="ar-SA"/>
        </w:rPr>
        <w:t xml:space="preserve">[2] </w:t>
      </w:r>
      <w:r>
        <w:rPr>
          <w:rFonts w:ascii="Times New Roman" w:eastAsia="楷体" w:hAnsi="Times New Roman" w:cs="Times New Roman" w:hint="eastAsia"/>
          <w:b/>
          <w:bCs/>
          <w:color w:val="auto"/>
          <w:kern w:val="2"/>
          <w:sz w:val="24"/>
          <w:szCs w:val="24"/>
          <w:lang w:val="en-US" w:eastAsia="zh-CN" w:bidi="ar-SA"/>
        </w:rPr>
        <w:t>Xiaoyan Niu</w:t>
      </w:r>
      <w:r>
        <w:rPr>
          <w:rFonts w:ascii="Times New Roman" w:eastAsia="楷体" w:hAnsi="Times New Roman" w:cs="Times New Roman" w:hint="eastAsia"/>
          <w:b w:val="0"/>
          <w:bCs w:val="0"/>
          <w:color w:val="auto"/>
          <w:kern w:val="2"/>
          <w:sz w:val="24"/>
          <w:szCs w:val="24"/>
          <w:lang w:val="en-US" w:eastAsia="zh-CN" w:bidi="ar-SA"/>
        </w:rPr>
        <w:t xml:space="preserve">, Guoqiang Dong, Shaoteng Wei, Yujiang Wang, Bo Wang, Haoliang Tian. </w:t>
      </w:r>
      <w:r>
        <w:rPr>
          <w:rFonts w:ascii="Times New Roman" w:eastAsia="楷体" w:hAnsi="Times New Roman" w:cs="Times New Roman" w:hint="default"/>
          <w:b w:val="0"/>
          <w:bCs w:val="0"/>
          <w:color w:val="auto"/>
          <w:kern w:val="2"/>
          <w:sz w:val="24"/>
          <w:szCs w:val="24"/>
          <w:lang w:val="en-US" w:eastAsia="zh-CN" w:bidi="ar-SA"/>
        </w:rPr>
        <w:t>Effects of nitrogen flow rate on the microstructure and mechanical and tribological properties of TiAlN films prepared via reactive magnetron sputtering</w:t>
      </w:r>
      <w:r>
        <w:rPr>
          <w:rFonts w:eastAsia="楷体" w:cs="Times New Roman" w:hint="eastAsia"/>
          <w:b w:val="0"/>
          <w:bCs w:val="0"/>
          <w:color w:val="auto"/>
          <w:kern w:val="2"/>
          <w:sz w:val="24"/>
          <w:szCs w:val="24"/>
          <w:lang w:val="en-US" w:eastAsia="zh-CN" w:bidi="ar-SA"/>
        </w:rPr>
        <w:t xml:space="preserve"> [J]. Ceramics International, 2023, 49(12), 19885-19894.</w:t>
      </w:r>
    </w:p>
    <w:p>
      <w:pPr>
        <w:keepNext w:val="0"/>
        <w:keepLines w:val="0"/>
        <w:pageBreakBefore w:val="0"/>
        <w:widowControl w:val="0"/>
        <w:numPr>
          <w:ilvl w:val="0"/>
          <w:numId w:val="0"/>
        </w:numPr>
        <w:kinsoku/>
        <w:overflowPunct/>
        <w:topLinePunct w:val="0"/>
        <w:autoSpaceDE/>
        <w:autoSpaceDN/>
        <w:bidi w:val="0"/>
        <w:adjustRightInd/>
        <w:snapToGrid/>
        <w:spacing w:line="440" w:lineRule="exact"/>
        <w:ind w:firstLine="480" w:firstLineChars="200"/>
        <w:textAlignment w:val="auto"/>
        <w:rPr>
          <w:rFonts w:eastAsia="楷体" w:hint="eastAsia"/>
          <w:b w:val="0"/>
          <w:bCs w:val="0"/>
          <w:color w:val="auto"/>
          <w:sz w:val="24"/>
          <w:szCs w:val="24"/>
          <w:lang w:val="en-US" w:eastAsia="zh-CN"/>
        </w:rPr>
      </w:pPr>
      <w:r>
        <w:rPr>
          <w:rFonts w:eastAsia="楷体" w:hint="eastAsia"/>
          <w:color w:val="auto"/>
          <w:sz w:val="24"/>
          <w:szCs w:val="24"/>
          <w:lang w:val="en-US" w:eastAsia="zh-CN"/>
        </w:rPr>
        <w:t xml:space="preserve">[3] </w:t>
      </w:r>
      <w:r>
        <w:rPr>
          <w:rFonts w:eastAsia="楷体" w:hint="eastAsia"/>
          <w:b/>
          <w:bCs/>
          <w:color w:val="auto"/>
          <w:sz w:val="24"/>
          <w:szCs w:val="24"/>
          <w:lang w:val="en-US" w:eastAsia="zh-CN"/>
        </w:rPr>
        <w:t>Hongqiang Ma</w:t>
      </w:r>
      <w:r>
        <w:rPr>
          <w:rFonts w:eastAsia="楷体" w:hint="eastAsia"/>
          <w:b w:val="0"/>
          <w:bCs w:val="0"/>
          <w:color w:val="auto"/>
          <w:sz w:val="24"/>
          <w:szCs w:val="24"/>
          <w:lang w:val="en-US" w:eastAsia="zh-CN"/>
        </w:rPr>
        <w:t xml:space="preserve">, Hao Fu, Chenyu Cao, Zishi Xu, </w:t>
      </w:r>
      <w:r>
        <w:rPr>
          <w:rFonts w:eastAsia="楷体" w:hint="eastAsia"/>
          <w:b/>
          <w:bCs/>
          <w:color w:val="auto"/>
          <w:sz w:val="24"/>
          <w:szCs w:val="24"/>
          <w:lang w:val="en-US" w:eastAsia="zh-CN"/>
        </w:rPr>
        <w:t>Xiaoyan Niu*</w:t>
      </w:r>
      <w:r>
        <w:rPr>
          <w:rFonts w:eastAsia="楷体" w:hint="eastAsia"/>
          <w:b w:val="0"/>
          <w:bCs w:val="0"/>
          <w:color w:val="auto"/>
          <w:sz w:val="24"/>
          <w:szCs w:val="24"/>
          <w:lang w:val="en-US" w:eastAsia="zh-CN"/>
        </w:rPr>
        <w:t>. Effe</w:t>
      </w:r>
      <w:r>
        <w:rPr>
          <w:rFonts w:ascii="Times New Roman" w:eastAsia="楷体" w:hAnsi="Times New Roman" w:cs="Times New Roman" w:hint="default"/>
          <w:b w:val="0"/>
          <w:bCs w:val="0"/>
          <w:color w:val="auto"/>
          <w:sz w:val="24"/>
          <w:szCs w:val="24"/>
          <w:lang w:val="en-US" w:eastAsia="zh-CN"/>
        </w:rPr>
        <w:t xml:space="preserve">ct of 60℃ </w:t>
      </w:r>
      <w:r>
        <w:rPr>
          <w:rFonts w:eastAsia="楷体" w:hint="eastAsia"/>
          <w:b w:val="0"/>
          <w:bCs w:val="0"/>
          <w:color w:val="auto"/>
          <w:sz w:val="24"/>
          <w:szCs w:val="24"/>
          <w:lang w:val="en-US" w:eastAsia="zh-CN"/>
        </w:rPr>
        <w:t>sustained temperature conditions on the mechanical properties and microstructure of alkali-activated fly ash-slag pastes and mortars [J]. Journal of Building Engineering, 2024, 95, 110346.</w:t>
      </w:r>
    </w:p>
    <w:p>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eastAsia="楷体" w:hint="eastAsia"/>
          <w:b w:val="0"/>
          <w:bCs w:val="0"/>
          <w:color w:val="auto"/>
          <w:sz w:val="24"/>
          <w:szCs w:val="24"/>
          <w:lang w:val="en-US" w:eastAsia="zh-CN"/>
        </w:rPr>
      </w:pPr>
      <w:r>
        <w:rPr>
          <w:rFonts w:eastAsia="楷体" w:hint="eastAsia"/>
          <w:b/>
          <w:bCs/>
          <w:color w:val="auto"/>
          <w:sz w:val="24"/>
          <w:szCs w:val="24"/>
        </w:rPr>
        <w:t>本项目中承担任务：</w:t>
      </w:r>
      <w:r>
        <w:rPr>
          <w:rFonts w:eastAsia="楷体" w:hint="eastAsia"/>
          <w:b w:val="0"/>
          <w:bCs w:val="0"/>
          <w:color w:val="auto"/>
          <w:sz w:val="24"/>
          <w:szCs w:val="24"/>
          <w:lang w:val="en-US" w:eastAsia="zh-CN"/>
        </w:rPr>
        <w:t>技术和理论指导。</w:t>
      </w:r>
    </w:p>
    <w:p>
      <w:pPr>
        <w:keepNext w:val="0"/>
        <w:keepLines w:val="0"/>
        <w:pageBreakBefore w:val="0"/>
        <w:widowControl w:val="0"/>
        <w:numPr>
          <w:ilvl w:val="0"/>
          <w:numId w:val="0"/>
        </w:numPr>
        <w:kinsoku/>
        <w:overflowPunct/>
        <w:topLinePunct w:val="0"/>
        <w:autoSpaceDE/>
        <w:autoSpaceDN/>
        <w:bidi w:val="0"/>
        <w:adjustRightInd/>
        <w:snapToGrid/>
        <w:spacing w:line="440" w:lineRule="exact"/>
        <w:ind w:firstLine="480" w:firstLineChars="200"/>
        <w:textAlignment w:val="auto"/>
        <w:rPr>
          <w:rFonts w:eastAsia="楷体" w:hint="eastAsia"/>
          <w:b/>
          <w:bCs/>
          <w:color w:val="auto"/>
          <w:sz w:val="24"/>
          <w:szCs w:val="24"/>
          <w:lang w:val="en-US" w:eastAsia="zh-CN"/>
        </w:rPr>
      </w:pPr>
      <w:r>
        <w:rPr>
          <w:rFonts w:eastAsia="楷体" w:hint="eastAsia"/>
          <w:b/>
          <w:bCs/>
          <w:color w:val="auto"/>
          <w:sz w:val="24"/>
          <w:szCs w:val="24"/>
          <w:lang w:val="en-US" w:eastAsia="zh-CN"/>
        </w:rPr>
        <w:t>（5）其他项目参与成员：雷泽龙、吴嘉龙、袁鑫华</w:t>
      </w:r>
    </w:p>
    <w:p>
      <w:pPr>
        <w:keepNext w:val="0"/>
        <w:keepLines w:val="0"/>
        <w:pageBreakBefore w:val="0"/>
        <w:widowControl w:val="0"/>
        <w:kinsoku/>
        <w:wordWrap w:val="0"/>
        <w:overflowPunct/>
        <w:topLinePunct w:val="0"/>
        <w:autoSpaceDE/>
        <w:autoSpaceDN/>
        <w:bidi w:val="0"/>
        <w:adjustRightInd/>
        <w:snapToGrid/>
        <w:spacing w:line="440" w:lineRule="exact"/>
        <w:ind w:firstLine="480" w:firstLineChars="200"/>
        <w:textAlignment w:val="auto"/>
        <w:rPr>
          <w:rFonts w:ascii="楷体" w:eastAsia="楷体" w:hAnsi="楷体" w:cs="楷体"/>
        </w:rPr>
      </w:pPr>
      <w:bookmarkStart w:id="122" w:name="OLE_LINK37"/>
      <w:r>
        <w:rPr>
          <w:rFonts w:eastAsia="楷体" w:hint="eastAsia"/>
          <w:b w:val="0"/>
          <w:bCs w:val="0"/>
          <w:color w:val="auto"/>
          <w:sz w:val="24"/>
          <w:szCs w:val="24"/>
          <w:lang w:val="en-US" w:eastAsia="zh-CN"/>
        </w:rPr>
        <w:t>河北大学建筑工程学院研究生，主要负责项目试验操作和数据处理工作</w:t>
      </w:r>
      <w:r>
        <w:rPr>
          <w:rFonts w:eastAsia="楷体" w:hint="eastAsia"/>
          <w:b w:val="0"/>
          <w:bCs w:val="0"/>
          <w:sz w:val="24"/>
          <w:szCs w:val="24"/>
          <w:lang w:val="en-US" w:eastAsia="zh-CN"/>
        </w:rPr>
        <w:t>。</w:t>
      </w:r>
      <w:bookmarkEnd w:id="122"/>
    </w:p>
    <w:p>
      <w:pPr>
        <w:wordWrap w:val="0"/>
        <w:spacing w:line="440" w:lineRule="exact"/>
        <w:ind w:firstLine="560" w:firstLineChars="200"/>
        <w:rPr>
          <w:rFonts w:ascii="楷体" w:eastAsia="楷体" w:hAnsi="楷体" w:cs="楷体"/>
          <w:b/>
        </w:rPr>
      </w:pPr>
      <w:r>
        <w:rPr>
          <w:rFonts w:ascii="楷体" w:eastAsia="楷体" w:hAnsi="楷体" w:cs="楷体" w:hint="eastAsia"/>
          <w:b/>
        </w:rPr>
        <w:t>五、承担项目情况</w:t>
      </w:r>
    </w:p>
    <w:p>
      <w:pPr>
        <w:wordWrap w:val="0"/>
        <w:snapToGrid w:val="0"/>
        <w:spacing w:line="300" w:lineRule="auto"/>
        <w:ind w:firstLine="560" w:firstLineChars="200"/>
        <w:rPr>
          <w:rFonts w:ascii="楷体" w:eastAsia="楷体" w:hAnsi="楷体" w:cs="楷体"/>
        </w:rPr>
      </w:pPr>
      <w:r>
        <w:rPr>
          <w:rFonts w:ascii="楷体" w:eastAsia="楷体" w:hAnsi="楷体" w:cs="楷体" w:hint="eastAsia"/>
        </w:rPr>
        <w:t>1.正在承担科研项目情况（申请人和项目组主要参与者正在承担的国家和省科研项目情况，包括自然科学基金的项目，要注明项目的名称和编号、经费来源、起止年月、与本项目的关系及负责的内容等）</w:t>
      </w:r>
    </w:p>
    <w:p>
      <w:pPr>
        <w:wordWrap w:val="0"/>
        <w:snapToGrid w:val="0"/>
        <w:spacing w:line="300" w:lineRule="auto"/>
        <w:ind w:firstLine="560" w:firstLineChars="200"/>
        <w:rPr>
          <w:rFonts w:ascii="楷体" w:eastAsia="楷体" w:hAnsi="楷体" w:cs="楷体" w:hint="eastAsia"/>
          <w:lang w:val="en-US" w:eastAsia="zh-CN"/>
        </w:rPr>
      </w:pPr>
      <w:r>
        <w:rPr>
          <w:rFonts w:ascii="楷体" w:eastAsia="楷体" w:hAnsi="楷体" w:cs="楷体" w:hint="eastAsia"/>
          <w:lang w:val="en-US" w:eastAsia="zh-CN"/>
        </w:rPr>
        <w:t>无。</w:t>
      </w:r>
    </w:p>
    <w:p>
      <w:pPr>
        <w:wordWrap w:val="0"/>
        <w:snapToGrid w:val="0"/>
        <w:spacing w:line="300" w:lineRule="auto"/>
        <w:ind w:firstLine="560" w:firstLineChars="200"/>
        <w:rPr>
          <w:rFonts w:ascii="楷体" w:eastAsia="楷体" w:hAnsi="楷体" w:cs="楷体" w:hint="eastAsia"/>
        </w:rPr>
      </w:pPr>
      <w:r>
        <w:rPr>
          <w:rFonts w:ascii="楷体" w:eastAsia="楷体" w:hAnsi="楷体" w:cs="楷体" w:hint="eastAsia"/>
        </w:rPr>
        <w:t>2.完成省自然科学基金项目情况（对申请人负责的前一个已结题自然科学基金项目（项目名称及批准号）完成情况、后续研究进展及与本申请项目的关系加以详细说明）</w:t>
      </w:r>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ascii="Times New Roman" w:eastAsia="楷体" w:hAnsi="Times New Roman" w:cs="Times New Roman" w:hint="default"/>
          <w:color w:val="auto"/>
          <w:sz w:val="24"/>
          <w:szCs w:val="24"/>
          <w:lang w:val="en-US" w:eastAsia="zh-CN"/>
        </w:rPr>
      </w:pPr>
      <w:bookmarkStart w:id="123" w:name="OLE_LINK52"/>
      <w:r>
        <w:rPr>
          <w:rFonts w:ascii="楷体" w:eastAsia="楷体" w:hAnsi="楷体" w:cs="楷体" w:hint="eastAsia"/>
          <w:color w:val="auto"/>
          <w:sz w:val="24"/>
          <w:szCs w:val="24"/>
          <w:lang w:val="en-US" w:eastAsia="zh-CN"/>
        </w:rPr>
        <w:t>申请人主持的河北省自然科学</w:t>
      </w:r>
      <w:r>
        <w:rPr>
          <w:rFonts w:ascii="Times New Roman" w:eastAsia="楷体" w:hAnsi="Times New Roman" w:cs="Times New Roman" w:hint="default"/>
          <w:color w:val="auto"/>
          <w:sz w:val="24"/>
          <w:szCs w:val="24"/>
          <w:lang w:val="en-US" w:eastAsia="zh-CN"/>
        </w:rPr>
        <w:t>基金项目（青年基金项目）：活性MgO对碱激发粉煤灰-矿渣材料补偿干燥收缩机理和安全调控研究，项目编号2022201011，经费6.0万元，项目起止日期为2022.01-2024.12，完成了预期任务。项目主要系统研究不同影响因素下，活性MgO对碱激发粉煤灰-矿渣补偿干燥收缩的长期演化规律和差异性，揭示MgO对碱激发粉煤灰-矿渣材料补偿干燥收缩的机理。</w:t>
      </w:r>
    </w:p>
    <w:p>
      <w:pPr>
        <w:keepNext w:val="0"/>
        <w:keepLines w:val="0"/>
        <w:pageBreakBefore w:val="0"/>
        <w:widowControl w:val="0"/>
        <w:kinsoku/>
        <w:wordWrap/>
        <w:overflowPunct/>
        <w:topLinePunct w:val="0"/>
        <w:autoSpaceDE/>
        <w:autoSpaceDN/>
        <w:bidi w:val="0"/>
        <w:adjustRightInd/>
        <w:spacing w:line="360" w:lineRule="auto"/>
        <w:ind w:firstLine="480" w:firstLineChars="200"/>
        <w:textAlignment w:val="auto"/>
        <w:rPr>
          <w:rFonts w:ascii="Times New Roman" w:eastAsia="宋体" w:hAnsi="Times New Roman" w:cs="Times New Roman" w:hint="default"/>
          <w:color w:val="auto"/>
          <w:sz w:val="24"/>
          <w:szCs w:val="24"/>
          <w:lang w:val="en-US" w:eastAsia="zh-CN"/>
        </w:rPr>
      </w:pPr>
      <w:r>
        <w:rPr>
          <w:rFonts w:ascii="Times New Roman" w:eastAsia="楷体" w:hAnsi="Times New Roman" w:cs="Times New Roman" w:hint="default"/>
          <w:b/>
          <w:bCs/>
          <w:color w:val="auto"/>
          <w:sz w:val="24"/>
          <w:szCs w:val="24"/>
          <w:lang w:val="en-US" w:eastAsia="zh-CN"/>
        </w:rPr>
        <w:t>研究工作摘要</w:t>
      </w:r>
      <w:r>
        <w:rPr>
          <w:rFonts w:ascii="Times New Roman" w:eastAsia="楷体" w:hAnsi="Times New Roman" w:cs="Times New Roman" w:hint="default"/>
          <w:color w:val="auto"/>
          <w:sz w:val="24"/>
          <w:szCs w:val="24"/>
          <w:lang w:val="en-US" w:eastAsia="zh-CN"/>
        </w:rPr>
        <w:t>：经过三年的研究工作，掌握了活性MgO类型和掺量、Na</w:t>
      </w:r>
      <w:r>
        <w:rPr>
          <w:rFonts w:ascii="Times New Roman" w:eastAsia="楷体" w:hAnsi="Times New Roman" w:cs="Times New Roman" w:hint="default"/>
          <w:color w:val="auto"/>
          <w:sz w:val="24"/>
          <w:szCs w:val="24"/>
          <w:vertAlign w:val="subscript"/>
          <w:lang w:val="en-US" w:eastAsia="zh-CN"/>
        </w:rPr>
        <w:t>2</w:t>
      </w:r>
      <w:r>
        <w:rPr>
          <w:rFonts w:ascii="Times New Roman" w:eastAsia="楷体" w:hAnsi="Times New Roman" w:cs="Times New Roman" w:hint="default"/>
          <w:color w:val="auto"/>
          <w:sz w:val="24"/>
          <w:szCs w:val="24"/>
          <w:lang w:val="en-US" w:eastAsia="zh-CN"/>
        </w:rPr>
        <w:t>O浓度和碱激发剂模数等对碱激发粉煤灰-矿渣材料的水化动力学、抗压强度、水化产物、孔隙结构和微观</w:t>
      </w:r>
      <w:r>
        <w:rPr>
          <w:rFonts w:eastAsia="楷体" w:cs="Times New Roman" w:hint="eastAsia"/>
          <w:color w:val="auto"/>
          <w:sz w:val="24"/>
          <w:szCs w:val="24"/>
          <w:lang w:val="en-US" w:eastAsia="zh-CN"/>
        </w:rPr>
        <w:t>性能</w:t>
      </w:r>
      <w:r>
        <w:rPr>
          <w:rFonts w:ascii="Times New Roman" w:eastAsia="楷体" w:hAnsi="Times New Roman" w:cs="Times New Roman" w:hint="default"/>
          <w:color w:val="auto"/>
          <w:sz w:val="24"/>
          <w:szCs w:val="24"/>
          <w:lang w:val="en-US" w:eastAsia="zh-CN"/>
        </w:rPr>
        <w:t>的影响。提出了评价AAFS水化动力学的方法，当水化程度α值较小时，可以以dα/dt峰值时对应的α值为评价AAFS水化动力学的依据；当水化程度α值较大时，反应过程可以用</w:t>
      </w:r>
      <w:r>
        <w:rPr>
          <w:rFonts w:ascii="Times New Roman" w:eastAsia="楷体" w:hAnsi="Times New Roman" w:cs="Times New Roman" w:hint="default"/>
          <w:color w:val="auto"/>
          <w:sz w:val="24"/>
          <w:szCs w:val="24"/>
        </w:rPr>
        <w:t>Krstulovic-Dabic模型</w:t>
      </w:r>
      <w:r>
        <w:rPr>
          <w:rFonts w:ascii="Times New Roman" w:eastAsia="楷体" w:hAnsi="Times New Roman" w:cs="Times New Roman" w:hint="default"/>
          <w:color w:val="auto"/>
          <w:sz w:val="24"/>
          <w:szCs w:val="24"/>
          <w:lang w:val="en-US" w:eastAsia="zh-CN"/>
        </w:rPr>
        <w:t>解释。</w:t>
      </w:r>
      <w:r>
        <w:rPr>
          <w:rFonts w:ascii="Times New Roman" w:eastAsia="楷体" w:hAnsi="Times New Roman" w:cs="Times New Roman" w:hint="default"/>
          <w:color w:val="auto"/>
          <w:sz w:val="24"/>
          <w:szCs w:val="24"/>
        </w:rPr>
        <w:t>活性MgO有效补偿了碱激发粉煤灰-矿渣的干燥收缩。MgO活性越高，其干燥收缩越小。</w:t>
      </w:r>
      <w:r>
        <w:rPr>
          <w:rFonts w:ascii="Times New Roman" w:eastAsia="楷体" w:hAnsi="Times New Roman" w:cs="Times New Roman" w:hint="default"/>
          <w:color w:val="auto"/>
          <w:sz w:val="24"/>
          <w:szCs w:val="24"/>
          <w:lang w:val="en-US" w:eastAsia="zh-CN"/>
        </w:rPr>
        <w:t>通过XRD、MIP和SEM等测试结果分析，掺入少量活性MgO会引起水化产物、孔隙结构和微观形貌均发生显著变化。活性MgO细化和粗化了AAFS的孔隙结构，微孔、大孔和有害孔体积均增加，孔隙率增加。</w:t>
      </w:r>
      <w:r>
        <w:rPr>
          <w:rFonts w:ascii="Times New Roman" w:eastAsia="楷体" w:hAnsi="Times New Roman" w:cs="Times New Roman" w:hint="default"/>
          <w:color w:val="auto"/>
          <w:sz w:val="24"/>
          <w:szCs w:val="24"/>
        </w:rPr>
        <w:t>对多因素影响下的安定性进行了评估，可用于指导MgO膨胀剂的生产应用，实现安全调控</w:t>
      </w:r>
      <w:r>
        <w:rPr>
          <w:rFonts w:ascii="Times New Roman" w:eastAsia="楷体" w:hAnsi="Times New Roman" w:cs="Times New Roman" w:hint="default"/>
          <w:color w:val="auto"/>
          <w:sz w:val="24"/>
          <w:szCs w:val="24"/>
          <w:lang w:eastAsia="zh-CN"/>
        </w:rPr>
        <w:t>。</w:t>
      </w:r>
      <w:r>
        <w:rPr>
          <w:rFonts w:ascii="Times New Roman" w:eastAsia="楷体" w:hAnsi="Times New Roman" w:cs="Times New Roman" w:hint="default"/>
          <w:color w:val="auto"/>
          <w:sz w:val="24"/>
          <w:szCs w:val="24"/>
          <w:lang w:val="en-US" w:eastAsia="zh-CN"/>
        </w:rPr>
        <w:t>此外，还开展了MgO-矿渣和MgO-SiO</w:t>
      </w:r>
      <w:r>
        <w:rPr>
          <w:rFonts w:ascii="Times New Roman" w:eastAsia="楷体" w:hAnsi="Times New Roman" w:cs="Times New Roman" w:hint="default"/>
          <w:color w:val="auto"/>
          <w:sz w:val="24"/>
          <w:szCs w:val="24"/>
          <w:vertAlign w:val="subscript"/>
          <w:lang w:val="en-US" w:eastAsia="zh-CN"/>
        </w:rPr>
        <w:t>2</w:t>
      </w:r>
      <w:r>
        <w:rPr>
          <w:rFonts w:ascii="Times New Roman" w:eastAsia="楷体" w:hAnsi="Times New Roman" w:cs="Times New Roman" w:hint="default"/>
          <w:color w:val="auto"/>
          <w:sz w:val="24"/>
          <w:szCs w:val="24"/>
          <w:lang w:val="en-US" w:eastAsia="zh-CN"/>
        </w:rPr>
        <w:t>体系研究，</w:t>
      </w:r>
      <w:r>
        <w:rPr>
          <w:rFonts w:ascii="Times New Roman" w:eastAsia="楷体" w:hAnsi="Times New Roman" w:cs="Times New Roman" w:hint="default"/>
          <w:color w:val="auto"/>
          <w:sz w:val="24"/>
          <w:szCs w:val="24"/>
        </w:rPr>
        <w:t>为活性MgO作碱激发剂制备胶凝材料提供试验基础和理论依据。</w:t>
      </w:r>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ascii="楷体" w:eastAsia="楷体" w:hAnsi="楷体" w:cs="楷体" w:hint="eastAsia"/>
          <w:color w:val="auto"/>
        </w:rPr>
        <w:sectPr>
          <w:headerReference w:type="default" r:id="rId27"/>
          <w:footerReference w:type="even" r:id="rId28"/>
          <w:footerReference w:type="default" r:id="rId29"/>
          <w:footerReference w:type="first" r:id="rId30"/>
          <w:pgSz w:w="11906" w:h="16838"/>
          <w:pgMar w:top="1418" w:right="1418" w:bottom="1418" w:left="1418" w:header="851" w:footer="851" w:gutter="0"/>
          <w:pgNumType w:start="1"/>
          <w:cols w:num="1" w:space="425"/>
          <w:titlePg/>
          <w:docGrid w:linePitch="381" w:charSpace="0"/>
        </w:sectPr>
      </w:pPr>
      <w:r>
        <w:rPr>
          <w:rFonts w:ascii="Times New Roman" w:eastAsia="楷体" w:hAnsi="Times New Roman" w:cs="Times New Roman" w:hint="default"/>
          <w:b/>
          <w:bCs/>
          <w:color w:val="auto"/>
          <w:sz w:val="24"/>
          <w:szCs w:val="24"/>
          <w:lang w:val="en-US" w:eastAsia="zh-CN"/>
        </w:rPr>
        <w:t>本次申请项目的研究内容、研究目标、拟解决的科学问题等方面不存在任何重复性。</w:t>
      </w:r>
      <w:r>
        <w:rPr>
          <w:rFonts w:ascii="Times New Roman" w:eastAsia="楷体" w:hAnsi="Times New Roman" w:cs="Times New Roman" w:hint="default"/>
          <w:color w:val="auto"/>
          <w:sz w:val="24"/>
          <w:szCs w:val="24"/>
          <w:lang w:val="en-US" w:eastAsia="zh-CN"/>
        </w:rPr>
        <w:t>项目迄今在学术刊物上发表论文10篇，全部为SCI收录；出版专著1本，参编专著（章节）1篇；授权软件著作权1项；培养硕士研究生</w:t>
      </w:r>
      <w:r>
        <w:rPr>
          <w:rFonts w:eastAsia="楷体" w:cs="Times New Roman" w:hint="eastAsia"/>
          <w:color w:val="auto"/>
          <w:sz w:val="24"/>
          <w:szCs w:val="24"/>
          <w:lang w:val="en-US" w:eastAsia="zh-CN"/>
        </w:rPr>
        <w:t>4</w:t>
      </w:r>
      <w:r>
        <w:rPr>
          <w:rFonts w:ascii="Times New Roman" w:eastAsia="楷体" w:hAnsi="Times New Roman" w:cs="Times New Roman" w:hint="default"/>
          <w:color w:val="auto"/>
          <w:sz w:val="24"/>
          <w:szCs w:val="24"/>
          <w:lang w:val="en-US" w:eastAsia="zh-CN"/>
        </w:rPr>
        <w:t>名。在国内学术会议做学术报告2次，引起广泛关注，获得较高评价，学术价值高。</w:t>
      </w:r>
      <w:bookmarkEnd w:id="123"/>
    </w:p>
    <w:p w14:paraId="789D4C18">
      <w:pPr>
        <w:wordWrap w:val="0"/>
        <w:spacing w:line="360" w:lineRule="auto"/>
        <w:jc w:val="center"/>
        <w:rPr>
          <w:b/>
          <w:szCs w:val="28"/>
        </w:rPr>
      </w:pPr>
      <w:r>
        <w:rPr>
          <w:rFonts w:hint="eastAsia"/>
          <w:b/>
          <w:szCs w:val="28"/>
        </w:rPr>
        <w:t>项目组主要成员</w:t>
      </w:r>
    </w:p>
    <w:tbl>
      <w:tblPr>
        <w:tblStyle w:val="TableNormal"/>
        <w:tblW w:w="161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57" w:type="dxa"/>
          <w:bottom w:w="0" w:type="dxa"/>
          <w:right w:w="57" w:type="dxa"/>
        </w:tblCellMar>
      </w:tblPr>
      <w:tblGrid>
        <w:gridCol w:w="658"/>
        <w:gridCol w:w="993"/>
        <w:gridCol w:w="709"/>
        <w:gridCol w:w="709"/>
        <w:gridCol w:w="2463"/>
        <w:gridCol w:w="1156"/>
        <w:gridCol w:w="939"/>
        <w:gridCol w:w="2104"/>
        <w:gridCol w:w="2006"/>
        <w:gridCol w:w="2977"/>
        <w:gridCol w:w="1449"/>
      </w:tblGrid>
      <w:tr w14:paraId="6B30CB97">
        <w:tblPrEx>
          <w:tblW w:w="161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57" w:type="dxa"/>
            <w:bottom w:w="0" w:type="dxa"/>
            <w:right w:w="57" w:type="dxa"/>
          </w:tblCellMar>
        </w:tblPrEx>
        <w:trPr>
          <w:cantSplit/>
          <w:trHeight w:val="567"/>
          <w:jc w:val="center"/>
        </w:trPr>
        <w:tc>
          <w:tcPr>
            <w:tcW w:w="658" w:type="dxa"/>
            <w:tcBorders>
              <w:top w:val="single" w:sz="4" w:space="0" w:color="auto"/>
              <w:left w:val="single" w:sz="4" w:space="0" w:color="auto"/>
              <w:bottom w:val="single" w:sz="4" w:space="0" w:color="auto"/>
              <w:right w:val="single" w:sz="4" w:space="0" w:color="auto"/>
            </w:tcBorders>
            <w:vAlign w:val="center"/>
          </w:tcPr>
          <w:p w14:paraId="457D2EB4">
            <w:pPr>
              <w:wordWrap w:val="0"/>
              <w:jc w:val="center"/>
              <w:rPr>
                <w:sz w:val="24"/>
              </w:rPr>
            </w:pPr>
            <w:r>
              <w:rPr>
                <w:rFonts w:hint="eastAsia"/>
                <w:sz w:val="24"/>
              </w:rPr>
              <w:t>序号</w:t>
            </w:r>
          </w:p>
        </w:tc>
        <w:tc>
          <w:tcPr>
            <w:tcW w:w="993" w:type="dxa"/>
            <w:tcBorders>
              <w:top w:val="single" w:sz="4" w:space="0" w:color="auto"/>
              <w:left w:val="single" w:sz="4" w:space="0" w:color="auto"/>
              <w:bottom w:val="single" w:sz="4" w:space="0" w:color="auto"/>
              <w:right w:val="single" w:sz="4" w:space="0" w:color="auto"/>
            </w:tcBorders>
            <w:vAlign w:val="center"/>
          </w:tcPr>
          <w:p w14:paraId="6E757E23">
            <w:pPr>
              <w:wordWrap w:val="0"/>
              <w:jc w:val="center"/>
              <w:rPr>
                <w:sz w:val="24"/>
              </w:rPr>
            </w:pPr>
            <w:r>
              <w:rPr>
                <w:rFonts w:hint="eastAsia"/>
                <w:sz w:val="24"/>
              </w:rPr>
              <w:t>姓名</w:t>
            </w:r>
          </w:p>
        </w:tc>
        <w:tc>
          <w:tcPr>
            <w:tcW w:w="709" w:type="dxa"/>
            <w:tcBorders>
              <w:top w:val="single" w:sz="4" w:space="0" w:color="auto"/>
              <w:left w:val="single" w:sz="4" w:space="0" w:color="auto"/>
              <w:bottom w:val="single" w:sz="4" w:space="0" w:color="auto"/>
              <w:right w:val="single" w:sz="4" w:space="0" w:color="auto"/>
            </w:tcBorders>
            <w:vAlign w:val="center"/>
          </w:tcPr>
          <w:p w14:paraId="2C75013F">
            <w:pPr>
              <w:wordWrap w:val="0"/>
              <w:jc w:val="center"/>
              <w:rPr>
                <w:sz w:val="24"/>
              </w:rPr>
            </w:pPr>
            <w:r>
              <w:rPr>
                <w:rFonts w:hint="eastAsia"/>
                <w:sz w:val="24"/>
              </w:rPr>
              <w:t>性别</w:t>
            </w:r>
          </w:p>
        </w:tc>
        <w:tc>
          <w:tcPr>
            <w:tcW w:w="709" w:type="dxa"/>
            <w:tcBorders>
              <w:top w:val="single" w:sz="4" w:space="0" w:color="auto"/>
              <w:left w:val="single" w:sz="4" w:space="0" w:color="auto"/>
              <w:bottom w:val="single" w:sz="4" w:space="0" w:color="auto"/>
              <w:right w:val="single" w:sz="4" w:space="0" w:color="auto"/>
            </w:tcBorders>
            <w:vAlign w:val="center"/>
          </w:tcPr>
          <w:p w14:paraId="1FBDA388">
            <w:pPr>
              <w:wordWrap w:val="0"/>
              <w:jc w:val="center"/>
              <w:rPr>
                <w:sz w:val="24"/>
              </w:rPr>
            </w:pPr>
            <w:r>
              <w:rPr>
                <w:rFonts w:hint="eastAsia"/>
                <w:sz w:val="24"/>
              </w:rPr>
              <w:t>年龄</w:t>
            </w:r>
          </w:p>
        </w:tc>
        <w:tc>
          <w:tcPr>
            <w:tcW w:w="2463" w:type="dxa"/>
            <w:tcBorders>
              <w:top w:val="single" w:sz="4" w:space="0" w:color="auto"/>
              <w:left w:val="single" w:sz="4" w:space="0" w:color="auto"/>
              <w:bottom w:val="single" w:sz="4" w:space="0" w:color="auto"/>
              <w:right w:val="single" w:sz="4" w:space="0" w:color="auto"/>
            </w:tcBorders>
            <w:vAlign w:val="center"/>
          </w:tcPr>
          <w:p w14:paraId="4937637C">
            <w:pPr>
              <w:wordWrap w:val="0"/>
              <w:jc w:val="center"/>
              <w:rPr>
                <w:sz w:val="24"/>
              </w:rPr>
            </w:pPr>
            <w:r>
              <w:rPr>
                <w:rFonts w:hint="eastAsia"/>
                <w:sz w:val="24"/>
              </w:rPr>
              <w:t>证件号码</w:t>
            </w:r>
          </w:p>
        </w:tc>
        <w:tc>
          <w:tcPr>
            <w:tcW w:w="1156" w:type="dxa"/>
            <w:tcBorders>
              <w:top w:val="single" w:sz="4" w:space="0" w:color="auto"/>
              <w:left w:val="single" w:sz="4" w:space="0" w:color="auto"/>
              <w:bottom w:val="single" w:sz="4" w:space="0" w:color="auto"/>
              <w:right w:val="single" w:sz="4" w:space="0" w:color="auto"/>
            </w:tcBorders>
            <w:vAlign w:val="center"/>
          </w:tcPr>
          <w:p w14:paraId="6CF06609">
            <w:pPr>
              <w:wordWrap w:val="0"/>
              <w:jc w:val="center"/>
              <w:rPr>
                <w:sz w:val="24"/>
              </w:rPr>
            </w:pPr>
            <w:r>
              <w:rPr>
                <w:rFonts w:hint="eastAsia"/>
                <w:sz w:val="24"/>
              </w:rPr>
              <w:t>职称</w:t>
            </w:r>
          </w:p>
        </w:tc>
        <w:tc>
          <w:tcPr>
            <w:tcW w:w="939" w:type="dxa"/>
            <w:tcBorders>
              <w:top w:val="single" w:sz="4" w:space="0" w:color="auto"/>
              <w:left w:val="single" w:sz="4" w:space="0" w:color="auto"/>
              <w:bottom w:val="single" w:sz="4" w:space="0" w:color="auto"/>
              <w:right w:val="single" w:sz="4" w:space="0" w:color="auto"/>
            </w:tcBorders>
            <w:vAlign w:val="center"/>
          </w:tcPr>
          <w:p w14:paraId="5D8746E0">
            <w:pPr>
              <w:wordWrap w:val="0"/>
              <w:jc w:val="center"/>
              <w:rPr>
                <w:sz w:val="24"/>
              </w:rPr>
            </w:pPr>
            <w:r>
              <w:rPr>
                <w:rFonts w:hint="eastAsia"/>
                <w:sz w:val="24"/>
              </w:rPr>
              <w:t>学位</w:t>
            </w:r>
          </w:p>
        </w:tc>
        <w:tc>
          <w:tcPr>
            <w:tcW w:w="2104" w:type="dxa"/>
            <w:tcBorders>
              <w:top w:val="single" w:sz="4" w:space="0" w:color="auto"/>
              <w:left w:val="single" w:sz="4" w:space="0" w:color="auto"/>
              <w:bottom w:val="single" w:sz="4" w:space="0" w:color="auto"/>
              <w:right w:val="single" w:sz="4" w:space="0" w:color="auto"/>
            </w:tcBorders>
            <w:vAlign w:val="center"/>
          </w:tcPr>
          <w:p w14:paraId="29B6F6E3">
            <w:pPr>
              <w:wordWrap w:val="0"/>
              <w:jc w:val="center"/>
              <w:rPr>
                <w:sz w:val="24"/>
              </w:rPr>
            </w:pPr>
            <w:r>
              <w:rPr>
                <w:rFonts w:hint="eastAsia"/>
                <w:sz w:val="24"/>
              </w:rPr>
              <w:t>研究领域</w:t>
            </w:r>
          </w:p>
        </w:tc>
        <w:tc>
          <w:tcPr>
            <w:tcW w:w="2006" w:type="dxa"/>
            <w:tcBorders>
              <w:top w:val="single" w:sz="4" w:space="0" w:color="auto"/>
              <w:left w:val="single" w:sz="4" w:space="0" w:color="auto"/>
              <w:bottom w:val="single" w:sz="4" w:space="0" w:color="auto"/>
              <w:right w:val="single" w:sz="4" w:space="0" w:color="auto"/>
            </w:tcBorders>
            <w:vAlign w:val="center"/>
          </w:tcPr>
          <w:p w14:paraId="6B2A3170">
            <w:pPr>
              <w:tabs>
                <w:tab w:val="left" w:pos="2520"/>
                <w:tab w:val="center" w:pos="4144"/>
              </w:tabs>
              <w:wordWrap w:val="0"/>
              <w:jc w:val="center"/>
              <w:rPr>
                <w:sz w:val="24"/>
              </w:rPr>
            </w:pPr>
            <w:r>
              <w:rPr>
                <w:rFonts w:hint="eastAsia"/>
                <w:sz w:val="24"/>
              </w:rPr>
              <w:t>单位名称</w:t>
            </w:r>
          </w:p>
        </w:tc>
        <w:tc>
          <w:tcPr>
            <w:tcW w:w="2977" w:type="dxa"/>
            <w:tcBorders>
              <w:top w:val="single" w:sz="4" w:space="0" w:color="auto"/>
              <w:left w:val="single" w:sz="4" w:space="0" w:color="auto"/>
              <w:bottom w:val="single" w:sz="4" w:space="0" w:color="auto"/>
              <w:right w:val="single" w:sz="4" w:space="0" w:color="auto"/>
            </w:tcBorders>
            <w:vAlign w:val="center"/>
          </w:tcPr>
          <w:p w14:paraId="4CB780C2">
            <w:pPr>
              <w:wordWrap w:val="0"/>
              <w:jc w:val="center"/>
              <w:rPr>
                <w:sz w:val="24"/>
              </w:rPr>
            </w:pPr>
            <w:r>
              <w:rPr>
                <w:rFonts w:hint="eastAsia"/>
                <w:sz w:val="24"/>
              </w:rPr>
              <w:t>分工</w:t>
            </w:r>
          </w:p>
        </w:tc>
        <w:tc>
          <w:tcPr>
            <w:tcW w:w="1449" w:type="dxa"/>
            <w:tcBorders>
              <w:top w:val="single" w:sz="4" w:space="0" w:color="auto"/>
              <w:left w:val="single" w:sz="4" w:space="0" w:color="auto"/>
              <w:bottom w:val="single" w:sz="4" w:space="0" w:color="auto"/>
              <w:right w:val="single" w:sz="4" w:space="0" w:color="auto"/>
            </w:tcBorders>
            <w:vAlign w:val="center"/>
          </w:tcPr>
          <w:p w14:paraId="36D3820C">
            <w:pPr>
              <w:wordWrap w:val="0"/>
              <w:jc w:val="center"/>
              <w:rPr>
                <w:sz w:val="24"/>
              </w:rPr>
            </w:pPr>
            <w:r>
              <w:rPr>
                <w:rFonts w:hint="eastAsia"/>
                <w:sz w:val="24"/>
              </w:rPr>
              <w:t>在读状态</w:t>
            </w:r>
          </w:p>
        </w:tc>
      </w:tr>
      <w:tr w14:paraId="25E4052C">
        <w:tblPrEx>
          <w:tblW w:w="16163" w:type="dxa"/>
          <w:jc w:val="center"/>
          <w:tblLayout w:type="fixed"/>
          <w:tblCellMar>
            <w:top w:w="0" w:type="dxa"/>
            <w:left w:w="57" w:type="dxa"/>
            <w:bottom w:w="0" w:type="dxa"/>
            <w:right w:w="57" w:type="dxa"/>
          </w:tblCellMar>
        </w:tblPrEx>
        <w:trPr>
          <w:cantSplit/>
          <w:trHeight w:val="567"/>
          <w:jc w:val="center"/>
        </w:trPr>
        <w:tc>
          <w:tcPr>
            <w:tcW w:w="658" w:type="dxa"/>
            <w:tcBorders>
              <w:top w:val="single" w:sz="4" w:space="0" w:color="auto"/>
              <w:left w:val="single" w:sz="4" w:space="0" w:color="auto"/>
              <w:bottom w:val="single" w:sz="4" w:space="0" w:color="auto"/>
              <w:right w:val="single" w:sz="4" w:space="0" w:color="auto"/>
            </w:tcBorders>
            <w:vAlign w:val="center"/>
          </w:tcPr>
          <w:p w14:paraId="49FF59C3">
            <w:pPr>
              <w:wordWrap w:val="0"/>
              <w:jc w:val="center"/>
              <w:rPr>
                <w:rFonts w:ascii="宋体" w:eastAsia="宋体" w:hAnsi="宋体" w:cs="宋体"/>
                <w:sz w:val="24"/>
              </w:rPr>
            </w:pPr>
            <w:r>
              <w:rPr>
                <w:rFonts w:ascii="宋体" w:eastAsia="宋体" w:hAnsi="宋体" w:cs="宋体"/>
                <w:sz w:val="24"/>
              </w:rPr>
              <w:t>1</w:t>
            </w:r>
          </w:p>
        </w:tc>
        <w:tc>
          <w:tcPr>
            <w:tcW w:w="993" w:type="dxa"/>
            <w:tcBorders>
              <w:top w:val="single" w:sz="4" w:space="0" w:color="auto"/>
              <w:left w:val="single" w:sz="4" w:space="0" w:color="auto"/>
              <w:bottom w:val="single" w:sz="4" w:space="0" w:color="auto"/>
              <w:right w:val="single" w:sz="4" w:space="0" w:color="auto"/>
            </w:tcBorders>
            <w:vAlign w:val="center"/>
          </w:tcPr>
          <w:p w14:paraId="64237C0F">
            <w:pPr>
              <w:wordWrap w:val="0"/>
              <w:jc w:val="center"/>
              <w:rPr>
                <w:rFonts w:ascii="宋体" w:eastAsia="宋体" w:hAnsi="宋体" w:cs="宋体"/>
                <w:sz w:val="24"/>
              </w:rPr>
            </w:pPr>
            <w:r>
              <w:rPr>
                <w:rFonts w:ascii="宋体" w:eastAsia="宋体" w:hAnsi="宋体" w:cs="宋体"/>
                <w:sz w:val="24"/>
              </w:rPr>
              <w:t>马宏强</w:t>
            </w:r>
          </w:p>
        </w:tc>
        <w:tc>
          <w:tcPr>
            <w:tcW w:w="709" w:type="dxa"/>
            <w:tcBorders>
              <w:top w:val="single" w:sz="4" w:space="0" w:color="auto"/>
              <w:left w:val="single" w:sz="4" w:space="0" w:color="auto"/>
              <w:bottom w:val="single" w:sz="4" w:space="0" w:color="auto"/>
              <w:right w:val="single" w:sz="4" w:space="0" w:color="auto"/>
            </w:tcBorders>
            <w:vAlign w:val="center"/>
          </w:tcPr>
          <w:p w14:paraId="405B2CB5">
            <w:pPr>
              <w:wordWrap w:val="0"/>
              <w:jc w:val="center"/>
              <w:rPr>
                <w:rFonts w:ascii="宋体" w:eastAsia="宋体" w:hAnsi="宋体" w:cs="宋体"/>
                <w:sz w:val="24"/>
              </w:rPr>
            </w:pPr>
            <w:r>
              <w:rPr>
                <w:rFonts w:ascii="宋体" w:eastAsia="宋体" w:hAnsi="宋体" w:cs="宋体"/>
                <w:sz w:val="24"/>
              </w:rPr>
              <w:t>男</w:t>
            </w:r>
          </w:p>
        </w:tc>
        <w:tc>
          <w:tcPr>
            <w:tcW w:w="709" w:type="dxa"/>
            <w:tcBorders>
              <w:top w:val="single" w:sz="4" w:space="0" w:color="auto"/>
              <w:left w:val="single" w:sz="4" w:space="0" w:color="auto"/>
              <w:bottom w:val="single" w:sz="4" w:space="0" w:color="auto"/>
              <w:right w:val="single" w:sz="4" w:space="0" w:color="auto"/>
            </w:tcBorders>
            <w:vAlign w:val="center"/>
          </w:tcPr>
          <w:p w14:paraId="04CEECC1">
            <w:pPr>
              <w:wordWrap w:val="0"/>
              <w:jc w:val="center"/>
              <w:rPr>
                <w:rFonts w:ascii="宋体" w:eastAsia="宋体" w:hAnsi="宋体" w:cs="宋体"/>
                <w:sz w:val="24"/>
              </w:rPr>
            </w:pPr>
            <w:r>
              <w:rPr>
                <w:rFonts w:ascii="宋体" w:eastAsia="宋体" w:hAnsi="宋体" w:cs="宋体"/>
                <w:sz w:val="24"/>
              </w:rPr>
              <w:t>33</w:t>
            </w:r>
          </w:p>
        </w:tc>
        <w:tc>
          <w:tcPr>
            <w:tcW w:w="2463" w:type="dxa"/>
            <w:tcBorders>
              <w:top w:val="single" w:sz="4" w:space="0" w:color="auto"/>
              <w:left w:val="single" w:sz="4" w:space="0" w:color="auto"/>
              <w:bottom w:val="single" w:sz="4" w:space="0" w:color="auto"/>
              <w:right w:val="single" w:sz="4" w:space="0" w:color="auto"/>
            </w:tcBorders>
            <w:vAlign w:val="center"/>
          </w:tcPr>
          <w:p w14:paraId="115D6927">
            <w:pPr>
              <w:wordWrap w:val="0"/>
              <w:jc w:val="center"/>
              <w:rPr>
                <w:rFonts w:ascii="宋体" w:eastAsia="宋体" w:hAnsi="宋体" w:cs="宋体"/>
                <w:sz w:val="24"/>
              </w:rPr>
            </w:pPr>
            <w:r>
              <w:rPr>
                <w:rFonts w:ascii="宋体" w:eastAsia="宋体" w:hAnsi="宋体" w:cs="宋体"/>
                <w:sz w:val="24"/>
              </w:rPr>
              <w:t>370523199201074935</w:t>
            </w:r>
          </w:p>
        </w:tc>
        <w:tc>
          <w:tcPr>
            <w:tcW w:w="1156" w:type="dxa"/>
            <w:tcBorders>
              <w:top w:val="single" w:sz="4" w:space="0" w:color="auto"/>
              <w:left w:val="single" w:sz="4" w:space="0" w:color="auto"/>
              <w:bottom w:val="single" w:sz="4" w:space="0" w:color="auto"/>
              <w:right w:val="single" w:sz="4" w:space="0" w:color="auto"/>
            </w:tcBorders>
            <w:vAlign w:val="center"/>
          </w:tcPr>
          <w:p w14:paraId="4797CA1F">
            <w:pPr>
              <w:wordWrap w:val="0"/>
              <w:jc w:val="center"/>
              <w:rPr>
                <w:rFonts w:ascii="宋体" w:eastAsia="宋体" w:hAnsi="宋体" w:cs="宋体"/>
                <w:sz w:val="24"/>
              </w:rPr>
            </w:pPr>
            <w:r>
              <w:rPr>
                <w:rFonts w:ascii="宋体" w:eastAsia="宋体" w:hAnsi="宋体" w:cs="宋体"/>
                <w:sz w:val="24"/>
              </w:rPr>
              <w:t>副教授</w:t>
            </w:r>
          </w:p>
        </w:tc>
        <w:tc>
          <w:tcPr>
            <w:tcW w:w="939" w:type="dxa"/>
            <w:tcBorders>
              <w:top w:val="single" w:sz="4" w:space="0" w:color="auto"/>
              <w:left w:val="single" w:sz="4" w:space="0" w:color="auto"/>
              <w:bottom w:val="single" w:sz="4" w:space="0" w:color="auto"/>
              <w:right w:val="single" w:sz="4" w:space="0" w:color="auto"/>
            </w:tcBorders>
            <w:vAlign w:val="center"/>
          </w:tcPr>
          <w:p w14:paraId="2531CFA5">
            <w:pPr>
              <w:wordWrap w:val="0"/>
              <w:jc w:val="center"/>
              <w:rPr>
                <w:rFonts w:ascii="宋体" w:eastAsia="宋体" w:hAnsi="宋体" w:cs="宋体"/>
                <w:sz w:val="24"/>
              </w:rPr>
            </w:pPr>
            <w:r>
              <w:rPr>
                <w:rFonts w:ascii="宋体" w:eastAsia="宋体" w:hAnsi="宋体" w:cs="宋体"/>
                <w:sz w:val="24"/>
              </w:rPr>
              <w:t>博士</w:t>
            </w:r>
          </w:p>
        </w:tc>
        <w:tc>
          <w:tcPr>
            <w:tcW w:w="2104" w:type="dxa"/>
            <w:tcBorders>
              <w:top w:val="single" w:sz="4" w:space="0" w:color="auto"/>
              <w:left w:val="single" w:sz="4" w:space="0" w:color="auto"/>
              <w:bottom w:val="single" w:sz="4" w:space="0" w:color="auto"/>
              <w:right w:val="single" w:sz="4" w:space="0" w:color="auto"/>
            </w:tcBorders>
            <w:vAlign w:val="center"/>
          </w:tcPr>
          <w:p w14:paraId="02F7B241">
            <w:pPr>
              <w:wordWrap w:val="0"/>
              <w:jc w:val="left"/>
              <w:rPr>
                <w:rFonts w:ascii="宋体" w:eastAsia="宋体" w:hAnsi="宋体" w:cs="宋体"/>
                <w:sz w:val="24"/>
              </w:rPr>
            </w:pPr>
            <w:r>
              <w:rPr>
                <w:rFonts w:ascii="宋体" w:eastAsia="宋体" w:hAnsi="宋体" w:cs="宋体"/>
                <w:sz w:val="24"/>
              </w:rPr>
              <w:t>非金属建筑材料</w:t>
            </w:r>
          </w:p>
        </w:tc>
        <w:tc>
          <w:tcPr>
            <w:tcW w:w="2006" w:type="dxa"/>
            <w:tcBorders>
              <w:top w:val="single" w:sz="4" w:space="0" w:color="auto"/>
              <w:left w:val="single" w:sz="4" w:space="0" w:color="auto"/>
              <w:bottom w:val="single" w:sz="4" w:space="0" w:color="auto"/>
              <w:right w:val="single" w:sz="4" w:space="0" w:color="auto"/>
            </w:tcBorders>
            <w:vAlign w:val="center"/>
          </w:tcPr>
          <w:p w14:paraId="737E1BC3">
            <w:pPr>
              <w:tabs>
                <w:tab w:val="left" w:pos="2520"/>
                <w:tab w:val="center" w:pos="4144"/>
              </w:tabs>
              <w:wordWrap w:val="0"/>
              <w:jc w:val="left"/>
              <w:rPr>
                <w:rFonts w:ascii="宋体" w:eastAsia="宋体" w:hAnsi="宋体" w:cs="宋体"/>
                <w:sz w:val="24"/>
              </w:rPr>
            </w:pPr>
            <w:r>
              <w:rPr>
                <w:rFonts w:ascii="宋体" w:eastAsia="宋体" w:hAnsi="宋体" w:cs="宋体"/>
                <w:sz w:val="24"/>
              </w:rPr>
              <w:t>河北大学</w:t>
            </w:r>
          </w:p>
        </w:tc>
        <w:tc>
          <w:tcPr>
            <w:tcW w:w="2977" w:type="dxa"/>
            <w:tcBorders>
              <w:top w:val="single" w:sz="4" w:space="0" w:color="auto"/>
              <w:left w:val="single" w:sz="4" w:space="0" w:color="auto"/>
              <w:bottom w:val="single" w:sz="4" w:space="0" w:color="auto"/>
              <w:right w:val="single" w:sz="4" w:space="0" w:color="auto"/>
            </w:tcBorders>
            <w:vAlign w:val="center"/>
          </w:tcPr>
          <w:p w14:paraId="47FBF1DE">
            <w:pPr>
              <w:wordWrap w:val="0"/>
              <w:jc w:val="left"/>
              <w:rPr>
                <w:rFonts w:ascii="宋体" w:eastAsia="宋体" w:hAnsi="宋体" w:cs="宋体"/>
                <w:sz w:val="24"/>
              </w:rPr>
            </w:pPr>
            <w:r>
              <w:rPr>
                <w:rFonts w:ascii="宋体" w:eastAsia="宋体" w:hAnsi="宋体" w:cs="宋体"/>
                <w:sz w:val="24"/>
              </w:rPr>
              <w:t>项目负责人</w:t>
            </w:r>
          </w:p>
        </w:tc>
        <w:tc>
          <w:tcPr>
            <w:tcW w:w="1449" w:type="dxa"/>
            <w:tcBorders>
              <w:top w:val="single" w:sz="4" w:space="0" w:color="auto"/>
              <w:left w:val="single" w:sz="4" w:space="0" w:color="auto"/>
              <w:bottom w:val="single" w:sz="4" w:space="0" w:color="auto"/>
              <w:right w:val="single" w:sz="4" w:space="0" w:color="auto"/>
            </w:tcBorders>
            <w:vAlign w:val="center"/>
          </w:tcPr>
          <w:p w14:paraId="277A9CF4">
            <w:pPr>
              <w:wordWrap w:val="0"/>
              <w:jc w:val="center"/>
              <w:rPr>
                <w:rFonts w:ascii="宋体" w:eastAsia="宋体" w:hAnsi="宋体" w:cs="宋体"/>
                <w:sz w:val="24"/>
              </w:rPr>
            </w:pPr>
            <w:r>
              <w:rPr>
                <w:rFonts w:ascii="宋体" w:eastAsia="宋体" w:hAnsi="宋体" w:cs="宋体"/>
                <w:sz w:val="24"/>
              </w:rPr>
              <w:t>非在读</w:t>
            </w:r>
          </w:p>
        </w:tc>
      </w:tr>
      <w:tr w14:paraId="25E4052C">
        <w:tblPrEx>
          <w:tblW w:w="16163" w:type="dxa"/>
          <w:jc w:val="center"/>
          <w:tblLayout w:type="fixed"/>
          <w:tblCellMar>
            <w:top w:w="0" w:type="dxa"/>
            <w:left w:w="57" w:type="dxa"/>
            <w:bottom w:w="0" w:type="dxa"/>
            <w:right w:w="57" w:type="dxa"/>
          </w:tblCellMar>
        </w:tblPrEx>
        <w:trPr>
          <w:cantSplit/>
          <w:trHeight w:val="567"/>
          <w:jc w:val="center"/>
        </w:trPr>
        <w:tc>
          <w:tcPr>
            <w:tcW w:w="65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2</w:t>
            </w:r>
          </w:p>
        </w:tc>
        <w:tc>
          <w:tcPr>
            <w:tcW w:w="99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辛勤</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38</w:t>
            </w:r>
          </w:p>
        </w:tc>
        <w:tc>
          <w:tcPr>
            <w:tcW w:w="246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130632198704239028</w:t>
            </w:r>
          </w:p>
        </w:tc>
        <w:tc>
          <w:tcPr>
            <w:tcW w:w="1156"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副教授</w:t>
            </w:r>
          </w:p>
        </w:tc>
        <w:tc>
          <w:tcPr>
            <w:tcW w:w="93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博士</w:t>
            </w:r>
          </w:p>
        </w:tc>
        <w:tc>
          <w:tcPr>
            <w:tcW w:w="2104"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非金属建筑材料</w:t>
            </w:r>
          </w:p>
        </w:tc>
        <w:tc>
          <w:tcPr>
            <w:tcW w:w="2006" w:type="dxa"/>
            <w:tcBorders>
              <w:top w:val="single" w:sz="4" w:space="0" w:color="auto"/>
              <w:left w:val="single" w:sz="4" w:space="0" w:color="auto"/>
              <w:bottom w:val="single" w:sz="4" w:space="0" w:color="auto"/>
              <w:right w:val="single" w:sz="4" w:space="0" w:color="auto"/>
            </w:tcBorders>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河北大学</w:t>
            </w:r>
          </w:p>
        </w:tc>
        <w:tc>
          <w:tcPr>
            <w:tcW w:w="2977"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技术和试验指导</w:t>
            </w:r>
          </w:p>
        </w:tc>
        <w:tc>
          <w:tcPr>
            <w:tcW w:w="144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非在读</w:t>
            </w:r>
          </w:p>
        </w:tc>
      </w:tr>
      <w:tr w14:paraId="25E4052C">
        <w:tblPrEx>
          <w:tblW w:w="16163" w:type="dxa"/>
          <w:jc w:val="center"/>
          <w:tblLayout w:type="fixed"/>
          <w:tblCellMar>
            <w:top w:w="0" w:type="dxa"/>
            <w:left w:w="57" w:type="dxa"/>
            <w:bottom w:w="0" w:type="dxa"/>
            <w:right w:w="57" w:type="dxa"/>
          </w:tblCellMar>
        </w:tblPrEx>
        <w:trPr>
          <w:cantSplit/>
          <w:trHeight w:val="567"/>
          <w:jc w:val="center"/>
        </w:trPr>
        <w:tc>
          <w:tcPr>
            <w:tcW w:w="65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w:t>
            </w:r>
          </w:p>
        </w:tc>
        <w:tc>
          <w:tcPr>
            <w:tcW w:w="99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郑轩</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37</w:t>
            </w:r>
          </w:p>
        </w:tc>
        <w:tc>
          <w:tcPr>
            <w:tcW w:w="246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130602198804251819</w:t>
            </w:r>
          </w:p>
        </w:tc>
        <w:tc>
          <w:tcPr>
            <w:tcW w:w="1156"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副教授</w:t>
            </w:r>
          </w:p>
        </w:tc>
        <w:tc>
          <w:tcPr>
            <w:tcW w:w="93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博士</w:t>
            </w:r>
          </w:p>
        </w:tc>
        <w:tc>
          <w:tcPr>
            <w:tcW w:w="2104"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非金属建筑材料</w:t>
            </w:r>
          </w:p>
        </w:tc>
        <w:tc>
          <w:tcPr>
            <w:tcW w:w="2006" w:type="dxa"/>
            <w:tcBorders>
              <w:top w:val="single" w:sz="4" w:space="0" w:color="auto"/>
              <w:left w:val="single" w:sz="4" w:space="0" w:color="auto"/>
              <w:bottom w:val="single" w:sz="4" w:space="0" w:color="auto"/>
              <w:right w:val="single" w:sz="4" w:space="0" w:color="auto"/>
            </w:tcBorders>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河北大学</w:t>
            </w:r>
          </w:p>
        </w:tc>
        <w:tc>
          <w:tcPr>
            <w:tcW w:w="2977"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技术和试验指导</w:t>
            </w:r>
          </w:p>
        </w:tc>
        <w:tc>
          <w:tcPr>
            <w:tcW w:w="144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博士后</w:t>
            </w:r>
          </w:p>
        </w:tc>
      </w:tr>
      <w:tr w14:paraId="25E4052C">
        <w:tblPrEx>
          <w:tblW w:w="16163" w:type="dxa"/>
          <w:jc w:val="center"/>
          <w:tblLayout w:type="fixed"/>
          <w:tblCellMar>
            <w:top w:w="0" w:type="dxa"/>
            <w:left w:w="57" w:type="dxa"/>
            <w:bottom w:w="0" w:type="dxa"/>
            <w:right w:w="57" w:type="dxa"/>
          </w:tblCellMar>
        </w:tblPrEx>
        <w:trPr>
          <w:cantSplit/>
          <w:trHeight w:val="567"/>
          <w:jc w:val="center"/>
        </w:trPr>
        <w:tc>
          <w:tcPr>
            <w:tcW w:w="65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w:t>
            </w:r>
          </w:p>
        </w:tc>
        <w:tc>
          <w:tcPr>
            <w:tcW w:w="99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牛晓燕</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46</w:t>
            </w:r>
          </w:p>
        </w:tc>
        <w:tc>
          <w:tcPr>
            <w:tcW w:w="246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130582197902250045</w:t>
            </w:r>
          </w:p>
        </w:tc>
        <w:tc>
          <w:tcPr>
            <w:tcW w:w="1156"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教授</w:t>
            </w:r>
          </w:p>
        </w:tc>
        <w:tc>
          <w:tcPr>
            <w:tcW w:w="93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博士</w:t>
            </w:r>
          </w:p>
        </w:tc>
        <w:tc>
          <w:tcPr>
            <w:tcW w:w="2104"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非金属建筑材料</w:t>
            </w:r>
          </w:p>
        </w:tc>
        <w:tc>
          <w:tcPr>
            <w:tcW w:w="2006" w:type="dxa"/>
            <w:tcBorders>
              <w:top w:val="single" w:sz="4" w:space="0" w:color="auto"/>
              <w:left w:val="single" w:sz="4" w:space="0" w:color="auto"/>
              <w:bottom w:val="single" w:sz="4" w:space="0" w:color="auto"/>
              <w:right w:val="single" w:sz="4" w:space="0" w:color="auto"/>
            </w:tcBorders>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河北大学</w:t>
            </w:r>
          </w:p>
        </w:tc>
        <w:tc>
          <w:tcPr>
            <w:tcW w:w="2977"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技术和理论指导</w:t>
            </w:r>
          </w:p>
        </w:tc>
        <w:tc>
          <w:tcPr>
            <w:tcW w:w="144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非在读</w:t>
            </w:r>
          </w:p>
        </w:tc>
      </w:tr>
      <w:tr w14:paraId="25E4052C">
        <w:tblPrEx>
          <w:tblW w:w="16163" w:type="dxa"/>
          <w:jc w:val="center"/>
          <w:tblLayout w:type="fixed"/>
          <w:tblCellMar>
            <w:top w:w="0" w:type="dxa"/>
            <w:left w:w="57" w:type="dxa"/>
            <w:bottom w:w="0" w:type="dxa"/>
            <w:right w:w="57" w:type="dxa"/>
          </w:tblCellMar>
        </w:tblPrEx>
        <w:trPr>
          <w:cantSplit/>
          <w:trHeight w:val="567"/>
          <w:jc w:val="center"/>
        </w:trPr>
        <w:tc>
          <w:tcPr>
            <w:tcW w:w="65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5</w:t>
            </w:r>
          </w:p>
        </w:tc>
        <w:tc>
          <w:tcPr>
            <w:tcW w:w="99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雷泽龙</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24</w:t>
            </w:r>
          </w:p>
        </w:tc>
        <w:tc>
          <w:tcPr>
            <w:tcW w:w="246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411202200104191532</w:t>
            </w:r>
          </w:p>
        </w:tc>
        <w:tc>
          <w:tcPr>
            <w:tcW w:w="1156"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无职称</w:t>
            </w:r>
          </w:p>
        </w:tc>
        <w:tc>
          <w:tcPr>
            <w:tcW w:w="93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学士</w:t>
            </w:r>
          </w:p>
        </w:tc>
        <w:tc>
          <w:tcPr>
            <w:tcW w:w="2104"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非金属建筑材料</w:t>
            </w:r>
          </w:p>
        </w:tc>
        <w:tc>
          <w:tcPr>
            <w:tcW w:w="2006" w:type="dxa"/>
            <w:tcBorders>
              <w:top w:val="single" w:sz="4" w:space="0" w:color="auto"/>
              <w:left w:val="single" w:sz="4" w:space="0" w:color="auto"/>
              <w:bottom w:val="single" w:sz="4" w:space="0" w:color="auto"/>
              <w:right w:val="single" w:sz="4" w:space="0" w:color="auto"/>
            </w:tcBorders>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河北大学</w:t>
            </w:r>
          </w:p>
        </w:tc>
        <w:tc>
          <w:tcPr>
            <w:tcW w:w="2977"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试验操作和数据处理</w:t>
            </w:r>
          </w:p>
        </w:tc>
        <w:tc>
          <w:tcPr>
            <w:tcW w:w="144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硕士研究生</w:t>
            </w:r>
          </w:p>
        </w:tc>
      </w:tr>
      <w:tr w14:paraId="25E4052C">
        <w:tblPrEx>
          <w:tblW w:w="16163" w:type="dxa"/>
          <w:jc w:val="center"/>
          <w:tblLayout w:type="fixed"/>
          <w:tblCellMar>
            <w:top w:w="0" w:type="dxa"/>
            <w:left w:w="57" w:type="dxa"/>
            <w:bottom w:w="0" w:type="dxa"/>
            <w:right w:w="57" w:type="dxa"/>
          </w:tblCellMar>
        </w:tblPrEx>
        <w:trPr>
          <w:cantSplit/>
          <w:trHeight w:val="567"/>
          <w:jc w:val="center"/>
        </w:trPr>
        <w:tc>
          <w:tcPr>
            <w:tcW w:w="65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6</w:t>
            </w:r>
          </w:p>
        </w:tc>
        <w:tc>
          <w:tcPr>
            <w:tcW w:w="99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吴嘉龙</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25</w:t>
            </w:r>
          </w:p>
        </w:tc>
        <w:tc>
          <w:tcPr>
            <w:tcW w:w="246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410703200012274018</w:t>
            </w:r>
          </w:p>
        </w:tc>
        <w:tc>
          <w:tcPr>
            <w:tcW w:w="1156"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无职称</w:t>
            </w:r>
          </w:p>
        </w:tc>
        <w:tc>
          <w:tcPr>
            <w:tcW w:w="93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学士</w:t>
            </w:r>
          </w:p>
        </w:tc>
        <w:tc>
          <w:tcPr>
            <w:tcW w:w="2104"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非金属建筑材料</w:t>
            </w:r>
          </w:p>
        </w:tc>
        <w:tc>
          <w:tcPr>
            <w:tcW w:w="2006" w:type="dxa"/>
            <w:tcBorders>
              <w:top w:val="single" w:sz="4" w:space="0" w:color="auto"/>
              <w:left w:val="single" w:sz="4" w:space="0" w:color="auto"/>
              <w:bottom w:val="single" w:sz="4" w:space="0" w:color="auto"/>
              <w:right w:val="single" w:sz="4" w:space="0" w:color="auto"/>
            </w:tcBorders>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河北大学</w:t>
            </w:r>
          </w:p>
        </w:tc>
        <w:tc>
          <w:tcPr>
            <w:tcW w:w="2977"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试验操作和数据处理</w:t>
            </w:r>
          </w:p>
        </w:tc>
        <w:tc>
          <w:tcPr>
            <w:tcW w:w="144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硕士研究生</w:t>
            </w:r>
          </w:p>
        </w:tc>
      </w:tr>
      <w:tr w14:paraId="25E4052C">
        <w:tblPrEx>
          <w:tblW w:w="16163" w:type="dxa"/>
          <w:jc w:val="center"/>
          <w:tblLayout w:type="fixed"/>
          <w:tblCellMar>
            <w:top w:w="0" w:type="dxa"/>
            <w:left w:w="57" w:type="dxa"/>
            <w:bottom w:w="0" w:type="dxa"/>
            <w:right w:w="57" w:type="dxa"/>
          </w:tblCellMar>
        </w:tblPrEx>
        <w:trPr>
          <w:cantSplit/>
          <w:trHeight w:val="567"/>
          <w:jc w:val="center"/>
        </w:trPr>
        <w:tc>
          <w:tcPr>
            <w:tcW w:w="65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7</w:t>
            </w:r>
          </w:p>
        </w:tc>
        <w:tc>
          <w:tcPr>
            <w:tcW w:w="99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袁鑫华</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24</w:t>
            </w:r>
          </w:p>
        </w:tc>
        <w:tc>
          <w:tcPr>
            <w:tcW w:w="246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130627200112013219</w:t>
            </w:r>
          </w:p>
        </w:tc>
        <w:tc>
          <w:tcPr>
            <w:tcW w:w="1156"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无职称</w:t>
            </w:r>
          </w:p>
        </w:tc>
        <w:tc>
          <w:tcPr>
            <w:tcW w:w="93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学士</w:t>
            </w:r>
          </w:p>
        </w:tc>
        <w:tc>
          <w:tcPr>
            <w:tcW w:w="2104"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非金属建筑材料</w:t>
            </w:r>
          </w:p>
        </w:tc>
        <w:tc>
          <w:tcPr>
            <w:tcW w:w="2006" w:type="dxa"/>
            <w:tcBorders>
              <w:top w:val="single" w:sz="4" w:space="0" w:color="auto"/>
              <w:left w:val="single" w:sz="4" w:space="0" w:color="auto"/>
              <w:bottom w:val="single" w:sz="4" w:space="0" w:color="auto"/>
              <w:right w:val="single" w:sz="4" w:space="0" w:color="auto"/>
            </w:tcBorders>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河北大学</w:t>
            </w:r>
          </w:p>
        </w:tc>
        <w:tc>
          <w:tcPr>
            <w:tcW w:w="2977"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试验操作和数据处理</w:t>
            </w:r>
          </w:p>
        </w:tc>
        <w:tc>
          <w:tcPr>
            <w:tcW w:w="144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硕士研究生</w:t>
            </w:r>
          </w:p>
        </w:tc>
      </w:tr>
    </w:tbl>
    <w:p w14:paraId="37A73C3B">
      <w:pPr>
        <w:wordWrap w:val="0"/>
        <w:rPr>
          <w:sz w:val="21"/>
        </w:rPr>
      </w:pPr>
      <w:r>
        <w:rPr>
          <w:rFonts w:hint="eastAsia"/>
          <w:sz w:val="24"/>
        </w:rPr>
        <w:t>注：证件号码一般填写身份证号码，无身份证人员填写时要注明证件名称。</w:t>
      </w:r>
    </w:p>
    <w:tbl>
      <w:tblPr>
        <w:tblStyle w:val="TableNormal"/>
        <w:tblW w:w="16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877"/>
        <w:gridCol w:w="1587"/>
        <w:gridCol w:w="1587"/>
        <w:gridCol w:w="1587"/>
        <w:gridCol w:w="1587"/>
        <w:gridCol w:w="1587"/>
        <w:gridCol w:w="1587"/>
        <w:gridCol w:w="1587"/>
        <w:gridCol w:w="1587"/>
        <w:gridCol w:w="1587"/>
      </w:tblGrid>
      <w:tr w14:paraId="1813A0F4">
        <w:tblPrEx>
          <w:tblW w:w="16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cantSplit/>
          <w:trHeight w:val="483"/>
          <w:jc w:val="center"/>
        </w:trPr>
        <w:tc>
          <w:tcPr>
            <w:tcW w:w="1877" w:type="dxa"/>
            <w:vAlign w:val="center"/>
          </w:tcPr>
          <w:p w14:paraId="25BE75B5">
            <w:pPr>
              <w:keepNext/>
              <w:widowControl/>
              <w:wordWrap w:val="0"/>
              <w:spacing w:line="320" w:lineRule="exact"/>
              <w:jc w:val="center"/>
              <w:rPr>
                <w:sz w:val="24"/>
              </w:rPr>
            </w:pPr>
            <w:r>
              <w:rPr>
                <w:rFonts w:hint="eastAsia"/>
                <w:sz w:val="24"/>
              </w:rPr>
              <w:t>总人数</w:t>
            </w:r>
          </w:p>
        </w:tc>
        <w:tc>
          <w:tcPr>
            <w:tcW w:w="1587" w:type="dxa"/>
            <w:vAlign w:val="center"/>
          </w:tcPr>
          <w:p w14:paraId="16B6652B">
            <w:pPr>
              <w:keepNext/>
              <w:widowControl/>
              <w:wordWrap w:val="0"/>
              <w:spacing w:line="320" w:lineRule="exact"/>
              <w:jc w:val="center"/>
              <w:rPr>
                <w:sz w:val="24"/>
              </w:rPr>
            </w:pPr>
            <w:r>
              <w:rPr>
                <w:rFonts w:hint="eastAsia"/>
                <w:sz w:val="24"/>
              </w:rPr>
              <w:t>高级</w:t>
            </w:r>
          </w:p>
        </w:tc>
        <w:tc>
          <w:tcPr>
            <w:tcW w:w="1587" w:type="dxa"/>
            <w:vAlign w:val="center"/>
          </w:tcPr>
          <w:p w14:paraId="6E53CFE0">
            <w:pPr>
              <w:keepNext/>
              <w:widowControl/>
              <w:wordWrap w:val="0"/>
              <w:spacing w:line="320" w:lineRule="exact"/>
              <w:jc w:val="center"/>
              <w:rPr>
                <w:sz w:val="24"/>
              </w:rPr>
            </w:pPr>
            <w:r>
              <w:rPr>
                <w:rFonts w:hint="eastAsia"/>
                <w:sz w:val="24"/>
              </w:rPr>
              <w:t>中级</w:t>
            </w:r>
          </w:p>
        </w:tc>
        <w:tc>
          <w:tcPr>
            <w:tcW w:w="1587" w:type="dxa"/>
            <w:vAlign w:val="center"/>
          </w:tcPr>
          <w:p w14:paraId="205AB97D">
            <w:pPr>
              <w:keepNext/>
              <w:widowControl/>
              <w:wordWrap w:val="0"/>
              <w:spacing w:line="320" w:lineRule="exact"/>
              <w:jc w:val="center"/>
              <w:rPr>
                <w:sz w:val="24"/>
              </w:rPr>
            </w:pPr>
            <w:r>
              <w:rPr>
                <w:rFonts w:hint="eastAsia"/>
                <w:sz w:val="24"/>
              </w:rPr>
              <w:t>初级</w:t>
            </w:r>
          </w:p>
        </w:tc>
        <w:tc>
          <w:tcPr>
            <w:tcW w:w="1587" w:type="dxa"/>
            <w:vAlign w:val="center"/>
          </w:tcPr>
          <w:p w14:paraId="538AC6A7">
            <w:pPr>
              <w:keepNext/>
              <w:widowControl/>
              <w:wordWrap w:val="0"/>
              <w:spacing w:line="320" w:lineRule="exact"/>
              <w:jc w:val="center"/>
              <w:rPr>
                <w:sz w:val="24"/>
              </w:rPr>
            </w:pPr>
            <w:r>
              <w:rPr>
                <w:rFonts w:hint="eastAsia"/>
                <w:sz w:val="24"/>
              </w:rPr>
              <w:t>其它</w:t>
            </w:r>
          </w:p>
        </w:tc>
        <w:tc>
          <w:tcPr>
            <w:tcW w:w="1587" w:type="dxa"/>
            <w:vAlign w:val="center"/>
          </w:tcPr>
          <w:p w14:paraId="0DF3D122">
            <w:pPr>
              <w:keepNext/>
              <w:widowControl/>
              <w:wordWrap w:val="0"/>
              <w:spacing w:line="320" w:lineRule="exact"/>
              <w:jc w:val="center"/>
              <w:rPr>
                <w:sz w:val="24"/>
              </w:rPr>
            </w:pPr>
            <w:r>
              <w:rPr>
                <w:rFonts w:hint="eastAsia"/>
                <w:sz w:val="24"/>
              </w:rPr>
              <w:t>博士后</w:t>
            </w:r>
          </w:p>
        </w:tc>
        <w:tc>
          <w:tcPr>
            <w:tcW w:w="1587" w:type="dxa"/>
            <w:vAlign w:val="center"/>
          </w:tcPr>
          <w:p w14:paraId="5DAABE5F">
            <w:pPr>
              <w:keepNext/>
              <w:widowControl/>
              <w:wordWrap w:val="0"/>
              <w:spacing w:line="320" w:lineRule="exact"/>
              <w:jc w:val="center"/>
              <w:rPr>
                <w:sz w:val="24"/>
              </w:rPr>
            </w:pPr>
            <w:r>
              <w:rPr>
                <w:rFonts w:hint="eastAsia"/>
                <w:sz w:val="24"/>
              </w:rPr>
              <w:t>博士</w:t>
            </w:r>
          </w:p>
        </w:tc>
        <w:tc>
          <w:tcPr>
            <w:tcW w:w="1587" w:type="dxa"/>
            <w:vAlign w:val="center"/>
          </w:tcPr>
          <w:p w14:paraId="7A56251D">
            <w:pPr>
              <w:keepNext/>
              <w:widowControl/>
              <w:wordWrap w:val="0"/>
              <w:spacing w:line="320" w:lineRule="exact"/>
              <w:jc w:val="center"/>
              <w:rPr>
                <w:sz w:val="24"/>
              </w:rPr>
            </w:pPr>
            <w:r>
              <w:rPr>
                <w:rFonts w:hint="eastAsia"/>
                <w:sz w:val="24"/>
              </w:rPr>
              <w:t>博士生</w:t>
            </w:r>
          </w:p>
        </w:tc>
        <w:tc>
          <w:tcPr>
            <w:tcW w:w="1587" w:type="dxa"/>
            <w:vAlign w:val="center"/>
          </w:tcPr>
          <w:p w14:paraId="55DACB3C">
            <w:pPr>
              <w:keepNext/>
              <w:widowControl/>
              <w:wordWrap w:val="0"/>
              <w:spacing w:line="320" w:lineRule="exact"/>
              <w:jc w:val="center"/>
              <w:rPr>
                <w:sz w:val="24"/>
              </w:rPr>
            </w:pPr>
            <w:r>
              <w:rPr>
                <w:rFonts w:hint="eastAsia"/>
                <w:sz w:val="24"/>
              </w:rPr>
              <w:t>硕士</w:t>
            </w:r>
          </w:p>
        </w:tc>
        <w:tc>
          <w:tcPr>
            <w:tcW w:w="1587" w:type="dxa"/>
            <w:vAlign w:val="center"/>
          </w:tcPr>
          <w:p w14:paraId="45B3A6D2">
            <w:pPr>
              <w:keepNext/>
              <w:widowControl/>
              <w:wordWrap w:val="0"/>
              <w:spacing w:line="320" w:lineRule="exact"/>
              <w:jc w:val="center"/>
              <w:rPr>
                <w:sz w:val="24"/>
              </w:rPr>
            </w:pPr>
            <w:r>
              <w:rPr>
                <w:rFonts w:hint="eastAsia"/>
                <w:sz w:val="24"/>
              </w:rPr>
              <w:t>硕士生</w:t>
            </w:r>
          </w:p>
        </w:tc>
      </w:tr>
      <w:tr w14:paraId="0C356D8B">
        <w:tblPrEx>
          <w:tblW w:w="16160" w:type="dxa"/>
          <w:jc w:val="center"/>
          <w:tblCellMar>
            <w:top w:w="0" w:type="dxa"/>
            <w:left w:w="108" w:type="dxa"/>
            <w:bottom w:w="0" w:type="dxa"/>
            <w:right w:w="108" w:type="dxa"/>
          </w:tblCellMar>
        </w:tblPrEx>
        <w:trPr>
          <w:cantSplit/>
          <w:trHeight w:val="477"/>
          <w:jc w:val="center"/>
        </w:trPr>
        <w:tc>
          <w:tcPr>
            <w:tcW w:w="1877" w:type="dxa"/>
            <w:vAlign w:val="center"/>
          </w:tcPr>
          <w:p w14:paraId="4412823D">
            <w:pPr>
              <w:keepNext/>
              <w:widowControl/>
              <w:wordWrap w:val="0"/>
              <w:jc w:val="center"/>
              <w:rPr>
                <w:rFonts w:ascii="宋体" w:eastAsia="宋体" w:hAnsi="宋体" w:cs="宋体"/>
                <w:sz w:val="24"/>
              </w:rPr>
            </w:pPr>
            <w:r>
              <w:rPr>
                <w:rFonts w:ascii="宋体" w:eastAsia="宋体" w:hAnsi="宋体" w:cs="宋体"/>
                <w:sz w:val="24"/>
              </w:rPr>
              <w:t>7</w:t>
            </w:r>
          </w:p>
        </w:tc>
        <w:tc>
          <w:tcPr>
            <w:tcW w:w="1587" w:type="dxa"/>
            <w:vAlign w:val="center"/>
          </w:tcPr>
          <w:p w14:paraId="151B3096">
            <w:pPr>
              <w:keepNext/>
              <w:widowControl/>
              <w:wordWrap w:val="0"/>
              <w:jc w:val="center"/>
              <w:rPr>
                <w:rFonts w:ascii="宋体" w:eastAsia="宋体" w:hAnsi="宋体" w:cs="宋体"/>
                <w:sz w:val="24"/>
              </w:rPr>
            </w:pPr>
            <w:r>
              <w:rPr>
                <w:rFonts w:ascii="宋体" w:eastAsia="宋体" w:hAnsi="宋体" w:cs="宋体"/>
                <w:sz w:val="24"/>
              </w:rPr>
              <w:t>4</w:t>
            </w:r>
          </w:p>
        </w:tc>
        <w:tc>
          <w:tcPr>
            <w:tcW w:w="1587" w:type="dxa"/>
            <w:vAlign w:val="center"/>
          </w:tcPr>
          <w:p w14:paraId="4F239679">
            <w:pPr>
              <w:keepNext/>
              <w:widowControl/>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235091B3">
            <w:pPr>
              <w:keepNext/>
              <w:widowControl/>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64F24F86">
            <w:pPr>
              <w:keepNext/>
              <w:widowControl/>
              <w:wordWrap w:val="0"/>
              <w:jc w:val="center"/>
              <w:rPr>
                <w:rFonts w:ascii="宋体" w:eastAsia="宋体" w:hAnsi="宋体" w:cs="宋体"/>
                <w:sz w:val="24"/>
              </w:rPr>
            </w:pPr>
            <w:r>
              <w:rPr>
                <w:rFonts w:ascii="宋体" w:eastAsia="宋体" w:hAnsi="宋体" w:cs="宋体"/>
                <w:sz w:val="24"/>
              </w:rPr>
              <w:t>3</w:t>
            </w:r>
          </w:p>
        </w:tc>
        <w:tc>
          <w:tcPr>
            <w:tcW w:w="1587" w:type="dxa"/>
            <w:vAlign w:val="center"/>
          </w:tcPr>
          <w:p w14:paraId="3EE1BD2B">
            <w:pPr>
              <w:keepNext/>
              <w:widowControl/>
              <w:wordWrap w:val="0"/>
              <w:jc w:val="center"/>
              <w:rPr>
                <w:rFonts w:ascii="宋体" w:eastAsia="宋体" w:hAnsi="宋体" w:cs="宋体"/>
                <w:sz w:val="24"/>
              </w:rPr>
            </w:pPr>
            <w:r>
              <w:rPr>
                <w:rFonts w:ascii="宋体" w:eastAsia="宋体" w:hAnsi="宋体" w:cs="宋体"/>
                <w:sz w:val="24"/>
              </w:rPr>
              <w:t>1</w:t>
            </w:r>
          </w:p>
        </w:tc>
        <w:tc>
          <w:tcPr>
            <w:tcW w:w="1587" w:type="dxa"/>
            <w:vAlign w:val="center"/>
          </w:tcPr>
          <w:p w14:paraId="7522ED44">
            <w:pPr>
              <w:keepNext/>
              <w:widowControl/>
              <w:wordWrap w:val="0"/>
              <w:jc w:val="center"/>
              <w:rPr>
                <w:rFonts w:ascii="宋体" w:eastAsia="宋体" w:hAnsi="宋体" w:cs="宋体"/>
                <w:sz w:val="24"/>
              </w:rPr>
            </w:pPr>
            <w:r>
              <w:rPr>
                <w:rFonts w:ascii="宋体" w:eastAsia="宋体" w:hAnsi="宋体" w:cs="宋体"/>
                <w:sz w:val="24"/>
              </w:rPr>
              <w:t>4</w:t>
            </w:r>
          </w:p>
        </w:tc>
        <w:tc>
          <w:tcPr>
            <w:tcW w:w="1587" w:type="dxa"/>
            <w:vAlign w:val="center"/>
          </w:tcPr>
          <w:p w14:paraId="57F530F4">
            <w:pPr>
              <w:keepNext/>
              <w:widowControl/>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7463E62A">
            <w:pPr>
              <w:keepNext/>
              <w:widowControl/>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3781DE2E">
            <w:pPr>
              <w:keepNext/>
              <w:widowControl/>
              <w:wordWrap w:val="0"/>
              <w:jc w:val="center"/>
              <w:rPr>
                <w:rFonts w:ascii="宋体" w:eastAsia="宋体" w:hAnsi="宋体" w:cs="宋体"/>
                <w:sz w:val="24"/>
              </w:rPr>
            </w:pPr>
            <w:r>
              <w:rPr>
                <w:rFonts w:ascii="宋体" w:eastAsia="宋体" w:hAnsi="宋体" w:cs="宋体"/>
                <w:sz w:val="24"/>
              </w:rPr>
              <w:t>3</w:t>
            </w:r>
          </w:p>
        </w:tc>
      </w:tr>
    </w:tbl>
    <w:p w14:paraId="78B8375F">
      <w:pPr>
        <w:wordWrap w:val="0"/>
        <w:rPr>
          <w:sz w:val="10"/>
          <w:szCs w:val="10"/>
        </w:rPr>
        <w:sectPr>
          <w:pgSz w:w="16838" w:h="11906" w:orient="landscape"/>
          <w:pgMar w:top="1418" w:right="1418" w:bottom="1418" w:left="1418" w:header="851" w:footer="851" w:gutter="0"/>
          <w:cols w:num="1" w:space="720"/>
          <w:docGrid w:linePitch="381" w:charSpace="0"/>
        </w:sectPr>
      </w:pPr>
    </w:p>
    <w:p w14:paraId="4E313B76">
      <w:pPr>
        <w:wordWrap w:val="0"/>
        <w:spacing w:line="20" w:lineRule="exact"/>
      </w:pPr>
    </w:p>
    <w:tbl>
      <w:tblPr>
        <w:tblStyle w:val="TableNormal"/>
        <w:tblW w:w="96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655"/>
      </w:tblGrid>
      <w:tr w14:paraId="2C7782B3">
        <w:tblPrEx>
          <w:tblW w:w="96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3032"/>
          <w:jc w:val="center"/>
        </w:trPr>
        <w:tc>
          <w:tcPr>
            <w:tcW w:w="9655" w:type="dxa"/>
          </w:tcPr>
          <w:p w14:paraId="51C2F2C3">
            <w:pPr>
              <w:wordWrap w:val="0"/>
              <w:jc w:val="center"/>
              <w:rPr>
                <w:b/>
              </w:rPr>
            </w:pPr>
            <w:r>
              <w:rPr>
                <w:rFonts w:hint="eastAsia"/>
                <w:b/>
              </w:rPr>
              <w:t>预算填写说明</w:t>
            </w:r>
          </w:p>
          <w:p w14:paraId="414286AF">
            <w:pPr>
              <w:wordWrap w:val="0"/>
              <w:spacing w:line="340" w:lineRule="exact"/>
              <w:ind w:firstLine="420" w:firstLineChars="200"/>
              <w:rPr>
                <w:b/>
                <w:bCs/>
                <w:sz w:val="21"/>
                <w:szCs w:val="21"/>
              </w:rPr>
            </w:pPr>
            <w:r>
              <w:rPr>
                <w:rFonts w:hint="eastAsia"/>
                <w:b/>
                <w:bCs/>
                <w:sz w:val="21"/>
                <w:szCs w:val="21"/>
              </w:rPr>
              <w:t>一、省级财政资金</w:t>
            </w:r>
          </w:p>
          <w:p w14:paraId="3035C649">
            <w:pPr>
              <w:wordWrap w:val="0"/>
              <w:spacing w:line="340" w:lineRule="exact"/>
              <w:ind w:firstLine="420" w:firstLineChars="200"/>
              <w:rPr>
                <w:rFonts w:cs="仿宋_GB2312"/>
                <w:sz w:val="21"/>
                <w:szCs w:val="21"/>
              </w:rPr>
            </w:pPr>
            <w:r>
              <w:rPr>
                <w:rFonts w:cs="仿宋_GB2312" w:hint="eastAsia"/>
                <w:sz w:val="21"/>
                <w:szCs w:val="21"/>
              </w:rPr>
              <w:t>预算的编制要坚持任务相关性、政策相符性和经济合理性，实事求是编制提出项目预算。填报时，直接费用应按设备费、业务费、劳务费三个类别填报。直接费用中除50万元以上的设备费外，其他费用只提供基本测算说明，不需要提供明细。</w:t>
            </w:r>
          </w:p>
          <w:p w14:paraId="1A04A8C7">
            <w:pPr>
              <w:wordWrap w:val="0"/>
              <w:spacing w:line="340" w:lineRule="exact"/>
              <w:ind w:firstLine="420" w:firstLineChars="200"/>
              <w:rPr>
                <w:rFonts w:cs="黑体"/>
                <w:sz w:val="21"/>
                <w:szCs w:val="21"/>
              </w:rPr>
            </w:pPr>
            <w:r>
              <w:rPr>
                <w:rFonts w:cs="黑体" w:hint="eastAsia"/>
                <w:sz w:val="21"/>
                <w:szCs w:val="21"/>
              </w:rPr>
              <w:t>（一）直接费用</w:t>
            </w:r>
          </w:p>
          <w:p w14:paraId="3FCB8DFE">
            <w:pPr>
              <w:wordWrap w:val="0"/>
              <w:spacing w:line="340" w:lineRule="exact"/>
              <w:ind w:firstLine="420" w:firstLineChars="200"/>
              <w:rPr>
                <w:rFonts w:cs="仿宋_GB2312"/>
                <w:sz w:val="21"/>
                <w:szCs w:val="21"/>
              </w:rPr>
            </w:pPr>
            <w:r>
              <w:rPr>
                <w:rFonts w:cs="仿宋_GB2312" w:hint="eastAsia"/>
                <w:sz w:val="21"/>
                <w:szCs w:val="21"/>
              </w:rPr>
              <w:t>指在项目实施过程中发生的与之直接相关的费用，具体包括：</w:t>
            </w:r>
          </w:p>
          <w:p w14:paraId="7F132FD9">
            <w:pPr>
              <w:wordWrap w:val="0"/>
              <w:spacing w:line="340" w:lineRule="exact"/>
              <w:ind w:firstLine="420" w:firstLineChars="200"/>
              <w:rPr>
                <w:rFonts w:cs="仿宋_GB2312"/>
                <w:sz w:val="21"/>
                <w:szCs w:val="21"/>
              </w:rPr>
            </w:pPr>
            <w:r>
              <w:rPr>
                <w:rFonts w:cs="仿宋_GB2312" w:hint="eastAsia"/>
                <w:sz w:val="21"/>
                <w:szCs w:val="21"/>
              </w:rPr>
              <w:t>1.设备费：指在项目实施过程中购置或试制专用仪器设备，对现有仪器设备进行升级改造，以及租赁外单位仪器设备而发生的费用。计算类仪器设备和软件工具可在设备费科目列支。应当严格控制设备购置，鼓励开放共享、自主研制、租赁专用仪器设备以及对现有仪器设备进行升级改造，避免重复购置。填报时，50万元以上的设备详细说明。</w:t>
            </w:r>
          </w:p>
          <w:p w14:paraId="1E1F8B39">
            <w:pPr>
              <w:wordWrap w:val="0"/>
              <w:spacing w:line="340" w:lineRule="exact"/>
              <w:ind w:firstLine="420" w:firstLineChars="200"/>
              <w:rPr>
                <w:rFonts w:cs="仿宋_GB2312"/>
                <w:sz w:val="21"/>
                <w:szCs w:val="21"/>
              </w:rPr>
            </w:pPr>
            <w:r>
              <w:rPr>
                <w:rFonts w:cs="仿宋_GB2312" w:hint="eastAsia"/>
                <w:sz w:val="21"/>
                <w:szCs w:val="21"/>
              </w:rPr>
              <w:t>2.业务费：指在项目实施过程中消耗的各种材料、辅助材料等低值易耗品的采购、运输、装卸、整理等费用，发生的测试化验加工、燃料动力、出版／文献／信息传播／知识产权事务、会议／差旅／国际合作交流等费用，以及其他相关支出。填报时，对单笔大额支出、对外委托支出重点说明。</w:t>
            </w:r>
          </w:p>
          <w:p w14:paraId="3B2CD90F">
            <w:pPr>
              <w:wordWrap w:val="0"/>
              <w:spacing w:line="340" w:lineRule="exact"/>
              <w:ind w:firstLine="420" w:firstLineChars="200"/>
              <w:rPr>
                <w:rFonts w:cs="仿宋_GB2312"/>
                <w:sz w:val="21"/>
                <w:szCs w:val="21"/>
              </w:rPr>
            </w:pPr>
            <w:r>
              <w:rPr>
                <w:rFonts w:cs="仿宋_GB2312" w:hint="eastAsia"/>
                <w:sz w:val="21"/>
                <w:szCs w:val="21"/>
              </w:rPr>
              <w:t>3.劳务费：指在项目实施过程中支付给参与项目研究的研究生、博士后、访问学者以及项目科研辅助人员等的劳务性费用，以及支付给临时聘请的咨询专家的费用等。</w:t>
            </w:r>
          </w:p>
          <w:p w14:paraId="428FD5A3">
            <w:pPr>
              <w:wordWrap w:val="0"/>
              <w:spacing w:line="340" w:lineRule="exact"/>
              <w:ind w:firstLine="420" w:firstLineChars="200"/>
              <w:rPr>
                <w:rFonts w:cs="仿宋_GB2312"/>
                <w:sz w:val="21"/>
                <w:szCs w:val="21"/>
              </w:rPr>
            </w:pPr>
            <w:r>
              <w:rPr>
                <w:rFonts w:cs="仿宋_GB2312" w:hint="eastAsia"/>
                <w:sz w:val="21"/>
                <w:szCs w:val="21"/>
              </w:rPr>
              <w:t>项目聘用人员的劳务费开支标准，参照当地科学研究和技术服务业从业人员平均工资水平，根据其在项目研究中承担的工作任务确定，其由单位缴纳的社会保险补助、住房公积金等“五险一金”纳入劳务费科目开支。</w:t>
            </w:r>
          </w:p>
          <w:p w14:paraId="2303A91B">
            <w:pPr>
              <w:wordWrap w:val="0"/>
              <w:spacing w:line="340" w:lineRule="exact"/>
              <w:ind w:firstLine="420" w:firstLineChars="200"/>
              <w:rPr>
                <w:rFonts w:cs="仿宋_GB2312"/>
                <w:sz w:val="21"/>
                <w:szCs w:val="21"/>
              </w:rPr>
            </w:pPr>
            <w:r>
              <w:rPr>
                <w:rFonts w:cs="仿宋_GB2312" w:hint="eastAsia"/>
                <w:sz w:val="21"/>
                <w:szCs w:val="21"/>
              </w:rPr>
              <w:t>专家咨询费不得支付给参与项目及其项目管理相关的工作人员。专家咨询费标准参照《中央财政科研项目专家咨询费管理办法》（财科教〔2017〕128号）规定，由项目申报单位结合实际自行确定。</w:t>
            </w:r>
          </w:p>
          <w:p w14:paraId="5E7B30F2">
            <w:pPr>
              <w:wordWrap w:val="0"/>
              <w:spacing w:line="340" w:lineRule="exact"/>
              <w:ind w:firstLine="420" w:firstLineChars="200"/>
              <w:rPr>
                <w:rFonts w:cs="黑体"/>
                <w:sz w:val="21"/>
                <w:szCs w:val="21"/>
              </w:rPr>
            </w:pPr>
            <w:r>
              <w:rPr>
                <w:rFonts w:cs="黑体" w:hint="eastAsia"/>
                <w:sz w:val="21"/>
                <w:szCs w:val="21"/>
              </w:rPr>
              <w:t>（二）间接费用</w:t>
            </w:r>
          </w:p>
          <w:p w14:paraId="3711A056">
            <w:pPr>
              <w:wordWrap w:val="0"/>
              <w:autoSpaceDE w:val="0"/>
              <w:autoSpaceDN w:val="0"/>
              <w:spacing w:line="340" w:lineRule="exact"/>
              <w:ind w:firstLine="403" w:firstLineChars="192"/>
              <w:rPr>
                <w:sz w:val="21"/>
                <w:szCs w:val="21"/>
              </w:rPr>
            </w:pPr>
            <w:r>
              <w:rPr>
                <w:rFonts w:hint="eastAsia"/>
                <w:sz w:val="21"/>
                <w:szCs w:val="21"/>
              </w:rPr>
              <w:t>指项目申报单位和项目合作单位在组织实施项目过程中发生的无法在直接费用中列支的相关费用。主要包括：项目申报单位为项目研究提供的房屋占用，日常水、电、气、暖消耗，有关管理费用的补助支出，以及激励科研人员的绩效支出等。</w:t>
            </w:r>
          </w:p>
          <w:p w14:paraId="3A40D6B7">
            <w:pPr>
              <w:wordWrap w:val="0"/>
              <w:autoSpaceDE w:val="0"/>
              <w:autoSpaceDN w:val="0"/>
              <w:spacing w:line="340" w:lineRule="exact"/>
              <w:ind w:firstLine="403" w:firstLineChars="192"/>
              <w:rPr>
                <w:sz w:val="21"/>
                <w:szCs w:val="21"/>
              </w:rPr>
            </w:pPr>
            <w:r>
              <w:rPr>
                <w:rFonts w:hint="eastAsia"/>
                <w:sz w:val="21"/>
                <w:szCs w:val="21"/>
              </w:rPr>
              <w:t>间接费用实行总额控制，项目申报单位申请的间接费用总额按照不超过直接费用扣除设备购置费的一定比例核定，其中：100万元以下的部分为30%，100万元至300万元的部分为25%；300万元以上的部分为20%；数学等纯理论基础研究项目间接费用比例可提高到不超过60%。</w:t>
            </w:r>
          </w:p>
          <w:p w14:paraId="6479EB4B">
            <w:pPr>
              <w:wordWrap w:val="0"/>
              <w:autoSpaceDE w:val="0"/>
              <w:autoSpaceDN w:val="0"/>
              <w:spacing w:line="340" w:lineRule="exact"/>
              <w:ind w:firstLine="403" w:firstLineChars="192"/>
              <w:rPr>
                <w:sz w:val="21"/>
                <w:szCs w:val="21"/>
              </w:rPr>
            </w:pPr>
            <w:r>
              <w:rPr>
                <w:rFonts w:hint="eastAsia"/>
                <w:sz w:val="21"/>
                <w:szCs w:val="21"/>
              </w:rPr>
              <w:t>间接费用由项目承担单位统筹安排使用，可全部用于绩效支出，并向创新绩效突出的团队、个人和青年人才倾斜。</w:t>
            </w:r>
          </w:p>
          <w:p w14:paraId="34447AA8">
            <w:pPr>
              <w:wordWrap w:val="0"/>
              <w:autoSpaceDE w:val="0"/>
              <w:autoSpaceDN w:val="0"/>
              <w:spacing w:line="340" w:lineRule="exact"/>
              <w:ind w:firstLine="403" w:firstLineChars="192"/>
              <w:rPr>
                <w:sz w:val="21"/>
                <w:szCs w:val="21"/>
              </w:rPr>
            </w:pPr>
            <w:r>
              <w:rPr>
                <w:rFonts w:hint="eastAsia"/>
                <w:b/>
                <w:bCs/>
                <w:sz w:val="21"/>
                <w:szCs w:val="21"/>
              </w:rPr>
              <w:t>二、自筹资金与配套资金</w:t>
            </w:r>
          </w:p>
          <w:p w14:paraId="35F8FFBB">
            <w:pPr>
              <w:wordWrap w:val="0"/>
              <w:autoSpaceDE w:val="0"/>
              <w:autoSpaceDN w:val="0"/>
              <w:spacing w:line="340" w:lineRule="exact"/>
              <w:ind w:firstLine="403" w:firstLineChars="192"/>
            </w:pPr>
            <w:r>
              <w:rPr>
                <w:rFonts w:hint="eastAsia"/>
                <w:sz w:val="21"/>
                <w:szCs w:val="21"/>
              </w:rPr>
              <w:t>对自筹资金与配套资金主要用途、支出预算做简要说明。</w:t>
            </w:r>
          </w:p>
        </w:tc>
      </w:tr>
    </w:tbl>
    <w:p w14:paraId="7FDDD7BA">
      <w:pPr>
        <w:widowControl/>
        <w:wordWrap w:val="0"/>
        <w:jc w:val="left"/>
        <w:rPr>
          <w:sz w:val="10"/>
          <w:szCs w:val="10"/>
        </w:rPr>
      </w:pPr>
      <w:r>
        <w:rPr>
          <w:sz w:val="10"/>
          <w:szCs w:val="10"/>
        </w:rPr>
        <w:br w:type="page"/>
      </w:r>
    </w:p>
    <w:p w14:paraId="7CA9FE71">
      <w:pPr>
        <w:wordWrap w:val="0"/>
        <w:jc w:val="center"/>
        <w:rPr>
          <w:b/>
          <w:szCs w:val="36"/>
        </w:rPr>
      </w:pPr>
      <w:r>
        <w:rPr>
          <w:rFonts w:hint="eastAsia"/>
          <w:b/>
          <w:szCs w:val="36"/>
        </w:rPr>
        <w:t>项目预算表</w:t>
      </w:r>
    </w:p>
    <w:p w14:paraId="20932944">
      <w:pPr>
        <w:wordWrap w:val="0"/>
        <w:spacing w:line="360" w:lineRule="auto"/>
        <w:ind w:right="567"/>
        <w:outlineLvl w:val="0"/>
        <w:rPr>
          <w:sz w:val="24"/>
        </w:rPr>
      </w:pPr>
      <w:r>
        <w:rPr>
          <w:rFonts w:hint="eastAsia"/>
        </w:rPr>
        <w:t xml:space="preserve">                                             </w:t>
      </w:r>
      <w:r>
        <w:rPr>
          <w:rFonts w:hint="eastAsia"/>
          <w:sz w:val="24"/>
        </w:rPr>
        <w:t>单位：万元</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722"/>
        <w:gridCol w:w="3852"/>
        <w:gridCol w:w="3890"/>
      </w:tblGrid>
      <w:tr w14:paraId="3255A4E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907"/>
          <w:jc w:val="center"/>
        </w:trPr>
        <w:tc>
          <w:tcPr>
            <w:tcW w:w="1722" w:type="dxa"/>
            <w:vAlign w:val="center"/>
          </w:tcPr>
          <w:p w14:paraId="48A2E50D">
            <w:pPr>
              <w:wordWrap w:val="0"/>
              <w:jc w:val="center"/>
              <w:outlineLvl w:val="0"/>
              <w:rPr>
                <w:b/>
                <w:sz w:val="24"/>
              </w:rPr>
            </w:pPr>
            <w:r>
              <w:rPr>
                <w:rFonts w:hint="eastAsia"/>
                <w:b/>
                <w:sz w:val="24"/>
              </w:rPr>
              <w:t>序号</w:t>
            </w:r>
          </w:p>
        </w:tc>
        <w:tc>
          <w:tcPr>
            <w:tcW w:w="3852" w:type="dxa"/>
            <w:vAlign w:val="center"/>
          </w:tcPr>
          <w:p w14:paraId="2C3A0B46">
            <w:pPr>
              <w:wordWrap w:val="0"/>
              <w:jc w:val="center"/>
              <w:outlineLvl w:val="0"/>
              <w:rPr>
                <w:b/>
                <w:sz w:val="24"/>
              </w:rPr>
            </w:pPr>
            <w:r>
              <w:rPr>
                <w:rFonts w:hint="eastAsia"/>
                <w:b/>
                <w:sz w:val="24"/>
              </w:rPr>
              <w:t>预算科目名称</w:t>
            </w:r>
          </w:p>
        </w:tc>
        <w:tc>
          <w:tcPr>
            <w:tcW w:w="3890" w:type="dxa"/>
            <w:vAlign w:val="center"/>
          </w:tcPr>
          <w:p w14:paraId="49CF5751">
            <w:pPr>
              <w:wordWrap w:val="0"/>
              <w:jc w:val="center"/>
              <w:outlineLvl w:val="0"/>
              <w:rPr>
                <w:b/>
                <w:sz w:val="24"/>
              </w:rPr>
            </w:pPr>
            <w:r>
              <w:rPr>
                <w:rFonts w:hint="eastAsia"/>
                <w:b/>
                <w:sz w:val="24"/>
              </w:rPr>
              <w:t>金额</w:t>
            </w:r>
          </w:p>
        </w:tc>
      </w:tr>
      <w:tr w14:paraId="13272794">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1AA50486">
            <w:pPr>
              <w:wordWrap w:val="0"/>
              <w:jc w:val="center"/>
              <w:outlineLvl w:val="0"/>
              <w:rPr>
                <w:sz w:val="24"/>
              </w:rPr>
            </w:pPr>
            <w:r>
              <w:rPr>
                <w:rFonts w:hint="eastAsia"/>
                <w:sz w:val="24"/>
              </w:rPr>
              <w:t>1</w:t>
            </w:r>
          </w:p>
        </w:tc>
        <w:tc>
          <w:tcPr>
            <w:tcW w:w="3852" w:type="dxa"/>
            <w:vAlign w:val="center"/>
          </w:tcPr>
          <w:p w14:paraId="47AB35C9">
            <w:pPr>
              <w:wordWrap w:val="0"/>
              <w:outlineLvl w:val="0"/>
              <w:rPr>
                <w:sz w:val="24"/>
              </w:rPr>
            </w:pPr>
            <w:r>
              <w:rPr>
                <w:rFonts w:hint="eastAsia"/>
                <w:b/>
                <w:bCs/>
                <w:sz w:val="24"/>
              </w:rPr>
              <w:t>一、省级财政资金</w:t>
            </w:r>
          </w:p>
        </w:tc>
        <w:tc>
          <w:tcPr>
            <w:tcW w:w="3890" w:type="dxa"/>
            <w:vAlign w:val="center"/>
          </w:tcPr>
          <w:p w14:paraId="0E3B4733">
            <w:pPr>
              <w:wordWrap w:val="0"/>
              <w:jc w:val="center"/>
              <w:outlineLvl w:val="0"/>
              <w:rPr>
                <w:rFonts w:ascii="宋体" w:eastAsia="宋体" w:hAnsi="宋体" w:cs="宋体"/>
                <w:sz w:val="24"/>
              </w:rPr>
            </w:pPr>
            <w:r>
              <w:rPr>
                <w:rFonts w:ascii="宋体" w:eastAsia="宋体" w:hAnsi="宋体" w:cs="宋体"/>
                <w:sz w:val="24"/>
              </w:rPr>
              <w:t>6.00</w:t>
            </w:r>
          </w:p>
        </w:tc>
      </w:tr>
      <w:tr w14:paraId="0F509B07">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60260725">
            <w:pPr>
              <w:wordWrap w:val="0"/>
              <w:jc w:val="center"/>
              <w:outlineLvl w:val="0"/>
              <w:rPr>
                <w:sz w:val="24"/>
              </w:rPr>
            </w:pPr>
            <w:r>
              <w:rPr>
                <w:rFonts w:hint="eastAsia"/>
                <w:sz w:val="24"/>
              </w:rPr>
              <w:t>2</w:t>
            </w:r>
          </w:p>
        </w:tc>
        <w:tc>
          <w:tcPr>
            <w:tcW w:w="3852" w:type="dxa"/>
            <w:vAlign w:val="center"/>
          </w:tcPr>
          <w:p w14:paraId="2DED00FE">
            <w:pPr>
              <w:wordWrap w:val="0"/>
              <w:outlineLvl w:val="0"/>
              <w:rPr>
                <w:sz w:val="24"/>
              </w:rPr>
            </w:pPr>
            <w:r>
              <w:rPr>
                <w:rFonts w:hint="eastAsia"/>
                <w:sz w:val="24"/>
              </w:rPr>
              <w:t>（一）直接费用</w:t>
            </w:r>
          </w:p>
        </w:tc>
        <w:tc>
          <w:tcPr>
            <w:tcW w:w="3890" w:type="dxa"/>
            <w:vAlign w:val="center"/>
          </w:tcPr>
          <w:p w14:paraId="784BCEFC">
            <w:pPr>
              <w:wordWrap w:val="0"/>
              <w:jc w:val="center"/>
              <w:outlineLvl w:val="0"/>
              <w:rPr>
                <w:rFonts w:ascii="宋体" w:eastAsia="宋体" w:hAnsi="宋体" w:cs="宋体"/>
                <w:sz w:val="24"/>
              </w:rPr>
            </w:pPr>
            <w:r>
              <w:rPr>
                <w:rFonts w:ascii="宋体" w:eastAsia="宋体" w:hAnsi="宋体" w:cs="宋体"/>
                <w:sz w:val="24"/>
              </w:rPr>
              <w:t>5.40</w:t>
            </w:r>
          </w:p>
        </w:tc>
      </w:tr>
      <w:tr w14:paraId="17AC61B9">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22580A3A">
            <w:pPr>
              <w:wordWrap w:val="0"/>
              <w:jc w:val="center"/>
              <w:outlineLvl w:val="0"/>
              <w:rPr>
                <w:sz w:val="24"/>
              </w:rPr>
            </w:pPr>
            <w:r>
              <w:rPr>
                <w:rFonts w:hint="eastAsia"/>
                <w:sz w:val="24"/>
              </w:rPr>
              <w:t>3</w:t>
            </w:r>
          </w:p>
        </w:tc>
        <w:tc>
          <w:tcPr>
            <w:tcW w:w="3852" w:type="dxa"/>
            <w:vAlign w:val="center"/>
          </w:tcPr>
          <w:p w14:paraId="268D0CC4">
            <w:pPr>
              <w:wordWrap w:val="0"/>
              <w:outlineLvl w:val="0"/>
              <w:rPr>
                <w:sz w:val="24"/>
              </w:rPr>
            </w:pPr>
            <w:r>
              <w:rPr>
                <w:rFonts w:hint="eastAsia"/>
                <w:sz w:val="24"/>
              </w:rPr>
              <w:t>1.设备费</w:t>
            </w:r>
          </w:p>
        </w:tc>
        <w:tc>
          <w:tcPr>
            <w:tcW w:w="3890" w:type="dxa"/>
            <w:vAlign w:val="center"/>
          </w:tcPr>
          <w:p w14:paraId="0C2F8FCD">
            <w:pPr>
              <w:wordWrap w:val="0"/>
              <w:jc w:val="center"/>
              <w:outlineLvl w:val="0"/>
              <w:rPr>
                <w:rFonts w:ascii="宋体" w:eastAsia="宋体" w:hAnsi="宋体" w:cs="宋体"/>
                <w:sz w:val="24"/>
              </w:rPr>
            </w:pPr>
            <w:r>
              <w:rPr>
                <w:rFonts w:ascii="宋体" w:eastAsia="宋体" w:hAnsi="宋体" w:cs="宋体"/>
                <w:sz w:val="24"/>
              </w:rPr>
              <w:t>0.00</w:t>
            </w:r>
          </w:p>
        </w:tc>
      </w:tr>
      <w:tr w14:paraId="6360B8BC">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4B2DBD2A">
            <w:pPr>
              <w:wordWrap w:val="0"/>
              <w:jc w:val="center"/>
              <w:outlineLvl w:val="0"/>
              <w:rPr>
                <w:sz w:val="24"/>
              </w:rPr>
            </w:pPr>
            <w:r>
              <w:rPr>
                <w:rFonts w:hint="eastAsia"/>
                <w:sz w:val="24"/>
              </w:rPr>
              <w:t>4</w:t>
            </w:r>
          </w:p>
        </w:tc>
        <w:tc>
          <w:tcPr>
            <w:tcW w:w="3852" w:type="dxa"/>
            <w:vAlign w:val="center"/>
          </w:tcPr>
          <w:p w14:paraId="34BECE9F">
            <w:pPr>
              <w:wordWrap w:val="0"/>
              <w:outlineLvl w:val="0"/>
              <w:rPr>
                <w:sz w:val="24"/>
              </w:rPr>
            </w:pPr>
            <w:r>
              <w:rPr>
                <w:rFonts w:hint="eastAsia"/>
                <w:sz w:val="24"/>
              </w:rPr>
              <w:t>其中：购置设备费</w:t>
            </w:r>
          </w:p>
        </w:tc>
        <w:tc>
          <w:tcPr>
            <w:tcW w:w="3890" w:type="dxa"/>
            <w:vAlign w:val="center"/>
          </w:tcPr>
          <w:p w14:paraId="170985DA">
            <w:pPr>
              <w:wordWrap w:val="0"/>
              <w:jc w:val="center"/>
              <w:outlineLvl w:val="0"/>
              <w:rPr>
                <w:rFonts w:ascii="宋体" w:eastAsia="宋体" w:hAnsi="宋体" w:cs="宋体"/>
                <w:sz w:val="24"/>
              </w:rPr>
            </w:pPr>
            <w:r>
              <w:rPr>
                <w:rFonts w:ascii="宋体" w:eastAsia="宋体" w:hAnsi="宋体" w:cs="宋体"/>
                <w:sz w:val="24"/>
              </w:rPr>
              <w:t>0.00</w:t>
            </w:r>
          </w:p>
        </w:tc>
      </w:tr>
      <w:tr w14:paraId="3677B9C5">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109BFB83">
            <w:pPr>
              <w:wordWrap w:val="0"/>
              <w:jc w:val="center"/>
              <w:outlineLvl w:val="0"/>
              <w:rPr>
                <w:sz w:val="24"/>
              </w:rPr>
            </w:pPr>
            <w:r>
              <w:rPr>
                <w:rFonts w:hint="eastAsia"/>
                <w:sz w:val="24"/>
              </w:rPr>
              <w:t>5</w:t>
            </w:r>
          </w:p>
        </w:tc>
        <w:tc>
          <w:tcPr>
            <w:tcW w:w="3852" w:type="dxa"/>
            <w:vAlign w:val="center"/>
          </w:tcPr>
          <w:p w14:paraId="4B0C83B1">
            <w:pPr>
              <w:wordWrap w:val="0"/>
              <w:outlineLvl w:val="0"/>
              <w:rPr>
                <w:sz w:val="24"/>
              </w:rPr>
            </w:pPr>
            <w:r>
              <w:rPr>
                <w:rFonts w:hint="eastAsia"/>
                <w:sz w:val="24"/>
              </w:rPr>
              <w:t>2.业务费</w:t>
            </w:r>
          </w:p>
        </w:tc>
        <w:tc>
          <w:tcPr>
            <w:tcW w:w="3890" w:type="dxa"/>
            <w:vAlign w:val="center"/>
          </w:tcPr>
          <w:p w14:paraId="3A24F27F">
            <w:pPr>
              <w:wordWrap w:val="0"/>
              <w:jc w:val="center"/>
              <w:outlineLvl w:val="0"/>
              <w:rPr>
                <w:rFonts w:ascii="宋体" w:eastAsia="宋体" w:hAnsi="宋体" w:cs="宋体"/>
                <w:sz w:val="24"/>
              </w:rPr>
            </w:pPr>
            <w:r>
              <w:rPr>
                <w:rFonts w:ascii="宋体" w:eastAsia="宋体" w:hAnsi="宋体" w:cs="宋体"/>
                <w:sz w:val="24"/>
              </w:rPr>
              <w:t>4.80</w:t>
            </w:r>
          </w:p>
        </w:tc>
      </w:tr>
      <w:tr w14:paraId="6CC6FD35">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2A1E86EC">
            <w:pPr>
              <w:wordWrap w:val="0"/>
              <w:jc w:val="center"/>
              <w:outlineLvl w:val="0"/>
              <w:rPr>
                <w:sz w:val="24"/>
              </w:rPr>
            </w:pPr>
            <w:r>
              <w:rPr>
                <w:rFonts w:hint="eastAsia"/>
                <w:sz w:val="24"/>
              </w:rPr>
              <w:t>6</w:t>
            </w:r>
          </w:p>
        </w:tc>
        <w:tc>
          <w:tcPr>
            <w:tcW w:w="3852" w:type="dxa"/>
            <w:vAlign w:val="center"/>
          </w:tcPr>
          <w:p w14:paraId="702AC2BB">
            <w:pPr>
              <w:wordWrap w:val="0"/>
              <w:outlineLvl w:val="0"/>
              <w:rPr>
                <w:sz w:val="24"/>
              </w:rPr>
            </w:pPr>
            <w:r>
              <w:rPr>
                <w:rFonts w:hint="eastAsia"/>
                <w:sz w:val="24"/>
              </w:rPr>
              <w:t>3.劳务费</w:t>
            </w:r>
          </w:p>
        </w:tc>
        <w:tc>
          <w:tcPr>
            <w:tcW w:w="3890" w:type="dxa"/>
            <w:vAlign w:val="center"/>
          </w:tcPr>
          <w:p w14:paraId="337D6636">
            <w:pPr>
              <w:wordWrap w:val="0"/>
              <w:jc w:val="center"/>
              <w:outlineLvl w:val="0"/>
              <w:rPr>
                <w:rFonts w:ascii="宋体" w:eastAsia="宋体" w:hAnsi="宋体" w:cs="宋体"/>
                <w:sz w:val="24"/>
              </w:rPr>
            </w:pPr>
            <w:r>
              <w:rPr>
                <w:rFonts w:ascii="宋体" w:eastAsia="宋体" w:hAnsi="宋体" w:cs="宋体"/>
                <w:sz w:val="24"/>
              </w:rPr>
              <w:t>0.60</w:t>
            </w:r>
          </w:p>
        </w:tc>
      </w:tr>
      <w:tr w14:paraId="59D9B325">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28ECC10F">
            <w:pPr>
              <w:wordWrap w:val="0"/>
              <w:jc w:val="center"/>
              <w:outlineLvl w:val="0"/>
              <w:rPr>
                <w:sz w:val="24"/>
              </w:rPr>
            </w:pPr>
            <w:r>
              <w:rPr>
                <w:rFonts w:hint="eastAsia"/>
                <w:sz w:val="24"/>
              </w:rPr>
              <w:t>7</w:t>
            </w:r>
          </w:p>
        </w:tc>
        <w:tc>
          <w:tcPr>
            <w:tcW w:w="3852" w:type="dxa"/>
            <w:vAlign w:val="center"/>
          </w:tcPr>
          <w:p w14:paraId="1DB71805">
            <w:pPr>
              <w:wordWrap w:val="0"/>
              <w:outlineLvl w:val="0"/>
              <w:rPr>
                <w:sz w:val="24"/>
              </w:rPr>
            </w:pPr>
            <w:r>
              <w:rPr>
                <w:rFonts w:hint="eastAsia"/>
                <w:sz w:val="24"/>
              </w:rPr>
              <w:t>（二）间接费用</w:t>
            </w:r>
          </w:p>
        </w:tc>
        <w:tc>
          <w:tcPr>
            <w:tcW w:w="3890" w:type="dxa"/>
            <w:vAlign w:val="center"/>
          </w:tcPr>
          <w:p w14:paraId="14213ACE">
            <w:pPr>
              <w:wordWrap w:val="0"/>
              <w:jc w:val="center"/>
              <w:outlineLvl w:val="0"/>
              <w:rPr>
                <w:rFonts w:ascii="宋体" w:eastAsia="宋体" w:hAnsi="宋体" w:cs="宋体"/>
                <w:sz w:val="24"/>
              </w:rPr>
            </w:pPr>
            <w:r>
              <w:rPr>
                <w:rFonts w:ascii="宋体" w:eastAsia="宋体" w:hAnsi="宋体" w:cs="宋体"/>
                <w:sz w:val="24"/>
              </w:rPr>
              <w:t>0.60</w:t>
            </w:r>
          </w:p>
        </w:tc>
      </w:tr>
      <w:tr w14:paraId="5E863712">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0FBA8922">
            <w:pPr>
              <w:wordWrap w:val="0"/>
              <w:jc w:val="center"/>
              <w:outlineLvl w:val="0"/>
              <w:rPr>
                <w:sz w:val="24"/>
              </w:rPr>
            </w:pPr>
            <w:r>
              <w:rPr>
                <w:rFonts w:hint="eastAsia"/>
                <w:sz w:val="24"/>
              </w:rPr>
              <w:t>8</w:t>
            </w:r>
          </w:p>
        </w:tc>
        <w:tc>
          <w:tcPr>
            <w:tcW w:w="3852" w:type="dxa"/>
            <w:vAlign w:val="center"/>
          </w:tcPr>
          <w:p w14:paraId="022B860B">
            <w:pPr>
              <w:wordWrap w:val="0"/>
              <w:outlineLvl w:val="0"/>
              <w:rPr>
                <w:sz w:val="24"/>
              </w:rPr>
            </w:pPr>
            <w:r>
              <w:rPr>
                <w:rFonts w:hint="eastAsia"/>
                <w:color w:val="000000"/>
                <w:sz w:val="24"/>
              </w:rPr>
              <w:t>其中：绩效支出</w:t>
            </w:r>
          </w:p>
        </w:tc>
        <w:tc>
          <w:tcPr>
            <w:tcW w:w="3890" w:type="dxa"/>
            <w:vAlign w:val="center"/>
          </w:tcPr>
          <w:p w14:paraId="5AC1F94F">
            <w:pPr>
              <w:wordWrap w:val="0"/>
              <w:jc w:val="center"/>
              <w:outlineLvl w:val="0"/>
              <w:rPr>
                <w:rFonts w:ascii="宋体" w:eastAsia="宋体" w:hAnsi="宋体" w:cs="宋体"/>
                <w:sz w:val="24"/>
              </w:rPr>
            </w:pPr>
            <w:r>
              <w:rPr>
                <w:rFonts w:ascii="宋体" w:eastAsia="宋体" w:hAnsi="宋体" w:cs="宋体"/>
                <w:sz w:val="24"/>
              </w:rPr>
              <w:t>0.50</w:t>
            </w:r>
          </w:p>
        </w:tc>
      </w:tr>
      <w:tr w14:paraId="2EBC84F5">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5DFBA98B">
            <w:pPr>
              <w:wordWrap w:val="0"/>
              <w:jc w:val="center"/>
              <w:outlineLvl w:val="0"/>
              <w:rPr>
                <w:sz w:val="24"/>
              </w:rPr>
            </w:pPr>
            <w:r>
              <w:rPr>
                <w:rFonts w:hint="eastAsia"/>
                <w:sz w:val="24"/>
              </w:rPr>
              <w:t>9</w:t>
            </w:r>
          </w:p>
        </w:tc>
        <w:tc>
          <w:tcPr>
            <w:tcW w:w="3852" w:type="dxa"/>
            <w:vAlign w:val="center"/>
          </w:tcPr>
          <w:p w14:paraId="1AA42AF1">
            <w:pPr>
              <w:wordWrap w:val="0"/>
              <w:outlineLvl w:val="0"/>
              <w:rPr>
                <w:color w:val="000000"/>
                <w:sz w:val="24"/>
              </w:rPr>
            </w:pPr>
            <w:r>
              <w:rPr>
                <w:rFonts w:hint="eastAsia"/>
                <w:b/>
                <w:bCs/>
                <w:sz w:val="24"/>
              </w:rPr>
              <w:t>二、自筹资金</w:t>
            </w:r>
          </w:p>
        </w:tc>
        <w:tc>
          <w:tcPr>
            <w:tcW w:w="3890" w:type="dxa"/>
            <w:vAlign w:val="center"/>
          </w:tcPr>
          <w:p w14:paraId="2710132E">
            <w:pPr>
              <w:wordWrap w:val="0"/>
              <w:jc w:val="center"/>
              <w:outlineLvl w:val="0"/>
              <w:rPr>
                <w:rFonts w:ascii="宋体" w:eastAsia="宋体" w:hAnsi="宋体" w:cs="宋体"/>
                <w:sz w:val="24"/>
              </w:rPr>
            </w:pPr>
            <w:r>
              <w:rPr>
                <w:rFonts w:ascii="宋体" w:eastAsia="宋体" w:hAnsi="宋体" w:cs="宋体"/>
                <w:sz w:val="24"/>
              </w:rPr>
              <w:t>0.00</w:t>
            </w:r>
          </w:p>
        </w:tc>
      </w:tr>
      <w:tr w14:paraId="1BC53C4D">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11457C28">
            <w:pPr>
              <w:wordWrap w:val="0"/>
              <w:jc w:val="center"/>
              <w:outlineLvl w:val="0"/>
              <w:rPr>
                <w:sz w:val="24"/>
              </w:rPr>
            </w:pPr>
            <w:r>
              <w:rPr>
                <w:rFonts w:hint="eastAsia"/>
                <w:sz w:val="24"/>
              </w:rPr>
              <w:t>1</w:t>
            </w:r>
            <w:r>
              <w:rPr>
                <w:sz w:val="24"/>
              </w:rPr>
              <w:t>0</w:t>
            </w:r>
          </w:p>
        </w:tc>
        <w:tc>
          <w:tcPr>
            <w:tcW w:w="3852" w:type="dxa"/>
            <w:vAlign w:val="center"/>
          </w:tcPr>
          <w:p w14:paraId="31B8B325">
            <w:pPr>
              <w:wordWrap w:val="0"/>
              <w:outlineLvl w:val="0"/>
              <w:rPr>
                <w:b/>
                <w:bCs/>
                <w:sz w:val="24"/>
              </w:rPr>
            </w:pPr>
            <w:r>
              <w:rPr>
                <w:rFonts w:hint="eastAsia"/>
                <w:b/>
                <w:bCs/>
                <w:sz w:val="24"/>
              </w:rPr>
              <w:t>三、配套资金</w:t>
            </w:r>
          </w:p>
        </w:tc>
        <w:tc>
          <w:tcPr>
            <w:tcW w:w="3890" w:type="dxa"/>
            <w:vAlign w:val="center"/>
          </w:tcPr>
          <w:p w14:paraId="15BD5727">
            <w:pPr>
              <w:wordWrap w:val="0"/>
              <w:jc w:val="center"/>
              <w:outlineLvl w:val="0"/>
              <w:rPr>
                <w:rFonts w:ascii="宋体" w:eastAsia="宋体" w:hAnsi="宋体" w:cs="宋体"/>
                <w:sz w:val="24"/>
              </w:rPr>
            </w:pPr>
            <w:r>
              <w:rPr>
                <w:rFonts w:ascii="宋体" w:eastAsia="宋体" w:hAnsi="宋体" w:cs="宋体"/>
                <w:sz w:val="24"/>
              </w:rPr>
              <w:t>0.00</w:t>
            </w:r>
          </w:p>
        </w:tc>
      </w:tr>
      <w:tr w14:paraId="398E1FC9">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78A7143C">
            <w:pPr>
              <w:wordWrap w:val="0"/>
              <w:jc w:val="center"/>
              <w:outlineLvl w:val="0"/>
              <w:rPr>
                <w:sz w:val="24"/>
              </w:rPr>
            </w:pPr>
            <w:r>
              <w:rPr>
                <w:rFonts w:hint="eastAsia"/>
                <w:sz w:val="24"/>
              </w:rPr>
              <w:t>1</w:t>
            </w:r>
            <w:r>
              <w:rPr>
                <w:sz w:val="24"/>
              </w:rPr>
              <w:t>1</w:t>
            </w:r>
          </w:p>
        </w:tc>
        <w:tc>
          <w:tcPr>
            <w:tcW w:w="3852" w:type="dxa"/>
            <w:vAlign w:val="center"/>
          </w:tcPr>
          <w:p w14:paraId="3CC03FD4">
            <w:pPr>
              <w:wordWrap w:val="0"/>
              <w:jc w:val="center"/>
              <w:outlineLvl w:val="0"/>
              <w:rPr>
                <w:b/>
                <w:bCs/>
                <w:sz w:val="24"/>
              </w:rPr>
            </w:pPr>
            <w:r>
              <w:rPr>
                <w:rFonts w:hint="eastAsia"/>
                <w:b/>
                <w:bCs/>
                <w:sz w:val="24"/>
              </w:rPr>
              <w:t>合 计</w:t>
            </w:r>
          </w:p>
        </w:tc>
        <w:tc>
          <w:tcPr>
            <w:tcW w:w="3890" w:type="dxa"/>
            <w:vAlign w:val="center"/>
          </w:tcPr>
          <w:p w14:paraId="365D6F93">
            <w:pPr>
              <w:wordWrap w:val="0"/>
              <w:jc w:val="center"/>
              <w:outlineLvl w:val="0"/>
              <w:rPr>
                <w:rFonts w:ascii="宋体" w:eastAsia="宋体" w:hAnsi="宋体" w:cs="宋体"/>
                <w:sz w:val="24"/>
              </w:rPr>
            </w:pPr>
            <w:r>
              <w:rPr>
                <w:rFonts w:ascii="宋体" w:eastAsia="宋体" w:hAnsi="宋体" w:cs="宋体"/>
                <w:sz w:val="24"/>
              </w:rPr>
              <w:t>6.00</w:t>
            </w:r>
          </w:p>
        </w:tc>
      </w:tr>
    </w:tbl>
    <w:p w14:paraId="1C664381">
      <w:pPr>
        <w:wordWrap w:val="0"/>
        <w:spacing w:line="360" w:lineRule="auto"/>
        <w:ind w:right="567"/>
        <w:outlineLvl w:val="0"/>
        <w:rPr>
          <w:sz w:val="24"/>
        </w:rPr>
      </w:pPr>
    </w:p>
    <w:p w14:paraId="1A386B68">
      <w:pPr>
        <w:wordWrap w:val="0"/>
        <w:rPr>
          <w:sz w:val="21"/>
        </w:rPr>
      </w:pPr>
      <w:r>
        <w:rPr>
          <w:rFonts w:hint="eastAsia"/>
          <w:sz w:val="21"/>
        </w:rPr>
        <w:t>注：1.间接费用无需编制预算说明；2.绩效支出在间接费用中无比例限制。</w:t>
      </w:r>
    </w:p>
    <w:p w14:paraId="017D2976">
      <w:pPr>
        <w:tabs>
          <w:tab w:val="left" w:pos="1665"/>
        </w:tabs>
        <w:wordWrap w:val="0"/>
        <w:jc w:val="center"/>
        <w:rPr>
          <w:rFonts w:cs="Tahoma"/>
          <w:sz w:val="21"/>
          <w:szCs w:val="21"/>
        </w:rPr>
      </w:pPr>
      <w:r>
        <w:rPr>
          <w:sz w:val="10"/>
          <w:szCs w:val="10"/>
        </w:rPr>
        <w:br w:type="page"/>
      </w:r>
    </w:p>
    <w:tbl>
      <w:tblPr>
        <w:tblStyle w:val="TableNormal"/>
        <w:tblW w:w="10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468"/>
      </w:tblGrid>
      <w:tr w14:paraId="1F7680F3">
        <w:tblPrEx>
          <w:tblW w:w="10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57"/>
          <w:jc w:val="center"/>
        </w:trPr>
        <w:tc>
          <w:tcPr>
            <w:tcW w:w="10468" w:type="dxa"/>
            <w:tcBorders>
              <w:top w:val="single" w:sz="4" w:space="0" w:color="auto"/>
              <w:left w:val="single" w:sz="4" w:space="0" w:color="auto"/>
              <w:bottom w:val="single" w:sz="4" w:space="0" w:color="auto"/>
              <w:right w:val="single" w:sz="4" w:space="0" w:color="auto"/>
            </w:tcBorders>
          </w:tcPr>
          <w:p w14:paraId="39AC3B94">
            <w:pPr>
              <w:wordWrap w:val="0"/>
              <w:spacing w:line="440" w:lineRule="exact"/>
              <w:rPr>
                <w:b/>
                <w:szCs w:val="28"/>
              </w:rPr>
            </w:pPr>
            <w:r>
              <w:rPr>
                <w:rFonts w:hint="eastAsia"/>
                <w:b/>
                <w:szCs w:val="28"/>
              </w:rPr>
              <w:t>项目预算基本测算说明（不包含单价</w:t>
            </w:r>
            <w:r>
              <w:rPr>
                <w:b/>
                <w:szCs w:val="28"/>
              </w:rPr>
              <w:t>50</w:t>
            </w:r>
            <w:r>
              <w:rPr>
                <w:rFonts w:hint="eastAsia"/>
                <w:b/>
                <w:szCs w:val="28"/>
              </w:rPr>
              <w:t>万以上的设备详细说明）</w:t>
            </w:r>
          </w:p>
        </w:tc>
      </w:tr>
      <w:tr w14:paraId="77B9FCB2">
        <w:tblPrEx>
          <w:tblW w:w="10468" w:type="dxa"/>
          <w:jc w:val="center"/>
          <w:tblLayout w:type="fixed"/>
          <w:tblCellMar>
            <w:top w:w="0" w:type="dxa"/>
            <w:left w:w="108" w:type="dxa"/>
            <w:bottom w:w="0" w:type="dxa"/>
            <w:right w:w="108" w:type="dxa"/>
          </w:tblCellMar>
        </w:tblPrEx>
        <w:trPr>
          <w:jc w:val="center"/>
        </w:trPr>
        <w:tc>
          <w:tcPr>
            <w:tcW w:w="10468" w:type="dxa"/>
            <w:tcBorders>
              <w:top w:val="single" w:sz="4" w:space="0" w:color="auto"/>
              <w:left w:val="single" w:sz="4" w:space="0" w:color="auto"/>
              <w:bottom w:val="single" w:sz="4" w:space="0" w:color="auto"/>
              <w:right w:val="single" w:sz="4" w:space="0" w:color="auto"/>
            </w:tcBorders>
          </w:tcPr>
          <w:p w14:paraId="203DA39A">
            <w:pPr>
              <w:widowControl/>
              <w:spacing w:before="0" w:after="0" w:line="435" w:lineRule="atLeast"/>
              <w:ind w:firstLine="480"/>
              <w:jc w:val="left"/>
              <w:rPr>
                <w:rFonts w:ascii="宋体" w:hAnsi="宋体" w:cs="宋体"/>
                <w:kern w:val="0"/>
                <w:sz w:val="24"/>
              </w:rPr>
            </w:pPr>
            <w:bookmarkStart w:id="124" w:name="qtzc"/>
            <w:r>
              <w:rPr>
                <w:rFonts w:ascii="楷体" w:eastAsia="楷体" w:hAnsi="楷体" w:cs="楷体"/>
                <w:b/>
                <w:bCs/>
                <w:kern w:val="0"/>
                <w:sz w:val="24"/>
              </w:rPr>
              <w:t>本项目拟申请直接经费</w:t>
            </w:r>
            <w:r>
              <w:rPr>
                <w:rFonts w:eastAsia="Times New Roman"/>
                <w:b/>
                <w:bCs/>
                <w:kern w:val="0"/>
                <w:sz w:val="24"/>
              </w:rPr>
              <w:t>5.40</w:t>
            </w:r>
            <w:r>
              <w:rPr>
                <w:rFonts w:ascii="楷体" w:eastAsia="楷体" w:hAnsi="楷体" w:cs="楷体"/>
                <w:b/>
                <w:bCs/>
                <w:kern w:val="0"/>
                <w:sz w:val="24"/>
              </w:rPr>
              <w:t>万元和间接经费</w:t>
            </w:r>
            <w:r>
              <w:rPr>
                <w:rFonts w:eastAsia="Times New Roman"/>
                <w:b/>
                <w:bCs/>
                <w:kern w:val="0"/>
                <w:sz w:val="24"/>
              </w:rPr>
              <w:t>0.60</w:t>
            </w:r>
            <w:r>
              <w:rPr>
                <w:rFonts w:ascii="楷体" w:eastAsia="楷体" w:hAnsi="楷体" w:cs="楷体"/>
                <w:b/>
                <w:bCs/>
                <w:kern w:val="0"/>
                <w:sz w:val="24"/>
              </w:rPr>
              <w:t>万元，共计</w:t>
            </w:r>
            <w:r>
              <w:rPr>
                <w:rFonts w:eastAsia="Times New Roman"/>
                <w:b/>
                <w:bCs/>
                <w:kern w:val="0"/>
                <w:sz w:val="24"/>
              </w:rPr>
              <w:t>6.00</w:t>
            </w:r>
            <w:r>
              <w:rPr>
                <w:rFonts w:ascii="楷体" w:eastAsia="楷体" w:hAnsi="楷体" w:cs="楷体"/>
                <w:b/>
                <w:bCs/>
                <w:kern w:val="0"/>
                <w:sz w:val="24"/>
              </w:rPr>
              <w:t>万元，各项经费构成和申请依据分别说明如下：</w:t>
            </w:r>
          </w:p>
          <w:p>
            <w:pPr>
              <w:widowControl/>
              <w:spacing w:before="0" w:after="0" w:line="435" w:lineRule="atLeast"/>
              <w:jc w:val="left"/>
              <w:rPr>
                <w:rFonts w:ascii="宋体" w:hAnsi="宋体" w:cs="宋体"/>
                <w:kern w:val="0"/>
                <w:sz w:val="24"/>
              </w:rPr>
            </w:pPr>
            <w:r>
              <w:rPr>
                <w:rFonts w:ascii="楷体" w:eastAsia="楷体" w:hAnsi="楷体" w:cs="楷体"/>
                <w:b/>
                <w:bCs/>
                <w:kern w:val="0"/>
                <w:sz w:val="24"/>
              </w:rPr>
              <w:t>（</w:t>
            </w:r>
            <w:r>
              <w:rPr>
                <w:rFonts w:ascii="楷体" w:eastAsia="楷体" w:hAnsi="楷体" w:cs="楷体"/>
                <w:b/>
                <w:bCs/>
                <w:kern w:val="0"/>
                <w:sz w:val="24"/>
              </w:rPr>
              <w:t>一</w:t>
            </w:r>
            <w:r>
              <w:rPr>
                <w:rFonts w:ascii="楷体" w:eastAsia="楷体" w:hAnsi="楷体" w:cs="楷体"/>
                <w:b/>
                <w:bCs/>
                <w:kern w:val="0"/>
                <w:sz w:val="24"/>
              </w:rPr>
              <w:t>）直接经费</w:t>
            </w:r>
          </w:p>
          <w:p>
            <w:pPr>
              <w:widowControl/>
              <w:spacing w:before="0" w:after="0" w:line="435" w:lineRule="atLeast"/>
              <w:jc w:val="left"/>
              <w:rPr>
                <w:rFonts w:ascii="宋体" w:hAnsi="宋体" w:cs="宋体"/>
                <w:kern w:val="0"/>
                <w:sz w:val="24"/>
              </w:rPr>
            </w:pPr>
            <w:r>
              <w:rPr>
                <w:rFonts w:eastAsia="Times New Roman"/>
                <w:b/>
                <w:bCs/>
                <w:kern w:val="0"/>
                <w:sz w:val="24"/>
              </w:rPr>
              <w:t>1</w:t>
            </w:r>
            <w:r>
              <w:rPr>
                <w:rFonts w:ascii="楷体" w:eastAsia="楷体" w:hAnsi="楷体" w:cs="楷体"/>
                <w:b/>
                <w:bCs/>
                <w:kern w:val="0"/>
                <w:sz w:val="24"/>
              </w:rPr>
              <w:t>、设备费：</w:t>
            </w:r>
            <w:r>
              <w:rPr>
                <w:rFonts w:eastAsia="Times New Roman"/>
                <w:b/>
                <w:bCs/>
                <w:kern w:val="0"/>
                <w:sz w:val="24"/>
              </w:rPr>
              <w:t>0.00</w:t>
            </w:r>
            <w:r>
              <w:rPr>
                <w:rFonts w:ascii="楷体" w:eastAsia="楷体" w:hAnsi="楷体" w:cs="楷体"/>
                <w:b/>
                <w:bCs/>
                <w:kern w:val="0"/>
                <w:sz w:val="24"/>
              </w:rPr>
              <w:t>万元</w:t>
            </w:r>
          </w:p>
          <w:p>
            <w:pPr>
              <w:widowControl/>
              <w:spacing w:before="0" w:after="0" w:line="435" w:lineRule="atLeast"/>
              <w:jc w:val="left"/>
              <w:rPr>
                <w:rFonts w:ascii="宋体" w:hAnsi="宋体" w:cs="宋体"/>
                <w:kern w:val="0"/>
                <w:sz w:val="24"/>
              </w:rPr>
            </w:pPr>
            <w:r>
              <w:rPr>
                <w:rFonts w:eastAsia="Times New Roman"/>
                <w:b/>
                <w:bCs/>
                <w:kern w:val="0"/>
                <w:sz w:val="24"/>
              </w:rPr>
              <w:t>2</w:t>
            </w:r>
            <w:r>
              <w:rPr>
                <w:rFonts w:ascii="楷体" w:eastAsia="楷体" w:hAnsi="楷体" w:cs="楷体"/>
                <w:b/>
                <w:bCs/>
                <w:kern w:val="0"/>
                <w:sz w:val="24"/>
              </w:rPr>
              <w:t>、</w:t>
            </w:r>
            <w:r>
              <w:rPr>
                <w:rFonts w:ascii="楷体" w:eastAsia="楷体" w:hAnsi="楷体" w:cs="楷体"/>
                <w:b/>
                <w:bCs/>
                <w:kern w:val="0"/>
                <w:sz w:val="24"/>
              </w:rPr>
              <w:t>业务费，共计</w:t>
            </w:r>
            <w:r>
              <w:rPr>
                <w:rFonts w:eastAsia="Times New Roman"/>
                <w:b/>
                <w:bCs/>
                <w:kern w:val="0"/>
                <w:sz w:val="24"/>
              </w:rPr>
              <w:t>4.8</w:t>
            </w:r>
            <w:r>
              <w:rPr>
                <w:rFonts w:eastAsia="Times New Roman"/>
                <w:b/>
                <w:bCs/>
                <w:kern w:val="0"/>
                <w:sz w:val="24"/>
              </w:rPr>
              <w:t>0</w:t>
            </w:r>
            <w:r>
              <w:rPr>
                <w:rFonts w:ascii="楷体" w:eastAsia="楷体" w:hAnsi="楷体" w:cs="楷体"/>
                <w:b/>
                <w:bCs/>
                <w:kern w:val="0"/>
                <w:sz w:val="24"/>
              </w:rPr>
              <w:t>万元</w:t>
            </w:r>
          </w:p>
          <w:p>
            <w:pPr>
              <w:widowControl/>
              <w:spacing w:before="0" w:after="0" w:line="435" w:lineRule="atLeast"/>
              <w:jc w:val="left"/>
              <w:rPr>
                <w:rFonts w:ascii="宋体" w:hAnsi="宋体" w:cs="宋体"/>
                <w:kern w:val="0"/>
                <w:sz w:val="24"/>
              </w:rPr>
            </w:pPr>
            <w:r>
              <w:rPr>
                <w:rFonts w:ascii="楷体" w:eastAsia="楷体" w:hAnsi="楷体" w:cs="楷体"/>
                <w:b/>
                <w:bCs/>
                <w:kern w:val="0"/>
                <w:sz w:val="24"/>
              </w:rPr>
              <w:t>（</w:t>
            </w:r>
            <w:r>
              <w:rPr>
                <w:rFonts w:eastAsia="Times New Roman"/>
                <w:b/>
                <w:bCs/>
                <w:kern w:val="0"/>
                <w:sz w:val="24"/>
              </w:rPr>
              <w:t>1</w:t>
            </w:r>
            <w:r>
              <w:rPr>
                <w:rFonts w:ascii="楷体" w:eastAsia="楷体" w:hAnsi="楷体" w:cs="楷体"/>
                <w:b/>
                <w:bCs/>
                <w:kern w:val="0"/>
                <w:sz w:val="24"/>
              </w:rPr>
              <w:t>）</w:t>
            </w:r>
            <w:r>
              <w:rPr>
                <w:rFonts w:ascii="楷体" w:eastAsia="楷体" w:hAnsi="楷体" w:cs="楷体"/>
                <w:b/>
                <w:bCs/>
                <w:kern w:val="0"/>
                <w:sz w:val="24"/>
              </w:rPr>
              <w:t>材料费：</w:t>
            </w:r>
            <w:r>
              <w:rPr>
                <w:rFonts w:eastAsia="Times New Roman"/>
                <w:b/>
                <w:bCs/>
                <w:kern w:val="0"/>
                <w:sz w:val="24"/>
              </w:rPr>
              <w:t>1.2</w:t>
            </w:r>
            <w:r>
              <w:rPr>
                <w:rFonts w:eastAsia="Times New Roman"/>
                <w:b/>
                <w:bCs/>
                <w:kern w:val="0"/>
                <w:sz w:val="24"/>
              </w:rPr>
              <w:t>0</w:t>
            </w:r>
            <w:r>
              <w:rPr>
                <w:rFonts w:ascii="楷体" w:eastAsia="楷体" w:hAnsi="楷体" w:cs="楷体"/>
                <w:b/>
                <w:bCs/>
                <w:kern w:val="0"/>
                <w:sz w:val="24"/>
              </w:rPr>
              <w:t>万元</w:t>
            </w:r>
          </w:p>
          <w:p>
            <w:pPr>
              <w:widowControl/>
              <w:spacing w:before="0" w:after="0" w:line="435" w:lineRule="atLeast"/>
              <w:ind w:firstLine="480"/>
              <w:jc w:val="left"/>
              <w:rPr>
                <w:rFonts w:ascii="宋体" w:hAnsi="宋体" w:cs="宋体"/>
                <w:kern w:val="0"/>
                <w:sz w:val="24"/>
              </w:rPr>
            </w:pPr>
            <w:r>
              <w:rPr>
                <w:rFonts w:eastAsia="Times New Roman"/>
                <w:kern w:val="0"/>
                <w:sz w:val="24"/>
              </w:rPr>
              <w:t xml:space="preserve">a. </w:t>
            </w:r>
            <w:r>
              <w:rPr>
                <w:rFonts w:ascii="楷体" w:eastAsia="楷体" w:hAnsi="楷体" w:cs="楷体"/>
                <w:kern w:val="0"/>
                <w:sz w:val="24"/>
              </w:rPr>
              <w:t>矿渣、粉煤灰、外加剂等原材料，</w:t>
            </w:r>
            <w:r>
              <w:rPr>
                <w:rFonts w:eastAsia="Times New Roman"/>
                <w:kern w:val="0"/>
                <w:sz w:val="24"/>
              </w:rPr>
              <w:t>0.1</w:t>
            </w:r>
            <w:r>
              <w:rPr>
                <w:rFonts w:eastAsia="Times New Roman"/>
                <w:kern w:val="0"/>
                <w:sz w:val="24"/>
              </w:rPr>
              <w:t>0</w:t>
            </w:r>
            <w:r>
              <w:rPr>
                <w:rFonts w:ascii="楷体" w:eastAsia="楷体" w:hAnsi="楷体" w:cs="楷体"/>
                <w:kern w:val="0"/>
                <w:sz w:val="24"/>
              </w:rPr>
              <w:t>万元；</w:t>
            </w:r>
          </w:p>
          <w:p>
            <w:pPr>
              <w:widowControl/>
              <w:spacing w:before="0" w:after="0" w:line="435" w:lineRule="atLeast"/>
              <w:ind w:firstLine="480"/>
              <w:jc w:val="left"/>
              <w:rPr>
                <w:rFonts w:ascii="宋体" w:hAnsi="宋体" w:cs="宋体"/>
                <w:kern w:val="0"/>
                <w:sz w:val="24"/>
              </w:rPr>
            </w:pPr>
            <w:r>
              <w:rPr>
                <w:rFonts w:eastAsia="Times New Roman"/>
                <w:kern w:val="0"/>
                <w:sz w:val="24"/>
              </w:rPr>
              <w:t xml:space="preserve">b. </w:t>
            </w:r>
            <w:r>
              <w:rPr>
                <w:rFonts w:ascii="楷体" w:eastAsia="楷体" w:hAnsi="楷体" w:cs="楷体"/>
                <w:kern w:val="0"/>
                <w:sz w:val="24"/>
              </w:rPr>
              <w:t>无水乙醇、异丙醇、氢氧化钠、硅酸钠、</w:t>
            </w:r>
            <w:r>
              <w:rPr>
                <w:rFonts w:ascii="楷体" w:eastAsia="楷体" w:hAnsi="楷体" w:cs="楷体"/>
                <w:kern w:val="0"/>
                <w:sz w:val="24"/>
              </w:rPr>
              <w:t>稀盐酸、</w:t>
            </w:r>
            <w:r>
              <w:rPr>
                <w:rFonts w:ascii="楷体" w:eastAsia="楷体" w:hAnsi="楷体" w:cs="楷体"/>
                <w:kern w:val="0"/>
                <w:sz w:val="24"/>
              </w:rPr>
              <w:t>聚偏二氟乙烯</w:t>
            </w:r>
            <w:r>
              <w:rPr>
                <w:rFonts w:ascii="楷体" w:eastAsia="楷体" w:hAnsi="楷体" w:cs="楷体"/>
                <w:kern w:val="0"/>
                <w:sz w:val="24"/>
              </w:rPr>
              <w:t>、</w:t>
            </w:r>
            <w:r>
              <w:rPr>
                <w:rFonts w:ascii="楷体" w:eastAsia="楷体" w:hAnsi="楷体" w:cs="楷体"/>
                <w:kern w:val="0"/>
                <w:sz w:val="24"/>
              </w:rPr>
              <w:t>汞、液氮等化学试剂，</w:t>
            </w:r>
            <w:r>
              <w:rPr>
                <w:rFonts w:eastAsia="Times New Roman"/>
                <w:kern w:val="0"/>
                <w:sz w:val="24"/>
              </w:rPr>
              <w:t>0.6</w:t>
            </w:r>
            <w:r>
              <w:rPr>
                <w:rFonts w:eastAsia="Times New Roman"/>
                <w:kern w:val="0"/>
                <w:sz w:val="24"/>
              </w:rPr>
              <w:t>0</w:t>
            </w:r>
            <w:r>
              <w:rPr>
                <w:rFonts w:ascii="楷体" w:eastAsia="楷体" w:hAnsi="楷体" w:cs="楷体"/>
                <w:kern w:val="0"/>
                <w:sz w:val="24"/>
              </w:rPr>
              <w:t>万元；</w:t>
            </w:r>
          </w:p>
          <w:p>
            <w:pPr>
              <w:widowControl/>
              <w:spacing w:before="0" w:after="0" w:line="435" w:lineRule="atLeast"/>
              <w:ind w:firstLine="480"/>
              <w:jc w:val="left"/>
              <w:rPr>
                <w:rFonts w:ascii="宋体" w:hAnsi="宋体" w:cs="宋体"/>
                <w:kern w:val="0"/>
                <w:sz w:val="24"/>
              </w:rPr>
            </w:pPr>
            <w:r>
              <w:rPr>
                <w:rFonts w:eastAsia="Times New Roman"/>
                <w:kern w:val="0"/>
                <w:sz w:val="24"/>
              </w:rPr>
              <w:t xml:space="preserve">c. </w:t>
            </w:r>
            <w:r>
              <w:rPr>
                <w:rFonts w:ascii="楷体" w:eastAsia="楷体" w:hAnsi="楷体" w:cs="楷体"/>
                <w:kern w:val="0"/>
                <w:sz w:val="24"/>
              </w:rPr>
              <w:t>泡沫镍和活性炭等</w:t>
            </w:r>
            <w:r>
              <w:rPr>
                <w:rFonts w:ascii="楷体" w:eastAsia="楷体" w:hAnsi="楷体" w:cs="楷体"/>
                <w:kern w:val="0"/>
                <w:sz w:val="24"/>
              </w:rPr>
              <w:t>电极材料，</w:t>
            </w:r>
            <w:r>
              <w:rPr>
                <w:rFonts w:eastAsia="Times New Roman"/>
                <w:kern w:val="0"/>
                <w:sz w:val="24"/>
              </w:rPr>
              <w:t>0.4</w:t>
            </w:r>
            <w:r>
              <w:rPr>
                <w:rFonts w:eastAsia="Times New Roman"/>
                <w:kern w:val="0"/>
                <w:sz w:val="24"/>
              </w:rPr>
              <w:t>0</w:t>
            </w:r>
            <w:r>
              <w:rPr>
                <w:rFonts w:ascii="楷体" w:eastAsia="楷体" w:hAnsi="楷体" w:cs="楷体"/>
                <w:kern w:val="0"/>
                <w:sz w:val="24"/>
              </w:rPr>
              <w:t>万元；</w:t>
            </w:r>
          </w:p>
          <w:p>
            <w:pPr>
              <w:widowControl/>
              <w:spacing w:before="0" w:after="0" w:line="435" w:lineRule="atLeast"/>
              <w:ind w:firstLine="480"/>
              <w:jc w:val="left"/>
              <w:rPr>
                <w:rFonts w:ascii="宋体" w:hAnsi="宋体" w:cs="宋体"/>
                <w:kern w:val="0"/>
                <w:sz w:val="24"/>
              </w:rPr>
            </w:pPr>
            <w:r>
              <w:rPr>
                <w:rFonts w:eastAsia="Times New Roman"/>
                <w:kern w:val="0"/>
                <w:sz w:val="24"/>
              </w:rPr>
              <w:t xml:space="preserve">d. </w:t>
            </w:r>
            <w:r>
              <w:rPr>
                <w:rFonts w:ascii="楷体" w:eastAsia="楷体" w:hAnsi="楷体" w:cs="楷体"/>
                <w:kern w:val="0"/>
                <w:sz w:val="24"/>
              </w:rPr>
              <w:t>烧杯、试管、试模、手套等试验耗材，</w:t>
            </w:r>
            <w:r>
              <w:rPr>
                <w:rFonts w:eastAsia="Times New Roman"/>
                <w:kern w:val="0"/>
                <w:sz w:val="24"/>
              </w:rPr>
              <w:t>0.1</w:t>
            </w:r>
            <w:r>
              <w:rPr>
                <w:rFonts w:eastAsia="Times New Roman"/>
                <w:kern w:val="0"/>
                <w:sz w:val="24"/>
              </w:rPr>
              <w:t>0</w:t>
            </w:r>
            <w:r>
              <w:rPr>
                <w:rFonts w:ascii="楷体" w:eastAsia="楷体" w:hAnsi="楷体" w:cs="楷体"/>
                <w:kern w:val="0"/>
                <w:sz w:val="24"/>
              </w:rPr>
              <w:t>万元。</w:t>
            </w:r>
          </w:p>
          <w:p>
            <w:pPr>
              <w:widowControl/>
              <w:spacing w:before="0" w:after="0" w:line="435" w:lineRule="atLeast"/>
              <w:ind w:left="420"/>
              <w:jc w:val="left"/>
              <w:rPr>
                <w:rFonts w:ascii="宋体" w:hAnsi="宋体" w:cs="宋体"/>
                <w:kern w:val="0"/>
                <w:sz w:val="24"/>
              </w:rPr>
            </w:pPr>
            <w:r>
              <w:rPr>
                <w:rFonts w:ascii="楷体" w:eastAsia="楷体" w:hAnsi="楷体" w:cs="楷体"/>
                <w:kern w:val="0"/>
                <w:sz w:val="24"/>
              </w:rPr>
              <w:t>共计：</w:t>
            </w:r>
            <w:r>
              <w:rPr>
                <w:rFonts w:eastAsia="Times New Roman"/>
                <w:kern w:val="0"/>
                <w:sz w:val="24"/>
              </w:rPr>
              <w:t>1.2</w:t>
            </w:r>
            <w:r>
              <w:rPr>
                <w:rFonts w:eastAsia="Times New Roman"/>
                <w:kern w:val="0"/>
                <w:sz w:val="24"/>
              </w:rPr>
              <w:t>0</w:t>
            </w:r>
            <w:r>
              <w:rPr>
                <w:rFonts w:ascii="楷体" w:eastAsia="楷体" w:hAnsi="楷体" w:cs="楷体"/>
                <w:kern w:val="0"/>
                <w:sz w:val="24"/>
              </w:rPr>
              <w:t>万元。</w:t>
            </w:r>
          </w:p>
          <w:p>
            <w:pPr>
              <w:widowControl/>
              <w:spacing w:before="0" w:after="0" w:line="435" w:lineRule="atLeast"/>
              <w:jc w:val="left"/>
              <w:rPr>
                <w:rFonts w:ascii="宋体" w:hAnsi="宋体" w:cs="宋体"/>
                <w:kern w:val="0"/>
                <w:sz w:val="24"/>
              </w:rPr>
            </w:pPr>
            <w:r>
              <w:rPr>
                <w:rFonts w:ascii="楷体" w:eastAsia="楷体" w:hAnsi="楷体" w:cs="楷体"/>
                <w:b/>
                <w:bCs/>
                <w:kern w:val="0"/>
                <w:sz w:val="24"/>
              </w:rPr>
              <w:t>（</w:t>
            </w:r>
            <w:r>
              <w:rPr>
                <w:rFonts w:eastAsia="Times New Roman"/>
                <w:b/>
                <w:bCs/>
                <w:kern w:val="0"/>
                <w:sz w:val="24"/>
              </w:rPr>
              <w:t>2</w:t>
            </w:r>
            <w:r>
              <w:rPr>
                <w:rFonts w:ascii="楷体" w:eastAsia="楷体" w:hAnsi="楷体" w:cs="楷体"/>
                <w:b/>
                <w:bCs/>
                <w:kern w:val="0"/>
                <w:sz w:val="24"/>
              </w:rPr>
              <w:t>）</w:t>
            </w:r>
            <w:r>
              <w:rPr>
                <w:rFonts w:ascii="楷体" w:eastAsia="楷体" w:hAnsi="楷体" w:cs="楷体"/>
                <w:b/>
                <w:bCs/>
                <w:kern w:val="0"/>
                <w:sz w:val="24"/>
              </w:rPr>
              <w:t>测试化验加工费：</w:t>
            </w:r>
            <w:r>
              <w:rPr>
                <w:rFonts w:eastAsia="Times New Roman"/>
                <w:b/>
                <w:bCs/>
                <w:kern w:val="0"/>
                <w:sz w:val="24"/>
              </w:rPr>
              <w:t>2.7</w:t>
            </w:r>
            <w:r>
              <w:rPr>
                <w:rFonts w:eastAsia="Times New Roman"/>
                <w:b/>
                <w:bCs/>
                <w:kern w:val="0"/>
                <w:sz w:val="24"/>
              </w:rPr>
              <w:t>0</w:t>
            </w:r>
            <w:r>
              <w:rPr>
                <w:rFonts w:ascii="楷体" w:eastAsia="楷体" w:hAnsi="楷体" w:cs="楷体"/>
                <w:b/>
                <w:bCs/>
                <w:kern w:val="0"/>
                <w:sz w:val="24"/>
              </w:rPr>
              <w:t>万元</w:t>
            </w:r>
          </w:p>
          <w:p>
            <w:pPr>
              <w:widowControl/>
              <w:spacing w:before="0" w:after="0" w:line="435" w:lineRule="atLeast"/>
              <w:jc w:val="left"/>
              <w:rPr>
                <w:rFonts w:ascii="宋体" w:hAnsi="宋体" w:cs="宋体"/>
                <w:kern w:val="0"/>
                <w:sz w:val="24"/>
              </w:rPr>
            </w:pPr>
            <w:r>
              <w:rPr>
                <w:rFonts w:ascii="Calibri" w:eastAsia="Calibri" w:hAnsi="Calibri" w:cs="Calibri"/>
                <w:b/>
                <w:bCs/>
                <w:kern w:val="0"/>
                <w:sz w:val="24"/>
              </w:rPr>
              <w:t> </w:t>
            </w:r>
            <w:r>
              <w:rPr>
                <w:rFonts w:ascii="楷体" w:eastAsia="楷体" w:hAnsi="楷体" w:cs="楷体"/>
                <w:b/>
                <w:bCs/>
                <w:kern w:val="0"/>
                <w:sz w:val="24"/>
              </w:rPr>
              <w:t xml:space="preserve"> </w:t>
            </w:r>
            <w:r>
              <w:rPr>
                <w:rFonts w:ascii="Calibri" w:eastAsia="Calibri" w:hAnsi="Calibri" w:cs="Calibri"/>
                <w:b/>
                <w:bCs/>
                <w:kern w:val="0"/>
                <w:sz w:val="24"/>
              </w:rPr>
              <w:t>  </w:t>
            </w:r>
            <w:r>
              <w:rPr>
                <w:rFonts w:ascii="楷体" w:eastAsia="楷体" w:hAnsi="楷体" w:cs="楷体"/>
                <w:kern w:val="0"/>
                <w:sz w:val="24"/>
              </w:rPr>
              <w:t>用于硬化电解质浆体物相组分分析、微结构特征分析、孔隙结构特征分析所需的</w:t>
            </w:r>
            <w:r>
              <w:rPr>
                <w:rFonts w:eastAsia="Times New Roman"/>
                <w:kern w:val="0"/>
                <w:sz w:val="24"/>
              </w:rPr>
              <w:t>X</w:t>
            </w:r>
            <w:r>
              <w:rPr>
                <w:rFonts w:ascii="楷体" w:eastAsia="楷体" w:hAnsi="楷体" w:cs="楷体"/>
                <w:kern w:val="0"/>
                <w:sz w:val="24"/>
              </w:rPr>
              <w:t>射线衍射</w:t>
            </w:r>
            <w:r>
              <w:rPr>
                <w:rFonts w:ascii="宋体" w:hAnsi="宋体" w:cs="宋体"/>
                <w:kern w:val="0"/>
                <w:sz w:val="24"/>
              </w:rPr>
              <w:t>(XRD)</w:t>
            </w:r>
            <w:r>
              <w:rPr>
                <w:rFonts w:ascii="楷体" w:eastAsia="楷体" w:hAnsi="楷体" w:cs="楷体"/>
                <w:kern w:val="0"/>
                <w:sz w:val="24"/>
              </w:rPr>
              <w:t>、傅里叶红外光谱</w:t>
            </w:r>
            <w:r>
              <w:rPr>
                <w:rFonts w:ascii="宋体" w:hAnsi="宋体" w:cs="宋体"/>
                <w:kern w:val="0"/>
                <w:sz w:val="24"/>
              </w:rPr>
              <w:t>(FT-IR)</w:t>
            </w:r>
            <w:r>
              <w:rPr>
                <w:rFonts w:ascii="楷体" w:eastAsia="楷体" w:hAnsi="楷体" w:cs="楷体"/>
                <w:kern w:val="0"/>
                <w:sz w:val="24"/>
              </w:rPr>
              <w:t>、扫描电镜</w:t>
            </w:r>
            <w:r>
              <w:rPr>
                <w:rFonts w:ascii="宋体" w:hAnsi="宋体" w:cs="宋体"/>
                <w:kern w:val="0"/>
                <w:sz w:val="24"/>
              </w:rPr>
              <w:t>(SEM)</w:t>
            </w:r>
            <w:r>
              <w:rPr>
                <w:rFonts w:ascii="楷体" w:eastAsia="楷体" w:hAnsi="楷体" w:cs="楷体"/>
                <w:kern w:val="0"/>
                <w:sz w:val="24"/>
              </w:rPr>
              <w:t>、能谱分析</w:t>
            </w:r>
            <w:r>
              <w:rPr>
                <w:rFonts w:ascii="宋体" w:hAnsi="宋体" w:cs="宋体"/>
                <w:kern w:val="0"/>
                <w:sz w:val="24"/>
              </w:rPr>
              <w:t>(EDS)</w:t>
            </w:r>
            <w:r>
              <w:rPr>
                <w:rFonts w:ascii="楷体" w:eastAsia="楷体" w:hAnsi="楷体" w:cs="楷体"/>
                <w:kern w:val="0"/>
                <w:sz w:val="24"/>
              </w:rPr>
              <w:t>、</w:t>
            </w:r>
            <w:r>
              <w:rPr>
                <w:rFonts w:ascii="楷体" w:eastAsia="楷体" w:hAnsi="楷体" w:cs="楷体"/>
                <w:kern w:val="0"/>
                <w:sz w:val="24"/>
              </w:rPr>
              <w:t>X</w:t>
            </w:r>
            <w:r>
              <w:rPr>
                <w:rFonts w:ascii="楷体" w:eastAsia="楷体" w:hAnsi="楷体" w:cs="楷体"/>
                <w:kern w:val="0"/>
                <w:sz w:val="24"/>
              </w:rPr>
              <w:t>射线计算机断层成像</w:t>
            </w:r>
            <w:r>
              <w:rPr>
                <w:rFonts w:ascii="宋体" w:hAnsi="宋体" w:cs="宋体"/>
                <w:kern w:val="0"/>
                <w:sz w:val="24"/>
              </w:rPr>
              <w:t>(X-CT)</w:t>
            </w:r>
            <w:r>
              <w:rPr>
                <w:rFonts w:ascii="楷体" w:eastAsia="楷体" w:hAnsi="楷体" w:cs="楷体"/>
                <w:kern w:val="0"/>
                <w:sz w:val="24"/>
              </w:rPr>
              <w:t>等</w:t>
            </w:r>
            <w:r>
              <w:rPr>
                <w:rFonts w:ascii="楷体" w:eastAsia="楷体" w:hAnsi="楷体" w:cs="楷体"/>
                <w:kern w:val="0"/>
                <w:sz w:val="24"/>
              </w:rPr>
              <w:t>测试</w:t>
            </w:r>
            <w:r>
              <w:rPr>
                <w:rFonts w:ascii="楷体" w:eastAsia="楷体" w:hAnsi="楷体" w:cs="楷体"/>
                <w:kern w:val="0"/>
                <w:sz w:val="24"/>
              </w:rPr>
              <w:t>费用，共计</w:t>
            </w:r>
            <w:r>
              <w:rPr>
                <w:rFonts w:ascii="宋体" w:hAnsi="宋体" w:cs="宋体"/>
                <w:kern w:val="0"/>
                <w:sz w:val="24"/>
              </w:rPr>
              <w:t>2.7</w:t>
            </w:r>
            <w:r>
              <w:rPr>
                <w:rFonts w:ascii="宋体" w:hAnsi="宋体" w:cs="宋体"/>
                <w:kern w:val="0"/>
                <w:sz w:val="24"/>
              </w:rPr>
              <w:t>0</w:t>
            </w:r>
            <w:r>
              <w:rPr>
                <w:rFonts w:ascii="楷体" w:eastAsia="楷体" w:hAnsi="楷体" w:cs="楷体"/>
                <w:kern w:val="0"/>
                <w:sz w:val="24"/>
              </w:rPr>
              <w:t>万元。</w:t>
            </w:r>
          </w:p>
          <w:p>
            <w:pPr>
              <w:widowControl/>
              <w:spacing w:before="0" w:after="0" w:line="435" w:lineRule="atLeast"/>
              <w:jc w:val="left"/>
              <w:rPr>
                <w:rFonts w:ascii="宋体" w:hAnsi="宋体" w:cs="宋体"/>
                <w:kern w:val="0"/>
                <w:sz w:val="24"/>
              </w:rPr>
            </w:pPr>
            <w:r>
              <w:rPr>
                <w:rFonts w:ascii="楷体" w:eastAsia="楷体" w:hAnsi="楷体" w:cs="楷体"/>
                <w:b/>
                <w:bCs/>
                <w:kern w:val="0"/>
                <w:sz w:val="24"/>
              </w:rPr>
              <w:t>（</w:t>
            </w:r>
            <w:r>
              <w:rPr>
                <w:rFonts w:eastAsia="Times New Roman"/>
                <w:b/>
                <w:bCs/>
                <w:kern w:val="0"/>
                <w:sz w:val="24"/>
              </w:rPr>
              <w:t>3</w:t>
            </w:r>
            <w:r>
              <w:rPr>
                <w:rFonts w:ascii="楷体" w:eastAsia="楷体" w:hAnsi="楷体" w:cs="楷体"/>
                <w:b/>
                <w:bCs/>
                <w:kern w:val="0"/>
                <w:sz w:val="24"/>
              </w:rPr>
              <w:t>）</w:t>
            </w:r>
            <w:r>
              <w:rPr>
                <w:rFonts w:ascii="楷体" w:eastAsia="楷体" w:hAnsi="楷体" w:cs="楷体"/>
                <w:b/>
                <w:bCs/>
                <w:kern w:val="0"/>
                <w:sz w:val="24"/>
              </w:rPr>
              <w:t>差旅费</w:t>
            </w:r>
            <w:r>
              <w:rPr>
                <w:rFonts w:eastAsia="Times New Roman"/>
                <w:b/>
                <w:bCs/>
                <w:kern w:val="0"/>
                <w:sz w:val="24"/>
              </w:rPr>
              <w:t>/</w:t>
            </w:r>
            <w:r>
              <w:rPr>
                <w:rFonts w:ascii="楷体" w:eastAsia="楷体" w:hAnsi="楷体" w:cs="楷体"/>
                <w:b/>
                <w:bCs/>
                <w:kern w:val="0"/>
                <w:sz w:val="24"/>
              </w:rPr>
              <w:t>会议</w:t>
            </w:r>
            <w:r>
              <w:rPr>
                <w:rFonts w:eastAsia="Times New Roman"/>
                <w:b/>
                <w:bCs/>
                <w:kern w:val="0"/>
                <w:sz w:val="24"/>
              </w:rPr>
              <w:t>/</w:t>
            </w:r>
            <w:r>
              <w:rPr>
                <w:rFonts w:ascii="楷体" w:eastAsia="楷体" w:hAnsi="楷体" w:cs="楷体"/>
                <w:b/>
                <w:bCs/>
                <w:kern w:val="0"/>
                <w:sz w:val="24"/>
              </w:rPr>
              <w:t>国际合作与交流费：</w:t>
            </w:r>
            <w:r>
              <w:rPr>
                <w:rFonts w:eastAsia="Times New Roman"/>
                <w:b/>
                <w:bCs/>
                <w:kern w:val="0"/>
                <w:sz w:val="24"/>
              </w:rPr>
              <w:t>0.90</w:t>
            </w:r>
            <w:r>
              <w:rPr>
                <w:rFonts w:ascii="楷体" w:eastAsia="楷体" w:hAnsi="楷体" w:cs="楷体"/>
                <w:b/>
                <w:bCs/>
                <w:kern w:val="0"/>
                <w:sz w:val="24"/>
              </w:rPr>
              <w:t>万元</w:t>
            </w:r>
          </w:p>
          <w:p>
            <w:pPr>
              <w:widowControl/>
              <w:spacing w:before="0" w:after="0" w:line="435" w:lineRule="atLeast"/>
              <w:ind w:firstLine="0"/>
              <w:jc w:val="left"/>
              <w:rPr>
                <w:rFonts w:ascii="宋体" w:hAnsi="宋体" w:cs="宋体"/>
                <w:kern w:val="0"/>
                <w:sz w:val="24"/>
              </w:rPr>
            </w:pPr>
            <w:r>
              <w:rPr>
                <w:rFonts w:ascii="Calibri" w:eastAsia="Calibri" w:hAnsi="Calibri" w:cs="Calibri"/>
                <w:b/>
                <w:bCs/>
                <w:kern w:val="0"/>
                <w:sz w:val="24"/>
              </w:rPr>
              <w:t> </w:t>
            </w:r>
            <w:r>
              <w:rPr>
                <w:rFonts w:ascii="楷体" w:eastAsia="楷体" w:hAnsi="楷体" w:cs="楷体"/>
                <w:b/>
                <w:bCs/>
                <w:kern w:val="0"/>
                <w:sz w:val="24"/>
              </w:rPr>
              <w:t xml:space="preserve"> </w:t>
            </w:r>
            <w:r>
              <w:rPr>
                <w:rFonts w:ascii="Calibri" w:eastAsia="Calibri" w:hAnsi="Calibri" w:cs="Calibri"/>
                <w:b/>
                <w:bCs/>
                <w:kern w:val="0"/>
                <w:sz w:val="24"/>
              </w:rPr>
              <w:t>  </w:t>
            </w:r>
            <w:r>
              <w:rPr>
                <w:rFonts w:ascii="楷体" w:eastAsia="楷体" w:hAnsi="楷体" w:cs="楷体"/>
                <w:kern w:val="0"/>
                <w:sz w:val="24"/>
              </w:rPr>
              <w:t>参加国内专业学术会议</w:t>
            </w:r>
            <w:r>
              <w:rPr>
                <w:rFonts w:ascii="宋体" w:hAnsi="宋体" w:cs="宋体"/>
                <w:kern w:val="0"/>
                <w:sz w:val="24"/>
              </w:rPr>
              <w:t>3</w:t>
            </w:r>
            <w:r>
              <w:rPr>
                <w:rFonts w:ascii="楷体" w:eastAsia="楷体" w:hAnsi="楷体" w:cs="楷体"/>
                <w:kern w:val="0"/>
                <w:sz w:val="24"/>
              </w:rPr>
              <w:t>人次，每人次</w:t>
            </w:r>
            <w:r>
              <w:rPr>
                <w:rFonts w:ascii="宋体" w:hAnsi="宋体" w:cs="宋体"/>
                <w:kern w:val="0"/>
                <w:sz w:val="24"/>
              </w:rPr>
              <w:t>0.3</w:t>
            </w:r>
            <w:r>
              <w:rPr>
                <w:rFonts w:eastAsia="Times New Roman"/>
                <w:kern w:val="0"/>
                <w:sz w:val="24"/>
              </w:rPr>
              <w:t>0</w:t>
            </w:r>
            <w:r>
              <w:rPr>
                <w:rFonts w:ascii="楷体" w:eastAsia="楷体" w:hAnsi="楷体" w:cs="楷体"/>
                <w:kern w:val="0"/>
                <w:sz w:val="24"/>
              </w:rPr>
              <w:t>万元，共计</w:t>
            </w:r>
            <w:r>
              <w:rPr>
                <w:rFonts w:ascii="宋体" w:hAnsi="宋体" w:cs="宋体"/>
                <w:kern w:val="0"/>
                <w:sz w:val="24"/>
              </w:rPr>
              <w:t>0.9</w:t>
            </w:r>
            <w:r>
              <w:rPr>
                <w:rFonts w:eastAsia="Times New Roman"/>
                <w:kern w:val="0"/>
                <w:sz w:val="24"/>
              </w:rPr>
              <w:t>0</w:t>
            </w:r>
            <w:r>
              <w:rPr>
                <w:rFonts w:ascii="楷体" w:eastAsia="楷体" w:hAnsi="楷体" w:cs="楷体"/>
                <w:kern w:val="0"/>
                <w:sz w:val="24"/>
              </w:rPr>
              <w:t>万元</w:t>
            </w:r>
            <w:r>
              <w:rPr>
                <w:rFonts w:ascii="楷体" w:eastAsia="楷体" w:hAnsi="楷体" w:cs="楷体"/>
                <w:kern w:val="0"/>
                <w:sz w:val="24"/>
              </w:rPr>
              <w:t>。</w:t>
            </w:r>
          </w:p>
          <w:p>
            <w:pPr>
              <w:widowControl/>
              <w:spacing w:before="0" w:after="0" w:line="435" w:lineRule="atLeast"/>
              <w:jc w:val="left"/>
              <w:rPr>
                <w:rFonts w:ascii="宋体" w:hAnsi="宋体" w:cs="宋体"/>
                <w:kern w:val="0"/>
                <w:sz w:val="24"/>
              </w:rPr>
            </w:pPr>
            <w:r>
              <w:rPr>
                <w:rFonts w:eastAsia="Times New Roman"/>
                <w:b/>
                <w:bCs/>
                <w:kern w:val="0"/>
                <w:sz w:val="24"/>
              </w:rPr>
              <w:t>3</w:t>
            </w:r>
            <w:r>
              <w:rPr>
                <w:rFonts w:ascii="楷体" w:eastAsia="楷体" w:hAnsi="楷体" w:cs="楷体"/>
                <w:b/>
                <w:bCs/>
                <w:kern w:val="0"/>
                <w:sz w:val="24"/>
              </w:rPr>
              <w:t>、</w:t>
            </w:r>
            <w:r>
              <w:rPr>
                <w:rFonts w:ascii="楷体" w:eastAsia="楷体" w:hAnsi="楷体" w:cs="楷体"/>
                <w:b/>
                <w:bCs/>
                <w:kern w:val="0"/>
                <w:sz w:val="24"/>
              </w:rPr>
              <w:t>劳务费：共计</w:t>
            </w:r>
            <w:r>
              <w:rPr>
                <w:rFonts w:eastAsia="Times New Roman"/>
                <w:b/>
                <w:bCs/>
                <w:kern w:val="0"/>
                <w:sz w:val="24"/>
              </w:rPr>
              <w:t>0.60</w:t>
            </w:r>
            <w:r>
              <w:rPr>
                <w:rFonts w:ascii="楷体" w:eastAsia="楷体" w:hAnsi="楷体" w:cs="楷体"/>
                <w:b/>
                <w:bCs/>
                <w:kern w:val="0"/>
                <w:sz w:val="24"/>
              </w:rPr>
              <w:t>万元</w:t>
            </w:r>
          </w:p>
          <w:p>
            <w:pPr>
              <w:widowControl/>
              <w:spacing w:before="0" w:after="0" w:line="435" w:lineRule="atLeast"/>
              <w:ind w:firstLine="420"/>
              <w:jc w:val="left"/>
              <w:rPr>
                <w:rFonts w:ascii="宋体" w:hAnsi="宋体" w:cs="宋体"/>
                <w:kern w:val="0"/>
                <w:sz w:val="24"/>
              </w:rPr>
            </w:pPr>
            <w:r>
              <w:rPr>
                <w:rFonts w:ascii="楷体" w:eastAsia="楷体" w:hAnsi="楷体" w:cs="楷体"/>
                <w:kern w:val="0"/>
                <w:sz w:val="24"/>
              </w:rPr>
              <w:t>研究生劳务费：</w:t>
            </w:r>
            <w:r>
              <w:rPr>
                <w:rFonts w:eastAsia="Times New Roman"/>
                <w:kern w:val="0"/>
                <w:sz w:val="24"/>
              </w:rPr>
              <w:t>3</w:t>
            </w:r>
            <w:r>
              <w:rPr>
                <w:rFonts w:ascii="楷体" w:eastAsia="楷体" w:hAnsi="楷体" w:cs="楷体"/>
                <w:kern w:val="0"/>
                <w:sz w:val="24"/>
              </w:rPr>
              <w:t>人</w:t>
            </w:r>
            <w:r>
              <w:rPr>
                <w:rFonts w:ascii="Arial" w:eastAsia="Arial" w:hAnsi="Arial" w:cs="Arial"/>
                <w:kern w:val="0"/>
                <w:sz w:val="24"/>
              </w:rPr>
              <w:t>×</w:t>
            </w:r>
            <w:r>
              <w:rPr>
                <w:rFonts w:eastAsia="Times New Roman"/>
                <w:kern w:val="0"/>
                <w:sz w:val="24"/>
              </w:rPr>
              <w:t>10</w:t>
            </w:r>
            <w:r>
              <w:rPr>
                <w:rFonts w:ascii="楷体" w:eastAsia="楷体" w:hAnsi="楷体" w:cs="楷体"/>
                <w:kern w:val="0"/>
                <w:sz w:val="24"/>
              </w:rPr>
              <w:t>月</w:t>
            </w:r>
            <w:r>
              <w:rPr>
                <w:rFonts w:ascii="Arial" w:eastAsia="Arial" w:hAnsi="Arial" w:cs="Arial"/>
                <w:kern w:val="0"/>
                <w:sz w:val="24"/>
              </w:rPr>
              <w:t>×</w:t>
            </w:r>
            <w:r>
              <w:rPr>
                <w:rFonts w:eastAsia="Times New Roman"/>
                <w:kern w:val="0"/>
                <w:sz w:val="24"/>
              </w:rPr>
              <w:t>100</w:t>
            </w:r>
            <w:r>
              <w:rPr>
                <w:rFonts w:ascii="楷体" w:eastAsia="楷体" w:hAnsi="楷体" w:cs="楷体"/>
                <w:kern w:val="0"/>
                <w:sz w:val="24"/>
              </w:rPr>
              <w:t>元</w:t>
            </w:r>
            <w:r>
              <w:rPr>
                <w:rFonts w:ascii="Arial" w:eastAsia="Arial" w:hAnsi="Arial" w:cs="Arial"/>
                <w:kern w:val="0"/>
                <w:sz w:val="24"/>
              </w:rPr>
              <w:t>×</w:t>
            </w:r>
            <w:r>
              <w:rPr>
                <w:rFonts w:eastAsia="Times New Roman"/>
                <w:kern w:val="0"/>
                <w:sz w:val="24"/>
              </w:rPr>
              <w:t>2</w:t>
            </w:r>
            <w:r>
              <w:rPr>
                <w:rFonts w:ascii="楷体" w:eastAsia="楷体" w:hAnsi="楷体" w:cs="楷体"/>
                <w:kern w:val="0"/>
                <w:sz w:val="24"/>
              </w:rPr>
              <w:t>年</w:t>
            </w:r>
            <w:r>
              <w:rPr>
                <w:rFonts w:eastAsia="Times New Roman"/>
                <w:kern w:val="0"/>
                <w:sz w:val="24"/>
              </w:rPr>
              <w:t>=0.60</w:t>
            </w:r>
            <w:r>
              <w:rPr>
                <w:rFonts w:ascii="楷体" w:eastAsia="楷体" w:hAnsi="楷体" w:cs="楷体"/>
                <w:kern w:val="0"/>
                <w:sz w:val="24"/>
              </w:rPr>
              <w:t>万元。</w:t>
            </w:r>
          </w:p>
          <w:p>
            <w:pPr>
              <w:widowControl/>
              <w:spacing w:before="0" w:after="0" w:line="435" w:lineRule="atLeast"/>
              <w:jc w:val="left"/>
              <w:rPr>
                <w:rFonts w:ascii="宋体" w:hAnsi="宋体" w:cs="宋体"/>
                <w:kern w:val="0"/>
                <w:sz w:val="24"/>
              </w:rPr>
            </w:pPr>
            <w:r>
              <w:rPr>
                <w:rFonts w:ascii="楷体" w:eastAsia="楷体" w:hAnsi="楷体" w:cs="楷体"/>
                <w:b/>
                <w:bCs/>
                <w:kern w:val="0"/>
                <w:sz w:val="24"/>
              </w:rPr>
              <w:t>（二）间接经费</w:t>
            </w:r>
          </w:p>
          <w:p>
            <w:pPr>
              <w:widowControl/>
              <w:spacing w:before="0" w:after="0" w:line="435" w:lineRule="atLeast"/>
              <w:jc w:val="left"/>
              <w:rPr>
                <w:rFonts w:ascii="宋体" w:hAnsi="宋体" w:cs="宋体"/>
                <w:kern w:val="0"/>
                <w:sz w:val="24"/>
              </w:rPr>
            </w:pPr>
            <w:r>
              <w:rPr>
                <w:rFonts w:ascii="楷体" w:eastAsia="楷体" w:hAnsi="楷体" w:cs="楷体"/>
                <w:b/>
                <w:bCs/>
                <w:kern w:val="0"/>
                <w:sz w:val="24"/>
              </w:rPr>
              <w:t>间接经费预算</w:t>
            </w:r>
            <w:r>
              <w:rPr>
                <w:rFonts w:eastAsia="Times New Roman"/>
                <w:b/>
                <w:bCs/>
                <w:kern w:val="0"/>
                <w:sz w:val="24"/>
              </w:rPr>
              <w:t>0.60</w:t>
            </w:r>
            <w:r>
              <w:rPr>
                <w:rFonts w:ascii="楷体" w:eastAsia="楷体" w:hAnsi="楷体" w:cs="楷体"/>
                <w:b/>
                <w:bCs/>
                <w:kern w:val="0"/>
                <w:sz w:val="24"/>
              </w:rPr>
              <w:t>万元</w:t>
            </w:r>
            <w:r>
              <w:rPr>
                <w:rFonts w:ascii="楷体" w:eastAsia="楷体" w:hAnsi="楷体" w:cs="楷体"/>
                <w:b/>
                <w:bCs/>
                <w:kern w:val="0"/>
                <w:sz w:val="24"/>
              </w:rPr>
              <w:t>，占（直接经费</w:t>
            </w:r>
            <w:r>
              <w:rPr>
                <w:rFonts w:eastAsia="Times New Roman"/>
                <w:b/>
                <w:bCs/>
                <w:kern w:val="0"/>
                <w:sz w:val="24"/>
              </w:rPr>
              <w:t>-</w:t>
            </w:r>
            <w:r>
              <w:rPr>
                <w:rFonts w:ascii="楷体" w:eastAsia="楷体" w:hAnsi="楷体" w:cs="楷体"/>
                <w:b/>
                <w:bCs/>
                <w:kern w:val="0"/>
                <w:sz w:val="24"/>
              </w:rPr>
              <w:t>设备费）的</w:t>
            </w:r>
            <w:r>
              <w:rPr>
                <w:rFonts w:eastAsia="Times New Roman"/>
                <w:b/>
                <w:bCs/>
                <w:kern w:val="0"/>
                <w:sz w:val="24"/>
              </w:rPr>
              <w:t>11.1%</w:t>
            </w:r>
            <w:r>
              <w:rPr>
                <w:rFonts w:ascii="楷体" w:eastAsia="楷体" w:hAnsi="楷体" w:cs="楷体"/>
                <w:b/>
                <w:bCs/>
                <w:kern w:val="0"/>
                <w:sz w:val="24"/>
              </w:rPr>
              <w:t>，各项构成如下：</w:t>
            </w:r>
          </w:p>
          <w:p>
            <w:pPr>
              <w:widowControl/>
              <w:spacing w:before="0" w:after="0" w:line="435" w:lineRule="atLeast"/>
              <w:jc w:val="left"/>
              <w:rPr>
                <w:rFonts w:ascii="宋体" w:hAnsi="宋体" w:cs="宋体"/>
                <w:kern w:val="0"/>
                <w:sz w:val="24"/>
              </w:rPr>
            </w:pPr>
            <w:r>
              <w:rPr>
                <w:rFonts w:ascii="楷体" w:eastAsia="楷体" w:hAnsi="楷体" w:cs="楷体"/>
                <w:kern w:val="0"/>
                <w:sz w:val="24"/>
              </w:rPr>
              <w:t>（</w:t>
            </w:r>
            <w:r>
              <w:rPr>
                <w:rFonts w:eastAsia="Times New Roman"/>
                <w:kern w:val="0"/>
                <w:sz w:val="24"/>
              </w:rPr>
              <w:t>1</w:t>
            </w:r>
            <w:r>
              <w:rPr>
                <w:rFonts w:ascii="楷体" w:eastAsia="楷体" w:hAnsi="楷体" w:cs="楷体"/>
                <w:kern w:val="0"/>
                <w:sz w:val="24"/>
              </w:rPr>
              <w:t>）</w:t>
            </w:r>
            <w:r>
              <w:rPr>
                <w:rFonts w:ascii="楷体" w:eastAsia="楷体" w:hAnsi="楷体" w:cs="楷体"/>
                <w:kern w:val="0"/>
                <w:sz w:val="24"/>
              </w:rPr>
              <w:t>管理费</w:t>
            </w:r>
            <w:r>
              <w:rPr>
                <w:rFonts w:ascii="楷体" w:eastAsia="楷体" w:hAnsi="楷体" w:cs="楷体"/>
                <w:kern w:val="0"/>
                <w:sz w:val="24"/>
              </w:rPr>
              <w:t>与其他</w:t>
            </w:r>
            <w:r>
              <w:rPr>
                <w:rFonts w:ascii="楷体" w:eastAsia="楷体" w:hAnsi="楷体" w:cs="楷体"/>
                <w:kern w:val="0"/>
                <w:sz w:val="24"/>
              </w:rPr>
              <w:t>：</w:t>
            </w:r>
            <w:r>
              <w:rPr>
                <w:rFonts w:ascii="宋体" w:hAnsi="宋体" w:cs="宋体"/>
                <w:kern w:val="0"/>
                <w:sz w:val="24"/>
              </w:rPr>
              <w:t>0.1</w:t>
            </w:r>
            <w:r>
              <w:rPr>
                <w:rFonts w:eastAsia="Times New Roman"/>
                <w:kern w:val="0"/>
                <w:sz w:val="24"/>
              </w:rPr>
              <w:t>0</w:t>
            </w:r>
            <w:r>
              <w:rPr>
                <w:rFonts w:ascii="楷体" w:eastAsia="楷体" w:hAnsi="楷体" w:cs="楷体"/>
                <w:kern w:val="0"/>
                <w:sz w:val="24"/>
              </w:rPr>
              <w:t>万元；</w:t>
            </w:r>
          </w:p>
          <w:p>
            <w:pPr>
              <w:widowControl/>
              <w:spacing w:before="0" w:after="0" w:line="435" w:lineRule="atLeast"/>
              <w:jc w:val="left"/>
              <w:rPr>
                <w:rFonts w:ascii="宋体" w:hAnsi="宋体" w:cs="宋体"/>
                <w:kern w:val="0"/>
                <w:sz w:val="24"/>
              </w:rPr>
            </w:pPr>
            <w:r>
              <w:rPr>
                <w:rFonts w:ascii="楷体" w:eastAsia="楷体" w:hAnsi="楷体" w:cs="楷体"/>
                <w:kern w:val="0"/>
                <w:sz w:val="24"/>
              </w:rPr>
              <w:t>（</w:t>
            </w:r>
            <w:r>
              <w:rPr>
                <w:rFonts w:eastAsia="Times New Roman"/>
                <w:kern w:val="0"/>
                <w:sz w:val="24"/>
              </w:rPr>
              <w:t>2</w:t>
            </w:r>
            <w:r>
              <w:rPr>
                <w:rFonts w:ascii="楷体" w:eastAsia="楷体" w:hAnsi="楷体" w:cs="楷体"/>
                <w:kern w:val="0"/>
                <w:sz w:val="24"/>
              </w:rPr>
              <w:t>）</w:t>
            </w:r>
            <w:r>
              <w:rPr>
                <w:rFonts w:ascii="楷体" w:eastAsia="楷体" w:hAnsi="楷体" w:cs="楷体"/>
                <w:kern w:val="0"/>
                <w:sz w:val="24"/>
              </w:rPr>
              <w:t>绩效</w:t>
            </w:r>
            <w:r>
              <w:rPr>
                <w:rFonts w:ascii="楷体" w:eastAsia="楷体" w:hAnsi="楷体" w:cs="楷体"/>
                <w:kern w:val="0"/>
                <w:sz w:val="24"/>
              </w:rPr>
              <w:t>支出</w:t>
            </w:r>
            <w:r>
              <w:rPr>
                <w:rFonts w:ascii="楷体" w:eastAsia="楷体" w:hAnsi="楷体" w:cs="楷体"/>
                <w:kern w:val="0"/>
                <w:sz w:val="24"/>
              </w:rPr>
              <w:t>：</w:t>
            </w:r>
            <w:r>
              <w:rPr>
                <w:rFonts w:ascii="宋体" w:hAnsi="宋体" w:cs="宋体"/>
                <w:kern w:val="0"/>
                <w:sz w:val="24"/>
              </w:rPr>
              <w:t>0.50</w:t>
            </w:r>
            <w:r>
              <w:rPr>
                <w:rFonts w:ascii="楷体" w:eastAsia="楷体" w:hAnsi="楷体" w:cs="楷体"/>
                <w:kern w:val="0"/>
                <w:sz w:val="24"/>
              </w:rPr>
              <w:t>万元。</w:t>
            </w:r>
          </w:p>
          <w:p>
            <w:pPr>
              <w:wordWrap w:val="0"/>
              <w:spacing w:line="440" w:lineRule="exact"/>
              <w:ind w:firstLine="480" w:firstLineChars="200"/>
              <w:rPr>
                <w:sz w:val="24"/>
                <w:highlight w:val="yellow"/>
              </w:rPr>
            </w:pPr>
            <w:bookmarkEnd w:id="124"/>
          </w:p>
        </w:tc>
      </w:tr>
      <w:tr w14:paraId="2DF38843">
        <w:tblPrEx>
          <w:tblW w:w="10468" w:type="dxa"/>
          <w:jc w:val="center"/>
          <w:tblLayout w:type="fixed"/>
          <w:tblCellMar>
            <w:top w:w="0" w:type="dxa"/>
            <w:left w:w="108" w:type="dxa"/>
            <w:bottom w:w="0" w:type="dxa"/>
            <w:right w:w="108" w:type="dxa"/>
          </w:tblCellMar>
        </w:tblPrEx>
        <w:trPr>
          <w:trHeight w:val="469"/>
          <w:jc w:val="center"/>
        </w:trPr>
        <w:tc>
          <w:tcPr>
            <w:tcW w:w="10468" w:type="dxa"/>
            <w:tcBorders>
              <w:top w:val="single" w:sz="4" w:space="0" w:color="auto"/>
              <w:left w:val="single" w:sz="4" w:space="0" w:color="auto"/>
              <w:bottom w:val="single" w:sz="4" w:space="0" w:color="auto"/>
              <w:right w:val="single" w:sz="4" w:space="0" w:color="auto"/>
            </w:tcBorders>
          </w:tcPr>
          <w:p w14:paraId="352029E2">
            <w:pPr>
              <w:wordWrap w:val="0"/>
              <w:spacing w:line="440" w:lineRule="exact"/>
              <w:rPr>
                <w:b/>
                <w:szCs w:val="28"/>
              </w:rPr>
            </w:pPr>
            <w:r>
              <w:rPr>
                <w:rFonts w:hint="eastAsia"/>
                <w:b/>
                <w:szCs w:val="28"/>
              </w:rPr>
              <w:t>单价</w:t>
            </w:r>
            <w:r>
              <w:rPr>
                <w:b/>
                <w:szCs w:val="28"/>
              </w:rPr>
              <w:t>50</w:t>
            </w:r>
            <w:r>
              <w:rPr>
                <w:rFonts w:hint="eastAsia"/>
                <w:b/>
                <w:szCs w:val="28"/>
              </w:rPr>
              <w:t>万元以上的设备详细说明（无相关情况，本栏填“无”）</w:t>
            </w:r>
          </w:p>
        </w:tc>
      </w:tr>
      <w:tr w14:paraId="2DDD8946">
        <w:tblPrEx>
          <w:tblW w:w="10468" w:type="dxa"/>
          <w:jc w:val="center"/>
          <w:tblLayout w:type="fixed"/>
          <w:tblCellMar>
            <w:top w:w="0" w:type="dxa"/>
            <w:left w:w="108" w:type="dxa"/>
            <w:bottom w:w="0" w:type="dxa"/>
            <w:right w:w="108" w:type="dxa"/>
          </w:tblCellMar>
        </w:tblPrEx>
        <w:trPr>
          <w:jc w:val="center"/>
        </w:trPr>
        <w:tc>
          <w:tcPr>
            <w:tcW w:w="10468" w:type="dxa"/>
            <w:tcBorders>
              <w:top w:val="single" w:sz="4" w:space="0" w:color="auto"/>
              <w:left w:val="single" w:sz="4" w:space="0" w:color="auto"/>
              <w:bottom w:val="single" w:sz="4" w:space="0" w:color="auto"/>
              <w:right w:val="single" w:sz="4" w:space="0" w:color="auto"/>
            </w:tcBorders>
          </w:tcPr>
          <w:p w14:paraId="72BF3EEA">
            <w:pPr>
              <w:widowControl/>
              <w:spacing w:before="0" w:after="0"/>
              <w:jc w:val="left"/>
              <w:rPr>
                <w:rFonts w:ascii="宋体" w:hAnsi="宋体" w:cs="宋体"/>
                <w:kern w:val="0"/>
                <w:sz w:val="24"/>
              </w:rPr>
            </w:pPr>
            <w:bookmarkStart w:id="125" w:name="sbxxsm"/>
            <w:r>
              <w:rPr>
                <w:rFonts w:ascii="楷体" w:eastAsia="楷体" w:hAnsi="楷体" w:cs="楷体"/>
                <w:kern w:val="0"/>
                <w:sz w:val="24"/>
              </w:rPr>
              <w:t>无。</w:t>
            </w:r>
          </w:p>
          <w:p>
            <w:pPr>
              <w:wordWrap w:val="0"/>
              <w:spacing w:line="440" w:lineRule="exact"/>
              <w:ind w:firstLine="480" w:firstLineChars="200"/>
              <w:rPr>
                <w:sz w:val="24"/>
              </w:rPr>
            </w:pPr>
            <w:bookmarkEnd w:id="125"/>
          </w:p>
        </w:tc>
      </w:tr>
    </w:tbl>
    <w:p w14:paraId="26E81C6C">
      <w:pPr>
        <w:tabs>
          <w:tab w:val="left" w:pos="1665"/>
        </w:tabs>
        <w:wordWrap w:val="0"/>
        <w:spacing w:line="100" w:lineRule="exact"/>
        <w:jc w:val="center"/>
        <w:rPr>
          <w:rFonts w:cs="Tahoma"/>
          <w:sz w:val="21"/>
          <w:szCs w:val="21"/>
        </w:rPr>
      </w:pPr>
    </w:p>
    <w:p w14:paraId="3197147B">
      <w:pPr>
        <w:wordWrap w:val="0"/>
        <w:spacing w:line="100" w:lineRule="exact"/>
        <w:rPr>
          <w:sz w:val="10"/>
          <w:szCs w:val="10"/>
        </w:rPr>
        <w:sectPr>
          <w:headerReference w:type="even" r:id="rId31"/>
          <w:headerReference w:type="default" r:id="rId32"/>
          <w:footerReference w:type="even" r:id="rId33"/>
          <w:footerReference w:type="default" r:id="rId34"/>
          <w:headerReference w:type="first" r:id="rId35"/>
          <w:footerReference w:type="first" r:id="rId36"/>
          <w:pgSz w:w="11906" w:h="16838"/>
          <w:pgMar w:top="1418" w:right="1418" w:bottom="1418" w:left="1418" w:header="851" w:footer="851" w:gutter="0"/>
          <w:cols w:num="1" w:space="425"/>
          <w:docGrid w:linePitch="381" w:charSpace="0"/>
        </w:sectPr>
      </w:pPr>
    </w:p>
    <w:p w14:paraId="0BF983D6">
      <w:pPr>
        <w:wordWrap w:val="0"/>
        <w:spacing w:line="20" w:lineRule="exact"/>
        <w:jc w:val="center"/>
        <w:rPr>
          <w:b/>
          <w:sz w:val="32"/>
        </w:rPr>
      </w:pPr>
    </w:p>
    <w:tbl>
      <w:tblPr>
        <w:tblStyle w:val="TableNormal"/>
        <w:tblW w:w="156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
      <w:tblGrid>
        <w:gridCol w:w="744"/>
        <w:gridCol w:w="3174"/>
        <w:gridCol w:w="1368"/>
        <w:gridCol w:w="4326"/>
        <w:gridCol w:w="1275"/>
        <w:gridCol w:w="1016"/>
        <w:gridCol w:w="814"/>
        <w:gridCol w:w="1134"/>
        <w:gridCol w:w="886"/>
        <w:gridCol w:w="957"/>
      </w:tblGrid>
      <w:tr w14:paraId="7794D4C4">
        <w:tblPrEx>
          <w:tblW w:w="156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Ex>
        <w:trPr>
          <w:cantSplit/>
          <w:trHeight w:val="598"/>
          <w:jc w:val="center"/>
        </w:trPr>
        <w:tc>
          <w:tcPr>
            <w:tcW w:w="15694" w:type="dxa"/>
            <w:gridSpan w:val="10"/>
            <w:tcBorders>
              <w:top w:val="single" w:sz="4" w:space="0" w:color="auto"/>
              <w:left w:val="single" w:sz="4" w:space="0" w:color="auto"/>
              <w:bottom w:val="single" w:sz="4" w:space="0" w:color="auto"/>
              <w:right w:val="single" w:sz="4" w:space="0" w:color="auto"/>
            </w:tcBorders>
            <w:vAlign w:val="center"/>
          </w:tcPr>
          <w:p w14:paraId="7E43515A">
            <w:pPr>
              <w:tabs>
                <w:tab w:val="left" w:pos="2520"/>
                <w:tab w:val="center" w:pos="4144"/>
              </w:tabs>
              <w:wordWrap w:val="0"/>
              <w:jc w:val="left"/>
              <w:rPr>
                <w:sz w:val="24"/>
              </w:rPr>
            </w:pPr>
            <w:r>
              <w:rPr>
                <w:rFonts w:hint="eastAsia"/>
                <w:b/>
              </w:rPr>
              <w:t>申报单位、合作单位经费预算明细表</w:t>
            </w:r>
            <w:r>
              <w:rPr>
                <w:rFonts w:hint="eastAsia"/>
                <w:sz w:val="24"/>
              </w:rPr>
              <w:t xml:space="preserve">                                                    金额单位：万元</w:t>
            </w:r>
          </w:p>
        </w:tc>
      </w:tr>
      <w:tr w14:paraId="2EB1F843">
        <w:tblPrEx>
          <w:tblW w:w="15694" w:type="dxa"/>
          <w:jc w:val="center"/>
          <w:tblCellMar>
            <w:top w:w="0" w:type="dxa"/>
            <w:left w:w="57" w:type="dxa"/>
            <w:bottom w:w="0" w:type="dxa"/>
            <w:right w:w="57" w:type="dxa"/>
          </w:tblCellMar>
        </w:tblPrEx>
        <w:trPr>
          <w:cantSplit/>
          <w:trHeight w:hRule="exact" w:val="474"/>
          <w:jc w:val="center"/>
        </w:trPr>
        <w:tc>
          <w:tcPr>
            <w:tcW w:w="744" w:type="dxa"/>
            <w:vMerge w:val="restart"/>
            <w:tcBorders>
              <w:top w:val="single" w:sz="4" w:space="0" w:color="auto"/>
              <w:left w:val="single" w:sz="4" w:space="0" w:color="auto"/>
              <w:right w:val="single" w:sz="4" w:space="0" w:color="auto"/>
            </w:tcBorders>
            <w:vAlign w:val="center"/>
          </w:tcPr>
          <w:p w14:paraId="23B352C6">
            <w:pPr>
              <w:wordWrap w:val="0"/>
              <w:jc w:val="center"/>
              <w:rPr>
                <w:sz w:val="24"/>
              </w:rPr>
            </w:pPr>
            <w:r>
              <w:rPr>
                <w:rFonts w:hint="eastAsia"/>
                <w:sz w:val="24"/>
              </w:rPr>
              <w:t>序号</w:t>
            </w:r>
          </w:p>
        </w:tc>
        <w:tc>
          <w:tcPr>
            <w:tcW w:w="3174" w:type="dxa"/>
            <w:vMerge w:val="restart"/>
            <w:tcBorders>
              <w:top w:val="single" w:sz="4" w:space="0" w:color="auto"/>
              <w:left w:val="single" w:sz="4" w:space="0" w:color="auto"/>
              <w:right w:val="single" w:sz="4" w:space="0" w:color="auto"/>
            </w:tcBorders>
            <w:vAlign w:val="center"/>
          </w:tcPr>
          <w:p w14:paraId="317B3B3D">
            <w:pPr>
              <w:wordWrap w:val="0"/>
              <w:jc w:val="center"/>
              <w:rPr>
                <w:sz w:val="24"/>
              </w:rPr>
            </w:pPr>
            <w:r>
              <w:rPr>
                <w:rFonts w:hint="eastAsia"/>
                <w:sz w:val="24"/>
              </w:rPr>
              <w:t>单位名称</w:t>
            </w:r>
          </w:p>
        </w:tc>
        <w:tc>
          <w:tcPr>
            <w:tcW w:w="1368" w:type="dxa"/>
            <w:vMerge w:val="restart"/>
            <w:tcBorders>
              <w:top w:val="single" w:sz="4" w:space="0" w:color="auto"/>
              <w:left w:val="single" w:sz="4" w:space="0" w:color="auto"/>
              <w:right w:val="single" w:sz="4" w:space="0" w:color="auto"/>
            </w:tcBorders>
            <w:vAlign w:val="center"/>
          </w:tcPr>
          <w:p w14:paraId="5F9C6DAC">
            <w:pPr>
              <w:wordWrap w:val="0"/>
              <w:jc w:val="center"/>
              <w:rPr>
                <w:sz w:val="24"/>
              </w:rPr>
            </w:pPr>
            <w:r>
              <w:rPr>
                <w:rFonts w:hint="eastAsia"/>
                <w:sz w:val="24"/>
              </w:rPr>
              <w:t>单位类型</w:t>
            </w:r>
          </w:p>
        </w:tc>
        <w:tc>
          <w:tcPr>
            <w:tcW w:w="4326" w:type="dxa"/>
            <w:vMerge w:val="restart"/>
            <w:tcBorders>
              <w:top w:val="single" w:sz="4" w:space="0" w:color="auto"/>
              <w:left w:val="single" w:sz="4" w:space="0" w:color="auto"/>
              <w:right w:val="single" w:sz="4" w:space="0" w:color="auto"/>
            </w:tcBorders>
            <w:vAlign w:val="center"/>
          </w:tcPr>
          <w:p w14:paraId="0F284983">
            <w:pPr>
              <w:wordWrap w:val="0"/>
              <w:jc w:val="center"/>
              <w:rPr>
                <w:sz w:val="24"/>
              </w:rPr>
            </w:pPr>
            <w:r>
              <w:rPr>
                <w:rFonts w:hint="eastAsia"/>
                <w:sz w:val="24"/>
              </w:rPr>
              <w:t>任务分工</w:t>
            </w:r>
          </w:p>
        </w:tc>
        <w:tc>
          <w:tcPr>
            <w:tcW w:w="1275" w:type="dxa"/>
            <w:vMerge w:val="restart"/>
            <w:tcBorders>
              <w:top w:val="single" w:sz="4" w:space="0" w:color="auto"/>
              <w:left w:val="single" w:sz="4" w:space="0" w:color="auto"/>
              <w:right w:val="single" w:sz="4" w:space="0" w:color="auto"/>
            </w:tcBorders>
            <w:vAlign w:val="center"/>
          </w:tcPr>
          <w:p w14:paraId="1798DAE5">
            <w:pPr>
              <w:wordWrap w:val="0"/>
              <w:jc w:val="center"/>
              <w:rPr>
                <w:sz w:val="24"/>
              </w:rPr>
            </w:pPr>
            <w:r>
              <w:rPr>
                <w:rFonts w:hint="eastAsia"/>
                <w:sz w:val="24"/>
              </w:rPr>
              <w:t>研究任务</w:t>
            </w:r>
          </w:p>
          <w:p w14:paraId="5E122E6C">
            <w:pPr>
              <w:wordWrap w:val="0"/>
              <w:jc w:val="center"/>
              <w:rPr>
                <w:sz w:val="24"/>
              </w:rPr>
            </w:pPr>
            <w:r>
              <w:rPr>
                <w:rFonts w:hint="eastAsia"/>
                <w:sz w:val="24"/>
              </w:rPr>
              <w:t>负责人</w:t>
            </w:r>
          </w:p>
        </w:tc>
        <w:tc>
          <w:tcPr>
            <w:tcW w:w="1016" w:type="dxa"/>
            <w:vMerge w:val="restart"/>
            <w:tcBorders>
              <w:top w:val="single" w:sz="4" w:space="0" w:color="auto"/>
              <w:left w:val="single" w:sz="4" w:space="0" w:color="auto"/>
              <w:right w:val="single" w:sz="4" w:space="0" w:color="auto"/>
            </w:tcBorders>
            <w:vAlign w:val="center"/>
          </w:tcPr>
          <w:p w14:paraId="7A8BDE04">
            <w:pPr>
              <w:wordWrap w:val="0"/>
              <w:jc w:val="center"/>
              <w:rPr>
                <w:sz w:val="24"/>
              </w:rPr>
            </w:pPr>
            <w:r>
              <w:rPr>
                <w:rFonts w:hint="eastAsia"/>
                <w:sz w:val="24"/>
              </w:rPr>
              <w:t>合计</w:t>
            </w:r>
          </w:p>
        </w:tc>
        <w:tc>
          <w:tcPr>
            <w:tcW w:w="1948" w:type="dxa"/>
            <w:gridSpan w:val="2"/>
            <w:tcBorders>
              <w:top w:val="single" w:sz="4" w:space="0" w:color="auto"/>
              <w:left w:val="single" w:sz="4" w:space="0" w:color="auto"/>
              <w:bottom w:val="single" w:sz="4" w:space="0" w:color="auto"/>
              <w:right w:val="single" w:sz="4" w:space="0" w:color="auto"/>
            </w:tcBorders>
            <w:vAlign w:val="center"/>
          </w:tcPr>
          <w:p w14:paraId="62D13829">
            <w:pPr>
              <w:wordWrap w:val="0"/>
              <w:jc w:val="center"/>
              <w:rPr>
                <w:sz w:val="24"/>
              </w:rPr>
            </w:pPr>
            <w:r>
              <w:rPr>
                <w:rFonts w:hint="eastAsia"/>
                <w:sz w:val="24"/>
              </w:rPr>
              <w:t>专项经费</w:t>
            </w:r>
          </w:p>
        </w:tc>
        <w:tc>
          <w:tcPr>
            <w:tcW w:w="886" w:type="dxa"/>
            <w:vMerge w:val="restart"/>
            <w:tcBorders>
              <w:top w:val="single" w:sz="4" w:space="0" w:color="auto"/>
              <w:left w:val="single" w:sz="4" w:space="0" w:color="auto"/>
              <w:right w:val="single" w:sz="4" w:space="0" w:color="auto"/>
            </w:tcBorders>
            <w:vAlign w:val="center"/>
          </w:tcPr>
          <w:p w14:paraId="0F646EB7">
            <w:pPr>
              <w:tabs>
                <w:tab w:val="left" w:pos="2520"/>
                <w:tab w:val="center" w:pos="4144"/>
              </w:tabs>
              <w:wordWrap w:val="0"/>
              <w:jc w:val="center"/>
              <w:rPr>
                <w:sz w:val="24"/>
              </w:rPr>
            </w:pPr>
            <w:r>
              <w:rPr>
                <w:rFonts w:hint="eastAsia"/>
                <w:sz w:val="24"/>
              </w:rPr>
              <w:t>自筹</w:t>
            </w:r>
          </w:p>
          <w:p w14:paraId="1AF81296">
            <w:pPr>
              <w:tabs>
                <w:tab w:val="left" w:pos="2520"/>
                <w:tab w:val="center" w:pos="4144"/>
              </w:tabs>
              <w:wordWrap w:val="0"/>
              <w:jc w:val="center"/>
              <w:rPr>
                <w:sz w:val="24"/>
              </w:rPr>
            </w:pPr>
            <w:r>
              <w:rPr>
                <w:rFonts w:hint="eastAsia"/>
                <w:sz w:val="24"/>
              </w:rPr>
              <w:t>经费</w:t>
            </w:r>
          </w:p>
        </w:tc>
        <w:tc>
          <w:tcPr>
            <w:tcW w:w="957" w:type="dxa"/>
            <w:vMerge w:val="restart"/>
            <w:tcBorders>
              <w:top w:val="single" w:sz="4" w:space="0" w:color="auto"/>
              <w:left w:val="single" w:sz="4" w:space="0" w:color="auto"/>
              <w:right w:val="single" w:sz="4" w:space="0" w:color="auto"/>
            </w:tcBorders>
            <w:vAlign w:val="center"/>
          </w:tcPr>
          <w:p w14:paraId="39EDCF7F">
            <w:pPr>
              <w:tabs>
                <w:tab w:val="left" w:pos="2520"/>
                <w:tab w:val="center" w:pos="4144"/>
              </w:tabs>
              <w:wordWrap w:val="0"/>
              <w:jc w:val="center"/>
              <w:rPr>
                <w:sz w:val="24"/>
              </w:rPr>
            </w:pPr>
            <w:r>
              <w:rPr>
                <w:rFonts w:hint="eastAsia"/>
                <w:sz w:val="24"/>
              </w:rPr>
              <w:t>配套</w:t>
            </w:r>
          </w:p>
          <w:p w14:paraId="733E0E28">
            <w:pPr>
              <w:tabs>
                <w:tab w:val="left" w:pos="2520"/>
                <w:tab w:val="center" w:pos="4144"/>
              </w:tabs>
              <w:wordWrap w:val="0"/>
              <w:jc w:val="center"/>
              <w:rPr>
                <w:sz w:val="24"/>
              </w:rPr>
            </w:pPr>
            <w:r>
              <w:rPr>
                <w:rFonts w:hint="eastAsia"/>
                <w:sz w:val="24"/>
              </w:rPr>
              <w:t>经费</w:t>
            </w:r>
          </w:p>
        </w:tc>
      </w:tr>
      <w:tr w14:paraId="2E2930AD">
        <w:tblPrEx>
          <w:tblW w:w="15694" w:type="dxa"/>
          <w:jc w:val="center"/>
          <w:tblCellMar>
            <w:top w:w="0" w:type="dxa"/>
            <w:left w:w="57" w:type="dxa"/>
            <w:bottom w:w="0" w:type="dxa"/>
            <w:right w:w="57" w:type="dxa"/>
          </w:tblCellMar>
        </w:tblPrEx>
        <w:trPr>
          <w:cantSplit/>
          <w:trHeight w:hRule="exact" w:val="728"/>
          <w:jc w:val="center"/>
        </w:trPr>
        <w:tc>
          <w:tcPr>
            <w:tcW w:w="744" w:type="dxa"/>
            <w:vMerge/>
            <w:tcBorders>
              <w:left w:val="single" w:sz="4" w:space="0" w:color="auto"/>
              <w:bottom w:val="single" w:sz="4" w:space="0" w:color="auto"/>
              <w:right w:val="single" w:sz="4" w:space="0" w:color="auto"/>
            </w:tcBorders>
            <w:vAlign w:val="center"/>
          </w:tcPr>
          <w:p w14:paraId="7C8DF32F">
            <w:pPr>
              <w:wordWrap w:val="0"/>
              <w:jc w:val="center"/>
              <w:rPr>
                <w:sz w:val="24"/>
              </w:rPr>
            </w:pPr>
          </w:p>
        </w:tc>
        <w:tc>
          <w:tcPr>
            <w:tcW w:w="3174" w:type="dxa"/>
            <w:vMerge/>
            <w:tcBorders>
              <w:left w:val="single" w:sz="4" w:space="0" w:color="auto"/>
              <w:bottom w:val="single" w:sz="4" w:space="0" w:color="auto"/>
              <w:right w:val="single" w:sz="4" w:space="0" w:color="auto"/>
            </w:tcBorders>
            <w:vAlign w:val="center"/>
          </w:tcPr>
          <w:p w14:paraId="6CB751E6">
            <w:pPr>
              <w:wordWrap w:val="0"/>
              <w:jc w:val="center"/>
              <w:rPr>
                <w:sz w:val="24"/>
              </w:rPr>
            </w:pPr>
          </w:p>
        </w:tc>
        <w:tc>
          <w:tcPr>
            <w:tcW w:w="1368" w:type="dxa"/>
            <w:vMerge/>
            <w:tcBorders>
              <w:left w:val="single" w:sz="4" w:space="0" w:color="auto"/>
              <w:bottom w:val="single" w:sz="4" w:space="0" w:color="auto"/>
              <w:right w:val="single" w:sz="4" w:space="0" w:color="auto"/>
            </w:tcBorders>
            <w:vAlign w:val="center"/>
          </w:tcPr>
          <w:p w14:paraId="4FCDE043">
            <w:pPr>
              <w:wordWrap w:val="0"/>
              <w:jc w:val="center"/>
              <w:rPr>
                <w:sz w:val="24"/>
              </w:rPr>
            </w:pPr>
          </w:p>
        </w:tc>
        <w:tc>
          <w:tcPr>
            <w:tcW w:w="4326" w:type="dxa"/>
            <w:vMerge/>
            <w:tcBorders>
              <w:left w:val="single" w:sz="4" w:space="0" w:color="auto"/>
              <w:bottom w:val="single" w:sz="4" w:space="0" w:color="auto"/>
              <w:right w:val="single" w:sz="4" w:space="0" w:color="auto"/>
            </w:tcBorders>
            <w:vAlign w:val="center"/>
          </w:tcPr>
          <w:p w14:paraId="28213FFC">
            <w:pPr>
              <w:wordWrap w:val="0"/>
              <w:jc w:val="center"/>
              <w:rPr>
                <w:sz w:val="24"/>
              </w:rPr>
            </w:pPr>
          </w:p>
        </w:tc>
        <w:tc>
          <w:tcPr>
            <w:tcW w:w="1275" w:type="dxa"/>
            <w:vMerge/>
            <w:tcBorders>
              <w:left w:val="single" w:sz="4" w:space="0" w:color="auto"/>
              <w:bottom w:val="single" w:sz="4" w:space="0" w:color="auto"/>
              <w:right w:val="single" w:sz="4" w:space="0" w:color="auto"/>
            </w:tcBorders>
            <w:vAlign w:val="center"/>
          </w:tcPr>
          <w:p w14:paraId="1EA071A1">
            <w:pPr>
              <w:wordWrap w:val="0"/>
              <w:jc w:val="center"/>
              <w:rPr>
                <w:sz w:val="24"/>
              </w:rPr>
            </w:pPr>
          </w:p>
        </w:tc>
        <w:tc>
          <w:tcPr>
            <w:tcW w:w="1016" w:type="dxa"/>
            <w:vMerge/>
            <w:tcBorders>
              <w:left w:val="single" w:sz="4" w:space="0" w:color="auto"/>
              <w:bottom w:val="single" w:sz="4" w:space="0" w:color="auto"/>
              <w:right w:val="single" w:sz="4" w:space="0" w:color="auto"/>
            </w:tcBorders>
            <w:vAlign w:val="center"/>
          </w:tcPr>
          <w:p w14:paraId="0C33E11E">
            <w:pPr>
              <w:wordWrap w:val="0"/>
              <w:jc w:val="center"/>
              <w:rPr>
                <w:sz w:val="24"/>
              </w:rPr>
            </w:pPr>
          </w:p>
        </w:tc>
        <w:tc>
          <w:tcPr>
            <w:tcW w:w="814" w:type="dxa"/>
            <w:tcBorders>
              <w:top w:val="single" w:sz="4" w:space="0" w:color="auto"/>
              <w:left w:val="single" w:sz="4" w:space="0" w:color="auto"/>
              <w:bottom w:val="single" w:sz="4" w:space="0" w:color="auto"/>
              <w:right w:val="single" w:sz="4" w:space="0" w:color="auto"/>
            </w:tcBorders>
            <w:vAlign w:val="center"/>
          </w:tcPr>
          <w:p w14:paraId="3D4FF525">
            <w:pPr>
              <w:wordWrap w:val="0"/>
              <w:jc w:val="center"/>
              <w:rPr>
                <w:sz w:val="24"/>
              </w:rPr>
            </w:pPr>
            <w:r>
              <w:rPr>
                <w:rFonts w:hint="eastAsia"/>
                <w:sz w:val="24"/>
              </w:rPr>
              <w:t>小计</w:t>
            </w:r>
          </w:p>
        </w:tc>
        <w:tc>
          <w:tcPr>
            <w:tcW w:w="1134" w:type="dxa"/>
            <w:tcBorders>
              <w:top w:val="single" w:sz="4" w:space="0" w:color="auto"/>
              <w:left w:val="single" w:sz="4" w:space="0" w:color="auto"/>
              <w:bottom w:val="single" w:sz="4" w:space="0" w:color="auto"/>
              <w:right w:val="single" w:sz="4" w:space="0" w:color="auto"/>
            </w:tcBorders>
            <w:vAlign w:val="center"/>
          </w:tcPr>
          <w:p w14:paraId="770037D2">
            <w:pPr>
              <w:wordWrap w:val="0"/>
              <w:jc w:val="center"/>
              <w:rPr>
                <w:sz w:val="24"/>
              </w:rPr>
            </w:pPr>
            <w:r>
              <w:rPr>
                <w:rFonts w:hint="eastAsia"/>
                <w:sz w:val="24"/>
              </w:rPr>
              <w:t>其中：</w:t>
            </w:r>
          </w:p>
          <w:p w14:paraId="211F38D5">
            <w:pPr>
              <w:wordWrap w:val="0"/>
              <w:jc w:val="center"/>
              <w:rPr>
                <w:sz w:val="24"/>
              </w:rPr>
            </w:pPr>
            <w:r>
              <w:rPr>
                <w:rFonts w:hint="eastAsia"/>
                <w:sz w:val="24"/>
              </w:rPr>
              <w:t>间接费用</w:t>
            </w:r>
          </w:p>
        </w:tc>
        <w:tc>
          <w:tcPr>
            <w:tcW w:w="886" w:type="dxa"/>
            <w:vMerge/>
            <w:tcBorders>
              <w:left w:val="single" w:sz="4" w:space="0" w:color="auto"/>
              <w:bottom w:val="single" w:sz="4" w:space="0" w:color="auto"/>
              <w:right w:val="single" w:sz="4" w:space="0" w:color="auto"/>
            </w:tcBorders>
            <w:vAlign w:val="center"/>
          </w:tcPr>
          <w:p w14:paraId="45D40817">
            <w:pPr>
              <w:tabs>
                <w:tab w:val="left" w:pos="2520"/>
                <w:tab w:val="center" w:pos="4144"/>
              </w:tabs>
              <w:wordWrap w:val="0"/>
              <w:jc w:val="center"/>
              <w:rPr>
                <w:sz w:val="24"/>
              </w:rPr>
            </w:pPr>
          </w:p>
        </w:tc>
        <w:tc>
          <w:tcPr>
            <w:tcW w:w="957" w:type="dxa"/>
            <w:vMerge/>
            <w:tcBorders>
              <w:left w:val="single" w:sz="4" w:space="0" w:color="auto"/>
              <w:bottom w:val="single" w:sz="4" w:space="0" w:color="auto"/>
              <w:right w:val="single" w:sz="4" w:space="0" w:color="auto"/>
            </w:tcBorders>
            <w:vAlign w:val="center"/>
          </w:tcPr>
          <w:p w14:paraId="7247237C">
            <w:pPr>
              <w:tabs>
                <w:tab w:val="left" w:pos="2520"/>
                <w:tab w:val="center" w:pos="4144"/>
              </w:tabs>
              <w:wordWrap w:val="0"/>
              <w:jc w:val="center"/>
              <w:rPr>
                <w:sz w:val="24"/>
              </w:rPr>
            </w:pPr>
          </w:p>
        </w:tc>
      </w:tr>
      <w:tr w14:paraId="0543D874">
        <w:tblPrEx>
          <w:tblW w:w="15694" w:type="dxa"/>
          <w:jc w:val="center"/>
          <w:tblCellMar>
            <w:top w:w="0" w:type="dxa"/>
            <w:left w:w="57" w:type="dxa"/>
            <w:bottom w:w="0" w:type="dxa"/>
            <w:right w:w="57" w:type="dxa"/>
          </w:tblCellMar>
        </w:tblPrEx>
        <w:trPr>
          <w:cantSplit/>
          <w:trHeight w:val="598"/>
          <w:jc w:val="center"/>
        </w:trPr>
        <w:tc>
          <w:tcPr>
            <w:tcW w:w="744" w:type="dxa"/>
            <w:tcBorders>
              <w:top w:val="single" w:sz="4" w:space="0" w:color="auto"/>
              <w:left w:val="single" w:sz="4" w:space="0" w:color="auto"/>
              <w:bottom w:val="single" w:sz="4" w:space="0" w:color="auto"/>
              <w:right w:val="single" w:sz="4" w:space="0" w:color="auto"/>
            </w:tcBorders>
            <w:vAlign w:val="center"/>
          </w:tcPr>
          <w:p w14:paraId="7D3D3496">
            <w:pPr>
              <w:wordWrap w:val="0"/>
              <w:jc w:val="center"/>
              <w:rPr>
                <w:rFonts w:ascii="宋体" w:eastAsia="宋体" w:hAnsi="宋体" w:cs="宋体"/>
                <w:sz w:val="24"/>
              </w:rPr>
            </w:pPr>
            <w:r>
              <w:rPr>
                <w:rFonts w:ascii="宋体" w:eastAsia="宋体" w:hAnsi="宋体" w:cs="宋体"/>
                <w:sz w:val="24"/>
              </w:rPr>
              <w:t>1</w:t>
            </w:r>
          </w:p>
        </w:tc>
        <w:tc>
          <w:tcPr>
            <w:tcW w:w="3174" w:type="dxa"/>
            <w:tcBorders>
              <w:top w:val="single" w:sz="4" w:space="0" w:color="auto"/>
              <w:left w:val="single" w:sz="4" w:space="0" w:color="auto"/>
              <w:bottom w:val="single" w:sz="4" w:space="0" w:color="auto"/>
              <w:right w:val="single" w:sz="4" w:space="0" w:color="auto"/>
            </w:tcBorders>
            <w:vAlign w:val="center"/>
          </w:tcPr>
          <w:p w14:paraId="3017533B">
            <w:pPr>
              <w:wordWrap w:val="0"/>
              <w:jc w:val="left"/>
              <w:rPr>
                <w:rFonts w:ascii="宋体" w:eastAsia="宋体" w:hAnsi="宋体" w:cs="宋体"/>
                <w:sz w:val="24"/>
              </w:rPr>
            </w:pPr>
            <w:r>
              <w:rPr>
                <w:rFonts w:ascii="宋体" w:eastAsia="宋体" w:hAnsi="宋体" w:cs="宋体"/>
                <w:sz w:val="24"/>
              </w:rPr>
              <w:t>河北大学</w:t>
            </w:r>
          </w:p>
        </w:tc>
        <w:tc>
          <w:tcPr>
            <w:tcW w:w="1368" w:type="dxa"/>
            <w:tcBorders>
              <w:top w:val="single" w:sz="4" w:space="0" w:color="auto"/>
              <w:left w:val="single" w:sz="4" w:space="0" w:color="auto"/>
              <w:bottom w:val="single" w:sz="4" w:space="0" w:color="auto"/>
              <w:right w:val="single" w:sz="4" w:space="0" w:color="auto"/>
            </w:tcBorders>
            <w:vAlign w:val="center"/>
          </w:tcPr>
          <w:p w14:paraId="09E0D847">
            <w:pPr>
              <w:wordWrap w:val="0"/>
              <w:jc w:val="center"/>
              <w:rPr>
                <w:rFonts w:ascii="宋体" w:eastAsia="宋体" w:hAnsi="宋体" w:cs="宋体"/>
                <w:sz w:val="24"/>
              </w:rPr>
            </w:pPr>
            <w:r>
              <w:rPr>
                <w:rFonts w:ascii="宋体" w:eastAsia="宋体" w:hAnsi="宋体" w:cs="宋体"/>
                <w:sz w:val="24"/>
              </w:rPr>
              <w:t>申报单位</w:t>
            </w:r>
          </w:p>
        </w:tc>
        <w:tc>
          <w:tcPr>
            <w:tcW w:w="4326" w:type="dxa"/>
            <w:tcBorders>
              <w:top w:val="single" w:sz="4" w:space="0" w:color="auto"/>
              <w:left w:val="single" w:sz="4" w:space="0" w:color="auto"/>
              <w:bottom w:val="single" w:sz="4" w:space="0" w:color="auto"/>
              <w:right w:val="single" w:sz="4" w:space="0" w:color="auto"/>
            </w:tcBorders>
            <w:vAlign w:val="center"/>
          </w:tcPr>
          <w:p w14:paraId="11D5C71B">
            <w:pPr>
              <w:wordWrap w:val="0"/>
              <w:jc w:val="left"/>
              <w:rPr>
                <w:rFonts w:ascii="宋体" w:eastAsia="宋体" w:hAnsi="宋体" w:cs="宋体"/>
                <w:sz w:val="24"/>
              </w:rPr>
            </w:pPr>
            <w:r>
              <w:rPr>
                <w:rFonts w:ascii="宋体" w:eastAsia="宋体" w:hAnsi="宋体" w:cs="宋体"/>
                <w:sz w:val="24"/>
              </w:rPr>
              <w:t>项目全部工作</w:t>
            </w:r>
          </w:p>
        </w:tc>
        <w:tc>
          <w:tcPr>
            <w:tcW w:w="1275" w:type="dxa"/>
            <w:tcBorders>
              <w:top w:val="single" w:sz="4" w:space="0" w:color="auto"/>
              <w:left w:val="single" w:sz="4" w:space="0" w:color="auto"/>
              <w:bottom w:val="single" w:sz="4" w:space="0" w:color="auto"/>
              <w:right w:val="single" w:sz="4" w:space="0" w:color="auto"/>
            </w:tcBorders>
            <w:vAlign w:val="center"/>
          </w:tcPr>
          <w:p w14:paraId="514409D6">
            <w:pPr>
              <w:wordWrap w:val="0"/>
              <w:jc w:val="center"/>
              <w:rPr>
                <w:rFonts w:ascii="宋体" w:eastAsia="宋体" w:hAnsi="宋体" w:cs="宋体"/>
                <w:sz w:val="24"/>
              </w:rPr>
            </w:pPr>
            <w:r>
              <w:rPr>
                <w:rFonts w:ascii="宋体" w:eastAsia="宋体" w:hAnsi="宋体" w:cs="宋体"/>
                <w:sz w:val="24"/>
              </w:rPr>
              <w:t>马宏强</w:t>
            </w:r>
          </w:p>
        </w:tc>
        <w:tc>
          <w:tcPr>
            <w:tcW w:w="1016" w:type="dxa"/>
            <w:tcBorders>
              <w:top w:val="single" w:sz="4" w:space="0" w:color="auto"/>
              <w:left w:val="single" w:sz="4" w:space="0" w:color="auto"/>
              <w:bottom w:val="single" w:sz="4" w:space="0" w:color="auto"/>
              <w:right w:val="single" w:sz="4" w:space="0" w:color="auto"/>
            </w:tcBorders>
            <w:vAlign w:val="center"/>
          </w:tcPr>
          <w:p w14:paraId="3A3A24F8">
            <w:pPr>
              <w:wordWrap w:val="0"/>
              <w:jc w:val="center"/>
              <w:rPr>
                <w:rFonts w:ascii="宋体" w:eastAsia="宋体" w:hAnsi="宋体" w:cs="宋体"/>
                <w:sz w:val="24"/>
              </w:rPr>
            </w:pPr>
            <w:r>
              <w:rPr>
                <w:rFonts w:ascii="宋体" w:eastAsia="宋体" w:hAnsi="宋体" w:cs="宋体"/>
                <w:sz w:val="24"/>
              </w:rPr>
              <w:t>6.00</w:t>
            </w:r>
          </w:p>
        </w:tc>
        <w:tc>
          <w:tcPr>
            <w:tcW w:w="814" w:type="dxa"/>
            <w:tcBorders>
              <w:top w:val="single" w:sz="4" w:space="0" w:color="auto"/>
              <w:left w:val="single" w:sz="4" w:space="0" w:color="auto"/>
              <w:bottom w:val="single" w:sz="4" w:space="0" w:color="auto"/>
              <w:right w:val="single" w:sz="4" w:space="0" w:color="auto"/>
            </w:tcBorders>
            <w:vAlign w:val="center"/>
          </w:tcPr>
          <w:p w14:paraId="63A909D8">
            <w:pPr>
              <w:wordWrap w:val="0"/>
              <w:jc w:val="center"/>
              <w:rPr>
                <w:rFonts w:ascii="宋体" w:eastAsia="宋体" w:hAnsi="宋体" w:cs="宋体"/>
                <w:sz w:val="24"/>
              </w:rPr>
            </w:pPr>
            <w:r>
              <w:rPr>
                <w:rFonts w:ascii="宋体" w:eastAsia="宋体" w:hAnsi="宋体" w:cs="宋体"/>
                <w:sz w:val="24"/>
              </w:rPr>
              <w:t>6.00</w:t>
            </w:r>
          </w:p>
        </w:tc>
        <w:tc>
          <w:tcPr>
            <w:tcW w:w="1134" w:type="dxa"/>
            <w:tcBorders>
              <w:top w:val="single" w:sz="4" w:space="0" w:color="auto"/>
              <w:left w:val="single" w:sz="4" w:space="0" w:color="auto"/>
              <w:bottom w:val="single" w:sz="4" w:space="0" w:color="auto"/>
              <w:right w:val="single" w:sz="4" w:space="0" w:color="auto"/>
            </w:tcBorders>
            <w:vAlign w:val="center"/>
          </w:tcPr>
          <w:p w14:paraId="66EB95CF">
            <w:pPr>
              <w:wordWrap w:val="0"/>
              <w:jc w:val="center"/>
              <w:rPr>
                <w:rFonts w:ascii="宋体" w:eastAsia="宋体" w:hAnsi="宋体" w:cs="宋体"/>
                <w:sz w:val="24"/>
              </w:rPr>
            </w:pPr>
            <w:r>
              <w:rPr>
                <w:rFonts w:ascii="宋体" w:eastAsia="宋体" w:hAnsi="宋体" w:cs="宋体"/>
                <w:sz w:val="24"/>
              </w:rPr>
              <w:t>0.60</w:t>
            </w:r>
          </w:p>
        </w:tc>
        <w:tc>
          <w:tcPr>
            <w:tcW w:w="886" w:type="dxa"/>
            <w:tcBorders>
              <w:top w:val="single" w:sz="4" w:space="0" w:color="auto"/>
              <w:left w:val="single" w:sz="4" w:space="0" w:color="auto"/>
              <w:bottom w:val="single" w:sz="4" w:space="0" w:color="auto"/>
              <w:right w:val="single" w:sz="4" w:space="0" w:color="auto"/>
            </w:tcBorders>
            <w:vAlign w:val="center"/>
          </w:tcPr>
          <w:p w14:paraId="76DF0714">
            <w:pPr>
              <w:tabs>
                <w:tab w:val="left" w:pos="2520"/>
                <w:tab w:val="center" w:pos="4144"/>
              </w:tabs>
              <w:wordWrap w:val="0"/>
              <w:jc w:val="center"/>
              <w:rPr>
                <w:rFonts w:ascii="宋体" w:eastAsia="宋体" w:hAnsi="宋体" w:cs="宋体"/>
                <w:sz w:val="24"/>
              </w:rPr>
            </w:pPr>
            <w:r>
              <w:rPr>
                <w:rFonts w:ascii="宋体" w:eastAsia="宋体" w:hAnsi="宋体" w:cs="宋体"/>
                <w:sz w:val="24"/>
              </w:rPr>
              <w:t>0.00</w:t>
            </w:r>
          </w:p>
        </w:tc>
        <w:tc>
          <w:tcPr>
            <w:tcW w:w="957" w:type="dxa"/>
            <w:tcBorders>
              <w:top w:val="single" w:sz="4" w:space="0" w:color="auto"/>
              <w:left w:val="single" w:sz="4" w:space="0" w:color="auto"/>
              <w:bottom w:val="single" w:sz="4" w:space="0" w:color="auto"/>
              <w:right w:val="single" w:sz="4" w:space="0" w:color="auto"/>
            </w:tcBorders>
            <w:vAlign w:val="center"/>
          </w:tcPr>
          <w:p w14:paraId="651F8525">
            <w:pPr>
              <w:tabs>
                <w:tab w:val="left" w:pos="2520"/>
                <w:tab w:val="center" w:pos="4144"/>
              </w:tabs>
              <w:wordWrap w:val="0"/>
              <w:jc w:val="center"/>
              <w:rPr>
                <w:rFonts w:ascii="宋体" w:eastAsia="宋体" w:hAnsi="宋体" w:cs="宋体"/>
                <w:sz w:val="24"/>
              </w:rPr>
            </w:pPr>
            <w:r>
              <w:rPr>
                <w:rFonts w:ascii="宋体" w:eastAsia="宋体" w:hAnsi="宋体" w:cs="宋体"/>
                <w:sz w:val="24"/>
              </w:rPr>
              <w:t>0.00</w:t>
            </w:r>
          </w:p>
        </w:tc>
      </w:tr>
    </w:tbl>
    <w:p w14:paraId="16D37EDC">
      <w:pPr>
        <w:wordWrap w:val="0"/>
        <w:rPr>
          <w:sz w:val="10"/>
          <w:szCs w:val="10"/>
        </w:rPr>
        <w:sectPr>
          <w:pgSz w:w="16838" w:h="11906" w:orient="landscape"/>
          <w:pgMar w:top="1418" w:right="1418" w:bottom="1418" w:left="1418" w:header="851" w:footer="851" w:gutter="0"/>
          <w:cols w:num="1" w:space="425"/>
          <w:docGrid w:linePitch="381" w:charSpace="0"/>
        </w:sectPr>
      </w:pPr>
    </w:p>
    <w:p w14:paraId="4AB6718C">
      <w:pPr>
        <w:wordWrap w:val="0"/>
        <w:spacing w:line="360" w:lineRule="auto"/>
        <w:ind w:firstLine="560" w:firstLineChars="200"/>
        <w:jc w:val="center"/>
        <w:rPr>
          <w:b/>
          <w:szCs w:val="28"/>
          <w:highlight w:val="yellow"/>
        </w:rPr>
      </w:pPr>
      <w:r>
        <w:rPr>
          <w:rFonts w:hint="eastAsia"/>
          <w:b/>
          <w:szCs w:val="28"/>
        </w:rPr>
        <w:t>项目绩效评价考核目标及指标</w:t>
      </w:r>
    </w:p>
    <w:tbl>
      <w:tblPr>
        <w:tblStyle w:val="TableNormal"/>
        <w:tblW w:w="15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34"/>
        <w:gridCol w:w="5647"/>
        <w:gridCol w:w="2463"/>
        <w:gridCol w:w="2410"/>
        <w:gridCol w:w="2126"/>
        <w:gridCol w:w="2182"/>
      </w:tblGrid>
      <w:tr w14:paraId="3C1251AF">
        <w:tblPrEx>
          <w:tblW w:w="15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1023"/>
          <w:jc w:val="center"/>
        </w:trPr>
        <w:tc>
          <w:tcPr>
            <w:tcW w:w="934" w:type="dxa"/>
            <w:vMerge w:val="restart"/>
            <w:tcBorders>
              <w:top w:val="single" w:sz="4" w:space="0" w:color="auto"/>
              <w:left w:val="single" w:sz="4" w:space="0" w:color="auto"/>
              <w:bottom w:val="single" w:sz="4" w:space="0" w:color="auto"/>
              <w:right w:val="single" w:sz="4" w:space="0" w:color="auto"/>
            </w:tcBorders>
            <w:vAlign w:val="center"/>
          </w:tcPr>
          <w:p w14:paraId="542EE778">
            <w:pPr>
              <w:wordWrap w:val="0"/>
              <w:spacing w:line="320" w:lineRule="exact"/>
              <w:jc w:val="center"/>
              <w:rPr>
                <w:bCs/>
                <w:sz w:val="24"/>
              </w:rPr>
            </w:pPr>
            <w:r>
              <w:rPr>
                <w:rFonts w:hint="eastAsia"/>
                <w:bCs/>
                <w:sz w:val="24"/>
              </w:rPr>
              <w:t>总体</w:t>
            </w:r>
          </w:p>
          <w:p w14:paraId="2672B7BE">
            <w:pPr>
              <w:wordWrap w:val="0"/>
              <w:spacing w:line="320" w:lineRule="exact"/>
              <w:jc w:val="center"/>
              <w:rPr>
                <w:bCs/>
                <w:sz w:val="24"/>
              </w:rPr>
            </w:pPr>
            <w:r>
              <w:rPr>
                <w:rFonts w:hint="eastAsia"/>
                <w:bCs/>
                <w:sz w:val="24"/>
              </w:rPr>
              <w:t>目标</w:t>
            </w:r>
          </w:p>
        </w:tc>
        <w:tc>
          <w:tcPr>
            <w:tcW w:w="8110" w:type="dxa"/>
            <w:gridSpan w:val="2"/>
            <w:tcBorders>
              <w:top w:val="single" w:sz="4" w:space="0" w:color="auto"/>
              <w:left w:val="single" w:sz="4" w:space="0" w:color="auto"/>
              <w:bottom w:val="single" w:sz="4" w:space="0" w:color="auto"/>
              <w:right w:val="single" w:sz="4" w:space="0" w:color="auto"/>
            </w:tcBorders>
            <w:vAlign w:val="center"/>
          </w:tcPr>
          <w:p w14:paraId="19FFC300">
            <w:pPr>
              <w:wordWrap w:val="0"/>
              <w:spacing w:line="240" w:lineRule="exact"/>
              <w:jc w:val="center"/>
              <w:rPr>
                <w:bCs/>
                <w:sz w:val="24"/>
              </w:rPr>
            </w:pPr>
            <w:r>
              <w:rPr>
                <w:rFonts w:hint="eastAsia"/>
                <w:bCs/>
                <w:sz w:val="24"/>
              </w:rPr>
              <w:t>实施期目标</w:t>
            </w:r>
          </w:p>
        </w:tc>
        <w:tc>
          <w:tcPr>
            <w:tcW w:w="2410" w:type="dxa"/>
            <w:tcBorders>
              <w:top w:val="single" w:sz="4" w:space="0" w:color="auto"/>
              <w:left w:val="single" w:sz="4" w:space="0" w:color="auto"/>
              <w:bottom w:val="single" w:sz="4" w:space="0" w:color="auto"/>
              <w:right w:val="single" w:sz="4" w:space="0" w:color="auto"/>
            </w:tcBorders>
            <w:vAlign w:val="center"/>
          </w:tcPr>
          <w:p w14:paraId="03E89BB7">
            <w:pPr>
              <w:wordWrap w:val="0"/>
              <w:spacing w:line="360" w:lineRule="exact"/>
              <w:jc w:val="center"/>
              <w:rPr>
                <w:bCs/>
                <w:sz w:val="24"/>
              </w:rPr>
            </w:pPr>
            <w:r>
              <w:rPr>
                <w:rFonts w:hint="eastAsia"/>
                <w:bCs/>
                <w:sz w:val="24"/>
              </w:rPr>
              <w:t>第一年度目标</w:t>
            </w:r>
          </w:p>
          <w:p w14:paraId="0DAA5E40">
            <w:pPr>
              <w:wordWrap w:val="0"/>
              <w:spacing w:line="360" w:lineRule="exact"/>
              <w:jc w:val="center"/>
              <w:rPr>
                <w:bCs/>
                <w:sz w:val="24"/>
              </w:rPr>
            </w:pPr>
            <w:r>
              <w:rPr>
                <w:rFonts w:hint="eastAsia"/>
                <w:bCs/>
                <w:sz w:val="24"/>
              </w:rPr>
              <w:t>（当前年度</w:t>
            </w:r>
            <w:r>
              <w:rPr>
                <w:bCs/>
                <w:sz w:val="24"/>
              </w:rPr>
              <w:t>）</w:t>
            </w:r>
          </w:p>
        </w:tc>
        <w:tc>
          <w:tcPr>
            <w:tcW w:w="2126" w:type="dxa"/>
            <w:tcBorders>
              <w:top w:val="single" w:sz="4" w:space="0" w:color="auto"/>
              <w:left w:val="single" w:sz="4" w:space="0" w:color="auto"/>
              <w:bottom w:val="single" w:sz="4" w:space="0" w:color="auto"/>
              <w:right w:val="single" w:sz="4" w:space="0" w:color="auto"/>
            </w:tcBorders>
            <w:vAlign w:val="center"/>
          </w:tcPr>
          <w:p w14:paraId="5BEE7B84">
            <w:pPr>
              <w:wordWrap w:val="0"/>
              <w:spacing w:line="360" w:lineRule="exact"/>
              <w:jc w:val="center"/>
              <w:rPr>
                <w:bCs/>
                <w:sz w:val="24"/>
              </w:rPr>
            </w:pPr>
            <w:r>
              <w:rPr>
                <w:rFonts w:hint="eastAsia"/>
                <w:bCs/>
                <w:sz w:val="24"/>
              </w:rPr>
              <w:t>第二年度目标</w:t>
            </w:r>
          </w:p>
          <w:p w14:paraId="67054E9E">
            <w:pPr>
              <w:wordWrap w:val="0"/>
              <w:spacing w:line="360" w:lineRule="exact"/>
              <w:jc w:val="center"/>
              <w:rPr>
                <w:bCs/>
                <w:sz w:val="24"/>
              </w:rPr>
            </w:pPr>
            <w:r>
              <w:rPr>
                <w:rFonts w:hint="eastAsia"/>
                <w:bCs/>
                <w:sz w:val="24"/>
              </w:rPr>
              <w:t>（当前年度</w:t>
            </w:r>
            <w:r>
              <w:rPr>
                <w:bCs/>
                <w:sz w:val="24"/>
              </w:rPr>
              <w:t>）</w:t>
            </w:r>
          </w:p>
        </w:tc>
        <w:tc>
          <w:tcPr>
            <w:tcW w:w="2182" w:type="dxa"/>
            <w:tcBorders>
              <w:top w:val="single" w:sz="4" w:space="0" w:color="auto"/>
              <w:left w:val="single" w:sz="4" w:space="0" w:color="auto"/>
              <w:bottom w:val="single" w:sz="4" w:space="0" w:color="auto"/>
              <w:right w:val="single" w:sz="4" w:space="0" w:color="auto"/>
            </w:tcBorders>
            <w:vAlign w:val="center"/>
          </w:tcPr>
          <w:p w14:paraId="51A5F12B">
            <w:pPr>
              <w:wordWrap w:val="0"/>
              <w:spacing w:line="360" w:lineRule="exact"/>
              <w:jc w:val="center"/>
              <w:rPr>
                <w:bCs/>
                <w:sz w:val="24"/>
              </w:rPr>
            </w:pPr>
            <w:r>
              <w:rPr>
                <w:rFonts w:hint="eastAsia"/>
                <w:bCs/>
                <w:sz w:val="24"/>
              </w:rPr>
              <w:t>第三年度目标</w:t>
            </w:r>
          </w:p>
          <w:p w14:paraId="6621DC6E">
            <w:pPr>
              <w:wordWrap w:val="0"/>
              <w:spacing w:line="360" w:lineRule="exact"/>
              <w:jc w:val="center"/>
              <w:rPr>
                <w:bCs/>
                <w:sz w:val="24"/>
              </w:rPr>
            </w:pPr>
            <w:r>
              <w:rPr>
                <w:rFonts w:hint="eastAsia"/>
                <w:bCs/>
                <w:sz w:val="24"/>
              </w:rPr>
              <w:t>（当前年度</w:t>
            </w:r>
            <w:r>
              <w:rPr>
                <w:bCs/>
                <w:sz w:val="24"/>
              </w:rPr>
              <w:t>）</w:t>
            </w:r>
          </w:p>
        </w:tc>
      </w:tr>
      <w:tr w14:paraId="57C22602">
        <w:tblPrEx>
          <w:tblW w:w="15762" w:type="dxa"/>
          <w:jc w:val="center"/>
          <w:tblLayout w:type="fixed"/>
          <w:tblCellMar>
            <w:top w:w="0" w:type="dxa"/>
            <w:left w:w="108" w:type="dxa"/>
            <w:bottom w:w="0" w:type="dxa"/>
            <w:right w:w="108" w:type="dxa"/>
          </w:tblCellMar>
        </w:tblPrEx>
        <w:trPr>
          <w:trHeight w:val="769"/>
          <w:jc w:val="center"/>
        </w:trPr>
        <w:tc>
          <w:tcPr>
            <w:tcW w:w="934" w:type="dxa"/>
            <w:vMerge/>
            <w:tcBorders>
              <w:top w:val="single" w:sz="4" w:space="0" w:color="auto"/>
              <w:left w:val="single" w:sz="4" w:space="0" w:color="auto"/>
              <w:bottom w:val="single" w:sz="4" w:space="0" w:color="auto"/>
              <w:right w:val="single" w:sz="4" w:space="0" w:color="auto"/>
            </w:tcBorders>
            <w:vAlign w:val="center"/>
          </w:tcPr>
          <w:p w14:paraId="25D48BBB">
            <w:pPr>
              <w:wordWrap w:val="0"/>
              <w:rPr>
                <w:bCs/>
                <w:sz w:val="24"/>
              </w:rPr>
            </w:pPr>
          </w:p>
        </w:tc>
        <w:tc>
          <w:tcPr>
            <w:tcW w:w="8110" w:type="dxa"/>
            <w:gridSpan w:val="2"/>
            <w:tcBorders>
              <w:top w:val="single" w:sz="4" w:space="0" w:color="auto"/>
              <w:left w:val="single" w:sz="4" w:space="0" w:color="auto"/>
              <w:bottom w:val="single" w:sz="4" w:space="0" w:color="auto"/>
              <w:right w:val="single" w:sz="4" w:space="0" w:color="auto"/>
            </w:tcBorders>
            <w:vAlign w:val="center"/>
          </w:tcPr>
          <w:p w14:paraId="660140A6">
            <w:pPr>
              <w:wordWrap w:val="0"/>
              <w:spacing w:line="240" w:lineRule="exact"/>
              <w:rPr>
                <w:rFonts w:ascii="宋体" w:eastAsia="宋体" w:hAnsi="宋体" w:cs="宋体"/>
                <w:bCs/>
                <w:sz w:val="24"/>
              </w:rPr>
            </w:pPr>
            <w:r>
              <w:rPr>
                <w:rFonts w:ascii="宋体" w:eastAsia="宋体" w:hAnsi="宋体" w:cs="宋体"/>
                <w:bCs/>
                <w:sz w:val="24"/>
              </w:rPr>
              <w:t>（1）提出“孔隙-水-离子传输”多因素调控理论，深入揭示碱激发材料电解质在多因素影响下的导电机制。制备碱激发材料超级电容器，开展无/有荷载状态下超级电容器的电化学特性，揭示碱激发材料超级电容器的储能机理。开展碱激发材料超级电容器的长期稳定性研究，揭示长时间充放电失效机理，系统给出提升碱激发材料超级电容器性能的优化方案；</w:t>
            </w:r>
          </w:p>
          <w:p>
            <w:pPr>
              <w:wordWrap w:val="0"/>
              <w:spacing w:line="240" w:lineRule="exact"/>
              <w:rPr>
                <w:rFonts w:ascii="宋体" w:eastAsia="宋体" w:hAnsi="宋体" w:cs="宋体"/>
                <w:bCs/>
                <w:sz w:val="24"/>
              </w:rPr>
            </w:pPr>
            <w:r>
              <w:rPr>
                <w:rFonts w:ascii="宋体" w:eastAsia="宋体" w:hAnsi="宋体" w:cs="宋体"/>
                <w:bCs/>
                <w:sz w:val="24"/>
              </w:rPr>
              <w:t>（2）拟发表国内外高水平SCI/EI学术论文4-6篇；</w:t>
            </w:r>
          </w:p>
          <w:p>
            <w:pPr>
              <w:wordWrap w:val="0"/>
              <w:spacing w:line="240" w:lineRule="exact"/>
              <w:rPr>
                <w:rFonts w:ascii="宋体" w:eastAsia="宋体" w:hAnsi="宋体" w:cs="宋体"/>
                <w:bCs/>
                <w:sz w:val="24"/>
              </w:rPr>
            </w:pPr>
            <w:r>
              <w:rPr>
                <w:rFonts w:ascii="宋体" w:eastAsia="宋体" w:hAnsi="宋体" w:cs="宋体"/>
                <w:bCs/>
                <w:sz w:val="24"/>
              </w:rPr>
              <w:t>（3）培养硕士研究生3-4名。</w:t>
            </w:r>
          </w:p>
        </w:tc>
        <w:tc>
          <w:tcPr>
            <w:tcW w:w="2410" w:type="dxa"/>
            <w:tcBorders>
              <w:top w:val="single" w:sz="4" w:space="0" w:color="auto"/>
              <w:left w:val="single" w:sz="4" w:space="0" w:color="auto"/>
              <w:bottom w:val="single" w:sz="4" w:space="0" w:color="auto"/>
              <w:right w:val="single" w:sz="4" w:space="0" w:color="auto"/>
            </w:tcBorders>
            <w:vAlign w:val="center"/>
          </w:tcPr>
          <w:p w14:paraId="591A1797">
            <w:pPr>
              <w:wordWrap w:val="0"/>
              <w:spacing w:line="240" w:lineRule="exact"/>
              <w:rPr>
                <w:rFonts w:ascii="宋体" w:eastAsia="宋体" w:hAnsi="宋体" w:cs="宋体"/>
                <w:bCs/>
                <w:sz w:val="24"/>
              </w:rPr>
            </w:pPr>
            <w:r>
              <w:rPr>
                <w:rFonts w:ascii="宋体" w:eastAsia="宋体" w:hAnsi="宋体" w:cs="宋体"/>
                <w:bCs/>
                <w:sz w:val="24"/>
              </w:rPr>
              <w:t>（1）量化研究变量与导电性能之间的关系，剖析影响导电性能的关键参数和因素；</w:t>
            </w:r>
          </w:p>
          <w:p>
            <w:pPr>
              <w:wordWrap w:val="0"/>
              <w:spacing w:line="240" w:lineRule="exact"/>
              <w:rPr>
                <w:rFonts w:ascii="宋体" w:eastAsia="宋体" w:hAnsi="宋体" w:cs="宋体"/>
                <w:bCs/>
                <w:sz w:val="24"/>
              </w:rPr>
            </w:pPr>
            <w:r>
              <w:rPr>
                <w:rFonts w:ascii="宋体" w:eastAsia="宋体" w:hAnsi="宋体" w:cs="宋体"/>
                <w:bCs/>
                <w:sz w:val="24"/>
              </w:rPr>
              <w:t>（2）提出“孔隙-水-离子传输”多因素调控理论；</w:t>
            </w:r>
          </w:p>
          <w:p>
            <w:pPr>
              <w:wordWrap w:val="0"/>
              <w:spacing w:line="240" w:lineRule="exact"/>
              <w:rPr>
                <w:rFonts w:ascii="宋体" w:eastAsia="宋体" w:hAnsi="宋体" w:cs="宋体"/>
                <w:bCs/>
                <w:sz w:val="24"/>
              </w:rPr>
            </w:pPr>
            <w:r>
              <w:rPr>
                <w:rFonts w:ascii="宋体" w:eastAsia="宋体" w:hAnsi="宋体" w:cs="宋体"/>
                <w:bCs/>
                <w:sz w:val="24"/>
              </w:rPr>
              <w:t>（3）深入揭示碱激发材料电解质在多因素影响下的导电机制；</w:t>
            </w:r>
          </w:p>
          <w:p>
            <w:pPr>
              <w:wordWrap w:val="0"/>
              <w:spacing w:line="240" w:lineRule="exact"/>
              <w:rPr>
                <w:rFonts w:ascii="宋体" w:eastAsia="宋体" w:hAnsi="宋体" w:cs="宋体"/>
                <w:bCs/>
                <w:sz w:val="24"/>
              </w:rPr>
            </w:pPr>
            <w:r>
              <w:rPr>
                <w:rFonts w:ascii="宋体" w:eastAsia="宋体" w:hAnsi="宋体" w:cs="宋体"/>
                <w:bCs/>
                <w:sz w:val="24"/>
              </w:rPr>
              <w:t>（4）发表学术论文1-2篇，培养研究生1-2名。</w:t>
            </w:r>
          </w:p>
        </w:tc>
        <w:tc>
          <w:tcPr>
            <w:tcW w:w="2126" w:type="dxa"/>
            <w:tcBorders>
              <w:top w:val="single" w:sz="4" w:space="0" w:color="auto"/>
              <w:left w:val="single" w:sz="4" w:space="0" w:color="auto"/>
              <w:bottom w:val="single" w:sz="4" w:space="0" w:color="auto"/>
              <w:right w:val="single" w:sz="4" w:space="0" w:color="auto"/>
            </w:tcBorders>
            <w:vAlign w:val="center"/>
          </w:tcPr>
          <w:p w14:paraId="5907DC49">
            <w:pPr>
              <w:wordWrap w:val="0"/>
              <w:spacing w:line="240" w:lineRule="exact"/>
              <w:rPr>
                <w:rFonts w:ascii="宋体" w:eastAsia="宋体" w:hAnsi="宋体" w:cs="宋体"/>
                <w:bCs/>
                <w:sz w:val="24"/>
              </w:rPr>
            </w:pPr>
            <w:r>
              <w:rPr>
                <w:rFonts w:ascii="宋体" w:eastAsia="宋体" w:hAnsi="宋体" w:cs="宋体"/>
                <w:bCs/>
                <w:sz w:val="24"/>
              </w:rPr>
              <w:t>（1）评价碱激发材料超级电容器的电荷存储能力、能量转换效率和循环稳定性等；</w:t>
            </w:r>
          </w:p>
          <w:p>
            <w:pPr>
              <w:wordWrap w:val="0"/>
              <w:spacing w:line="240" w:lineRule="exact"/>
              <w:rPr>
                <w:rFonts w:ascii="宋体" w:eastAsia="宋体" w:hAnsi="宋体" w:cs="宋体"/>
                <w:bCs/>
                <w:sz w:val="24"/>
              </w:rPr>
            </w:pPr>
            <w:r>
              <w:rPr>
                <w:rFonts w:ascii="宋体" w:eastAsia="宋体" w:hAnsi="宋体" w:cs="宋体"/>
                <w:bCs/>
                <w:sz w:val="24"/>
              </w:rPr>
              <w:t>（2）评价受荷状态下超级电容器的电化学响应特性；</w:t>
            </w:r>
          </w:p>
          <w:p>
            <w:pPr>
              <w:wordWrap w:val="0"/>
              <w:spacing w:line="240" w:lineRule="exact"/>
              <w:rPr>
                <w:rFonts w:ascii="宋体" w:eastAsia="宋体" w:hAnsi="宋体" w:cs="宋体"/>
                <w:bCs/>
                <w:sz w:val="24"/>
              </w:rPr>
            </w:pPr>
            <w:r>
              <w:rPr>
                <w:rFonts w:ascii="宋体" w:eastAsia="宋体" w:hAnsi="宋体" w:cs="宋体"/>
                <w:bCs/>
                <w:sz w:val="24"/>
              </w:rPr>
              <w:t>（3）深入揭示碱激发材料超级电容器的储能机理；</w:t>
            </w:r>
          </w:p>
          <w:p>
            <w:pPr>
              <w:wordWrap w:val="0"/>
              <w:spacing w:line="240" w:lineRule="exact"/>
              <w:rPr>
                <w:rFonts w:ascii="宋体" w:eastAsia="宋体" w:hAnsi="宋体" w:cs="宋体"/>
                <w:bCs/>
                <w:sz w:val="24"/>
              </w:rPr>
            </w:pPr>
            <w:r>
              <w:rPr>
                <w:rFonts w:ascii="宋体" w:eastAsia="宋体" w:hAnsi="宋体" w:cs="宋体"/>
                <w:bCs/>
                <w:sz w:val="24"/>
              </w:rPr>
              <w:t>（4）发表学术论文2-3篇，培养研究生1-2名。</w:t>
            </w:r>
          </w:p>
        </w:tc>
        <w:tc>
          <w:tcPr>
            <w:tcW w:w="2182" w:type="dxa"/>
            <w:tcBorders>
              <w:top w:val="single" w:sz="4" w:space="0" w:color="auto"/>
              <w:left w:val="single" w:sz="4" w:space="0" w:color="auto"/>
              <w:bottom w:val="single" w:sz="4" w:space="0" w:color="auto"/>
              <w:right w:val="single" w:sz="4" w:space="0" w:color="auto"/>
            </w:tcBorders>
            <w:vAlign w:val="center"/>
          </w:tcPr>
          <w:p w14:paraId="1D9AD3F5">
            <w:pPr>
              <w:wordWrap w:val="0"/>
              <w:spacing w:line="240" w:lineRule="exact"/>
              <w:rPr>
                <w:rFonts w:ascii="宋体" w:eastAsia="宋体" w:hAnsi="宋体" w:cs="宋体"/>
                <w:bCs/>
                <w:sz w:val="24"/>
              </w:rPr>
            </w:pPr>
            <w:r>
              <w:rPr>
                <w:rFonts w:ascii="宋体" w:eastAsia="宋体" w:hAnsi="宋体" w:cs="宋体"/>
                <w:bCs/>
                <w:sz w:val="24"/>
              </w:rPr>
              <w:t>（1）评估超级电容器在长时间工作条件下的稳定性和可靠性；</w:t>
            </w:r>
          </w:p>
          <w:p>
            <w:pPr>
              <w:wordWrap w:val="0"/>
              <w:spacing w:line="240" w:lineRule="exact"/>
              <w:rPr>
                <w:rFonts w:ascii="宋体" w:eastAsia="宋体" w:hAnsi="宋体" w:cs="宋体"/>
                <w:bCs/>
                <w:sz w:val="24"/>
              </w:rPr>
            </w:pPr>
            <w:r>
              <w:rPr>
                <w:rFonts w:ascii="宋体" w:eastAsia="宋体" w:hAnsi="宋体" w:cs="宋体"/>
                <w:bCs/>
                <w:sz w:val="24"/>
              </w:rPr>
              <w:t>（2）揭示长时间充放电失效机理；</w:t>
            </w:r>
          </w:p>
          <w:p>
            <w:pPr>
              <w:wordWrap w:val="0"/>
              <w:spacing w:line="240" w:lineRule="exact"/>
              <w:rPr>
                <w:rFonts w:ascii="宋体" w:eastAsia="宋体" w:hAnsi="宋体" w:cs="宋体"/>
                <w:bCs/>
                <w:sz w:val="24"/>
              </w:rPr>
            </w:pPr>
            <w:r>
              <w:rPr>
                <w:rFonts w:ascii="宋体" w:eastAsia="宋体" w:hAnsi="宋体" w:cs="宋体"/>
                <w:bCs/>
                <w:sz w:val="24"/>
              </w:rPr>
              <w:t>（3）系统给出提升碱激发材料超级电容器性能的优化方案；</w:t>
            </w:r>
          </w:p>
          <w:p>
            <w:pPr>
              <w:wordWrap w:val="0"/>
              <w:spacing w:line="240" w:lineRule="exact"/>
              <w:rPr>
                <w:rFonts w:ascii="宋体" w:eastAsia="宋体" w:hAnsi="宋体" w:cs="宋体"/>
                <w:bCs/>
                <w:sz w:val="24"/>
              </w:rPr>
            </w:pPr>
            <w:r>
              <w:rPr>
                <w:rFonts w:ascii="宋体" w:eastAsia="宋体" w:hAnsi="宋体" w:cs="宋体"/>
                <w:bCs/>
                <w:sz w:val="24"/>
              </w:rPr>
              <w:t>（4）发表学术论文2-3篇，培养研究生1-2名。</w:t>
            </w:r>
          </w:p>
        </w:tc>
      </w:tr>
      <w:tr w14:paraId="774A2E1F">
        <w:tblPrEx>
          <w:tblW w:w="15762" w:type="dxa"/>
          <w:jc w:val="center"/>
          <w:tblLayout w:type="fixed"/>
          <w:tblCellMar>
            <w:top w:w="0" w:type="dxa"/>
            <w:left w:w="108" w:type="dxa"/>
            <w:bottom w:w="0" w:type="dxa"/>
            <w:right w:w="108" w:type="dxa"/>
          </w:tblCellMar>
        </w:tblPrEx>
        <w:trPr>
          <w:trHeight w:hRule="exact" w:val="874"/>
          <w:jc w:val="center"/>
        </w:trPr>
        <w:tc>
          <w:tcPr>
            <w:tcW w:w="934" w:type="dxa"/>
            <w:vMerge w:val="restart"/>
            <w:tcBorders>
              <w:top w:val="single" w:sz="4" w:space="0" w:color="auto"/>
              <w:left w:val="single" w:sz="4" w:space="0" w:color="auto"/>
              <w:bottom w:val="single" w:sz="4" w:space="0" w:color="auto"/>
              <w:right w:val="single" w:sz="4" w:space="0" w:color="auto"/>
            </w:tcBorders>
            <w:vAlign w:val="center"/>
          </w:tcPr>
          <w:p w14:paraId="4E3909EB">
            <w:pPr>
              <w:wordWrap w:val="0"/>
              <w:spacing w:line="320" w:lineRule="exact"/>
              <w:jc w:val="center"/>
              <w:rPr>
                <w:bCs/>
                <w:sz w:val="24"/>
              </w:rPr>
            </w:pPr>
            <w:r>
              <w:rPr>
                <w:rFonts w:hint="eastAsia"/>
                <w:bCs/>
                <w:sz w:val="24"/>
              </w:rPr>
              <w:t>绩效</w:t>
            </w:r>
          </w:p>
          <w:p w14:paraId="7D3E6B7D">
            <w:pPr>
              <w:wordWrap w:val="0"/>
              <w:spacing w:line="320" w:lineRule="exact"/>
              <w:jc w:val="center"/>
              <w:rPr>
                <w:bCs/>
                <w:sz w:val="24"/>
              </w:rPr>
            </w:pPr>
            <w:r>
              <w:rPr>
                <w:rFonts w:hint="eastAsia"/>
                <w:bCs/>
                <w:sz w:val="24"/>
              </w:rPr>
              <w:t>指标</w:t>
            </w:r>
          </w:p>
        </w:tc>
        <w:tc>
          <w:tcPr>
            <w:tcW w:w="5647" w:type="dxa"/>
            <w:tcBorders>
              <w:top w:val="single" w:sz="4" w:space="0" w:color="auto"/>
              <w:left w:val="single" w:sz="4" w:space="0" w:color="auto"/>
              <w:bottom w:val="single" w:sz="4" w:space="0" w:color="auto"/>
              <w:right w:val="single" w:sz="4" w:space="0" w:color="auto"/>
            </w:tcBorders>
            <w:vAlign w:val="center"/>
          </w:tcPr>
          <w:p w14:paraId="5EAE828F">
            <w:pPr>
              <w:wordWrap w:val="0"/>
              <w:spacing w:line="320" w:lineRule="exact"/>
              <w:jc w:val="center"/>
              <w:rPr>
                <w:bCs/>
                <w:sz w:val="24"/>
              </w:rPr>
            </w:pPr>
            <w:r>
              <w:rPr>
                <w:rFonts w:hint="eastAsia"/>
                <w:bCs/>
                <w:sz w:val="24"/>
              </w:rPr>
              <w:t>指标名称</w:t>
            </w:r>
          </w:p>
        </w:tc>
        <w:tc>
          <w:tcPr>
            <w:tcW w:w="2463" w:type="dxa"/>
            <w:tcBorders>
              <w:top w:val="single" w:sz="4" w:space="0" w:color="auto"/>
              <w:left w:val="single" w:sz="4" w:space="0" w:color="auto"/>
              <w:bottom w:val="single" w:sz="4" w:space="0" w:color="auto"/>
              <w:right w:val="single" w:sz="4" w:space="0" w:color="auto"/>
            </w:tcBorders>
            <w:vAlign w:val="center"/>
          </w:tcPr>
          <w:p w14:paraId="67D3945E">
            <w:pPr>
              <w:wordWrap w:val="0"/>
              <w:spacing w:line="320" w:lineRule="exact"/>
              <w:jc w:val="center"/>
              <w:rPr>
                <w:bCs/>
                <w:sz w:val="24"/>
              </w:rPr>
            </w:pPr>
            <w:r>
              <w:rPr>
                <w:rFonts w:hint="eastAsia"/>
                <w:bCs/>
                <w:sz w:val="24"/>
              </w:rPr>
              <w:t>指标值</w:t>
            </w:r>
          </w:p>
        </w:tc>
        <w:tc>
          <w:tcPr>
            <w:tcW w:w="2410" w:type="dxa"/>
            <w:tcBorders>
              <w:top w:val="single" w:sz="4" w:space="0" w:color="auto"/>
              <w:left w:val="single" w:sz="4" w:space="0" w:color="auto"/>
              <w:bottom w:val="single" w:sz="4" w:space="0" w:color="auto"/>
              <w:right w:val="single" w:sz="4" w:space="0" w:color="auto"/>
            </w:tcBorders>
            <w:vAlign w:val="center"/>
          </w:tcPr>
          <w:p w14:paraId="3AEFD3FC">
            <w:pPr>
              <w:wordWrap w:val="0"/>
              <w:spacing w:line="240" w:lineRule="exact"/>
              <w:jc w:val="center"/>
              <w:rPr>
                <w:bCs/>
                <w:sz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1DA42B5D">
            <w:pPr>
              <w:wordWrap w:val="0"/>
              <w:spacing w:line="240" w:lineRule="exact"/>
              <w:jc w:val="center"/>
              <w:rPr>
                <w:bCs/>
                <w:sz w:val="24"/>
              </w:rPr>
            </w:pPr>
          </w:p>
        </w:tc>
        <w:tc>
          <w:tcPr>
            <w:tcW w:w="2182" w:type="dxa"/>
            <w:tcBorders>
              <w:top w:val="single" w:sz="4" w:space="0" w:color="auto"/>
              <w:left w:val="single" w:sz="4" w:space="0" w:color="auto"/>
              <w:bottom w:val="single" w:sz="4" w:space="0" w:color="auto"/>
              <w:right w:val="single" w:sz="4" w:space="0" w:color="auto"/>
            </w:tcBorders>
            <w:vAlign w:val="center"/>
          </w:tcPr>
          <w:p w14:paraId="3E2046D5">
            <w:pPr>
              <w:wordWrap w:val="0"/>
              <w:spacing w:line="240" w:lineRule="exact"/>
              <w:jc w:val="center"/>
              <w:rPr>
                <w:bCs/>
                <w:sz w:val="24"/>
              </w:rPr>
            </w:pPr>
          </w:p>
        </w:tc>
      </w:tr>
      <w:tr w14:paraId="44181769">
        <w:tblPrEx>
          <w:tblW w:w="15762" w:type="dxa"/>
          <w:jc w:val="center"/>
          <w:tblLayout w:type="fixed"/>
          <w:tblCellMar>
            <w:top w:w="0" w:type="dxa"/>
            <w:left w:w="108" w:type="dxa"/>
            <w:bottom w:w="0" w:type="dxa"/>
            <w:right w:w="108" w:type="dxa"/>
          </w:tblCellMar>
        </w:tblPrEx>
        <w:trPr>
          <w:trHeight w:val="539"/>
          <w:jc w:val="center"/>
        </w:trPr>
        <w:tc>
          <w:tcPr>
            <w:tcW w:w="934" w:type="dxa"/>
            <w:vMerge/>
            <w:tcBorders>
              <w:top w:val="single" w:sz="4" w:space="0" w:color="auto"/>
              <w:left w:val="single" w:sz="4" w:space="0" w:color="auto"/>
              <w:bottom w:val="single" w:sz="4" w:space="0" w:color="auto"/>
              <w:right w:val="single" w:sz="4" w:space="0" w:color="auto"/>
            </w:tcBorders>
            <w:vAlign w:val="center"/>
          </w:tcPr>
          <w:p w14:paraId="73D845CF">
            <w:pPr>
              <w:wordWrap w:val="0"/>
              <w:rPr>
                <w:bCs/>
                <w:sz w:val="24"/>
              </w:rPr>
            </w:pPr>
          </w:p>
        </w:tc>
        <w:tc>
          <w:tcPr>
            <w:tcW w:w="5647" w:type="dxa"/>
            <w:tcBorders>
              <w:top w:val="single" w:sz="4" w:space="0" w:color="auto"/>
              <w:left w:val="single" w:sz="4" w:space="0" w:color="auto"/>
              <w:bottom w:val="single" w:sz="4" w:space="0" w:color="auto"/>
              <w:right w:val="single" w:sz="4" w:space="0" w:color="auto"/>
            </w:tcBorders>
            <w:vAlign w:val="center"/>
          </w:tcPr>
          <w:p w14:paraId="4AFAFB6D">
            <w:pPr>
              <w:wordWrap w:val="0"/>
              <w:spacing w:line="240" w:lineRule="exact"/>
              <w:rPr>
                <w:rFonts w:ascii="宋体" w:eastAsia="宋体" w:hAnsi="宋体" w:cs="宋体"/>
                <w:bCs/>
                <w:sz w:val="24"/>
              </w:rPr>
            </w:pPr>
            <w:r>
              <w:rPr>
                <w:rFonts w:ascii="宋体" w:eastAsia="宋体" w:hAnsi="宋体" w:cs="宋体"/>
                <w:bCs/>
                <w:sz w:val="24"/>
              </w:rPr>
              <w:t>发表科技论文（篇）</w:t>
            </w:r>
          </w:p>
        </w:tc>
        <w:tc>
          <w:tcPr>
            <w:tcW w:w="2463" w:type="dxa"/>
            <w:tcBorders>
              <w:top w:val="single" w:sz="4" w:space="0" w:color="auto"/>
              <w:left w:val="single" w:sz="4" w:space="0" w:color="auto"/>
              <w:bottom w:val="single" w:sz="4" w:space="0" w:color="auto"/>
              <w:right w:val="single" w:sz="4" w:space="0" w:color="auto"/>
            </w:tcBorders>
            <w:vAlign w:val="center"/>
          </w:tcPr>
          <w:p w14:paraId="198C6DBA">
            <w:pPr>
              <w:wordWrap w:val="0"/>
              <w:spacing w:line="240" w:lineRule="exact"/>
              <w:jc w:val="center"/>
              <w:rPr>
                <w:rFonts w:ascii="宋体" w:eastAsia="宋体" w:hAnsi="宋体" w:cs="宋体"/>
                <w:bCs/>
                <w:sz w:val="24"/>
              </w:rPr>
            </w:pPr>
            <w:r>
              <w:rPr>
                <w:rFonts w:ascii="宋体" w:eastAsia="宋体" w:hAnsi="宋体" w:cs="宋体"/>
                <w:bCs/>
                <w:sz w:val="24"/>
              </w:rPr>
              <w:t>6</w:t>
            </w:r>
          </w:p>
        </w:tc>
        <w:tc>
          <w:tcPr>
            <w:tcW w:w="2410" w:type="dxa"/>
            <w:tcBorders>
              <w:top w:val="single" w:sz="4" w:space="0" w:color="auto"/>
              <w:left w:val="single" w:sz="4" w:space="0" w:color="auto"/>
              <w:bottom w:val="single" w:sz="4" w:space="0" w:color="auto"/>
              <w:right w:val="single" w:sz="4" w:space="0" w:color="auto"/>
            </w:tcBorders>
            <w:vAlign w:val="center"/>
          </w:tcPr>
          <w:p w14:paraId="3B5A25FA">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126" w:type="dxa"/>
            <w:tcBorders>
              <w:top w:val="single" w:sz="4" w:space="0" w:color="auto"/>
              <w:left w:val="single" w:sz="4" w:space="0" w:color="auto"/>
              <w:bottom w:val="single" w:sz="4" w:space="0" w:color="auto"/>
              <w:right w:val="single" w:sz="4" w:space="0" w:color="auto"/>
            </w:tcBorders>
            <w:vAlign w:val="center"/>
          </w:tcPr>
          <w:p w14:paraId="0C6FC483">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182" w:type="dxa"/>
            <w:tcBorders>
              <w:top w:val="single" w:sz="4" w:space="0" w:color="auto"/>
              <w:left w:val="single" w:sz="4" w:space="0" w:color="auto"/>
              <w:bottom w:val="single" w:sz="4" w:space="0" w:color="auto"/>
              <w:right w:val="single" w:sz="4" w:space="0" w:color="auto"/>
            </w:tcBorders>
            <w:vAlign w:val="center"/>
          </w:tcPr>
          <w:p w14:paraId="36D27D27">
            <w:pPr>
              <w:wordWrap w:val="0"/>
              <w:spacing w:line="240" w:lineRule="exact"/>
              <w:jc w:val="center"/>
              <w:rPr>
                <w:rFonts w:ascii="宋体" w:eastAsia="宋体" w:hAnsi="宋体" w:cs="宋体"/>
                <w:bCs/>
                <w:sz w:val="24"/>
              </w:rPr>
            </w:pPr>
            <w:r>
              <w:rPr>
                <w:rFonts w:ascii="宋体" w:eastAsia="宋体" w:hAnsi="宋体" w:cs="宋体"/>
                <w:bCs/>
                <w:sz w:val="24"/>
              </w:rPr>
              <w:t>2</w:t>
            </w:r>
          </w:p>
        </w:tc>
      </w:tr>
      <w:tr w14:paraId="44181769">
        <w:tblPrEx>
          <w:tblW w:w="15762" w:type="dxa"/>
          <w:jc w:val="center"/>
          <w:tblLayout w:type="fixed"/>
          <w:tblCellMar>
            <w:top w:w="0" w:type="dxa"/>
            <w:left w:w="108" w:type="dxa"/>
            <w:bottom w:w="0" w:type="dxa"/>
            <w:right w:w="108" w:type="dxa"/>
          </w:tblCellMar>
        </w:tblPrEx>
        <w:trPr>
          <w:trHeight w:val="539"/>
          <w:jc w:val="center"/>
        </w:trPr>
        <w:tc>
          <w:tcPr>
            <w:tcW w:w="934" w:type="dxa"/>
            <w:vMerge/>
            <w:tcBorders>
              <w:top w:val="single" w:sz="4" w:space="0" w:color="auto"/>
              <w:left w:val="single" w:sz="4" w:space="0" w:color="auto"/>
              <w:bottom w:val="single" w:sz="4" w:space="0" w:color="auto"/>
              <w:right w:val="single" w:sz="4" w:space="0" w:color="auto"/>
            </w:tcBorders>
            <w:vAlign w:val="center"/>
          </w:tcPr>
          <w:p>
            <w:pPr>
              <w:wordWrap w:val="0"/>
              <w:rPr>
                <w:bCs/>
                <w:sz w:val="24"/>
              </w:rPr>
            </w:pPr>
          </w:p>
        </w:tc>
        <w:tc>
          <w:tcPr>
            <w:tcW w:w="5647"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rPr>
                <w:rFonts w:ascii="宋体" w:eastAsia="宋体" w:hAnsi="宋体" w:cs="宋体"/>
                <w:bCs/>
                <w:sz w:val="24"/>
              </w:rPr>
            </w:pPr>
            <w:r>
              <w:rPr>
                <w:rFonts w:ascii="宋体" w:eastAsia="宋体" w:hAnsi="宋体" w:cs="宋体"/>
                <w:bCs/>
                <w:sz w:val="24"/>
              </w:rPr>
              <w:t>培养研究生（人）</w:t>
            </w:r>
          </w:p>
        </w:tc>
        <w:tc>
          <w:tcPr>
            <w:tcW w:w="246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3</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82"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r>
    </w:tbl>
    <w:p w14:paraId="6B46F39B">
      <w:pPr>
        <w:wordWrap w:val="0"/>
        <w:spacing w:line="100" w:lineRule="exact"/>
        <w:jc w:val="center"/>
        <w:rPr>
          <w:sz w:val="32"/>
          <w:szCs w:val="32"/>
        </w:rPr>
      </w:pPr>
      <w:r>
        <w:rPr>
          <w:rFonts w:hint="eastAsia"/>
          <w:sz w:val="32"/>
          <w:szCs w:val="32"/>
        </w:rPr>
        <w:t xml:space="preserve"> </w:t>
      </w:r>
      <w:r>
        <w:rPr>
          <w:sz w:val="32"/>
          <w:szCs w:val="32"/>
        </w:rPr>
        <w:t xml:space="preserve">  </w:t>
      </w:r>
      <w:bookmarkStart w:id="126" w:name="rlyczy"/>
      <w:bookmarkEnd w:id="126"/>
      <w:r>
        <w:rPr>
          <w:sz w:val="32"/>
          <w:szCs w:val="32"/>
        </w:rPr>
        <w:t xml:space="preserve">  </w:t>
      </w:r>
      <w:bookmarkStart w:id="127" w:name="rlyczyfyf"/>
      <w:r>
        <w:rPr>
          <w:sz w:val="32"/>
          <w:szCs w:val="32"/>
        </w:rPr>
        <w:br w:type="page"/>
      </w:r>
      <w:bookmarkEnd w:id="127"/>
    </w:p>
    <w:p w:rsidR="0038349C" w:rsidRPr="00A37D73" w:rsidP="008360E4" w14:paraId="519319AF" w14:textId="77777777">
      <w:pPr>
        <w:widowControl w:val="0"/>
        <w:wordWrap w:val="0"/>
        <w:adjustRightInd/>
        <w:snapToGrid/>
        <w:spacing w:after="0" w:line="360" w:lineRule="auto"/>
        <w:jc w:val="both"/>
        <w:rPr>
          <w:rFonts w:asciiTheme="minorEastAsia" w:eastAsiaTheme="minorEastAsia" w:hAnsiTheme="minorEastAsia" w:cs="宋体"/>
          <w:b/>
          <w:kern w:val="2"/>
          <w:sz w:val="24"/>
          <w:szCs w:val="24"/>
        </w:rPr>
      </w:pPr>
      <w:r w:rsidRPr="00A37D73">
        <w:rPr>
          <w:rFonts w:asciiTheme="minorEastAsia" w:eastAsiaTheme="minorEastAsia" w:hAnsiTheme="minorEastAsia" w:cs="宋体" w:hint="eastAsia"/>
          <w:b/>
          <w:kern w:val="2"/>
          <w:sz w:val="24"/>
          <w:szCs w:val="24"/>
        </w:rPr>
        <w:t xml:space="preserve">是否涉及人类遗传资源   </w:t>
      </w:r>
      <w:bookmarkStart w:id="128" w:name="yes"/>
      <w:r w:rsidRPr="00A37D73">
        <w:rPr>
          <w:rFonts w:ascii="Wingdings 2" w:hAnsi="Wingdings 2" w:eastAsiaTheme="minorEastAsia" w:cs="宋体"/>
          <w:b/>
          <w:color w:val="000000"/>
          <w:sz w:val="24"/>
          <w:szCs w:val="24"/>
        </w:rPr>
        <w:sym w:font="Wingdings 2" w:char="F0A3"/>
      </w:r>
      <w:bookmarkEnd w:id="128"/>
      <w:r w:rsidRPr="00A37D73">
        <w:rPr>
          <w:rFonts w:asciiTheme="minorEastAsia" w:eastAsiaTheme="minorEastAsia" w:hAnsiTheme="minorEastAsia" w:cs="宋体" w:hint="eastAsia"/>
          <w:b/>
          <w:kern w:val="2"/>
          <w:sz w:val="24"/>
          <w:szCs w:val="24"/>
        </w:rPr>
        <w:t xml:space="preserve">是   </w:t>
      </w:r>
      <w:bookmarkStart w:id="129" w:name="no"/>
      <w:r w:rsidRPr="00A37D73">
        <w:rPr>
          <w:rFonts w:ascii="Wingdings 2" w:eastAsia="Wingdings 2" w:hAnsi="Wingdings 2" w:cs="Wingdings 2" w:hint="eastAsia"/>
          <w:b/>
          <w:kern w:val="2"/>
          <w:sz w:val="24"/>
          <w:szCs w:val="24"/>
        </w:rPr>
        <w:t>R</w:t>
      </w:r>
      <w:bookmarkEnd w:id="129"/>
      <w:r w:rsidRPr="00A37D73">
        <w:rPr>
          <w:rFonts w:asciiTheme="minorEastAsia" w:eastAsiaTheme="minorEastAsia" w:hAnsiTheme="minorEastAsia" w:cs="宋体" w:hint="eastAsia"/>
          <w:b/>
          <w:kern w:val="2"/>
          <w:sz w:val="24"/>
          <w:szCs w:val="24"/>
        </w:rPr>
        <w:t xml:space="preserve">否  </w:t>
      </w:r>
    </w:p>
    <w:p w:rsidR="0038349C" w:rsidRPr="0095464A" w:rsidP="008360E4" w14:paraId="134D3981" w14:textId="77777777">
      <w:pPr>
        <w:widowControl w:val="0"/>
        <w:wordWrap w:val="0"/>
        <w:adjustRightInd/>
        <w:snapToGrid/>
        <w:spacing w:after="0" w:line="360" w:lineRule="auto"/>
        <w:jc w:val="center"/>
        <w:rPr>
          <w:rFonts w:asciiTheme="minorEastAsia" w:eastAsiaTheme="minorEastAsia" w:hAnsiTheme="minorEastAsia" w:cs="Times New Roman"/>
          <w:b/>
          <w:kern w:val="2"/>
          <w:sz w:val="28"/>
          <w:szCs w:val="28"/>
        </w:rPr>
      </w:pPr>
      <w:bookmarkStart w:id="130" w:name="title_0"/>
      <w:bookmarkEnd w:id="130"/>
      <w:r w:rsidRPr="0095464A">
        <w:rPr>
          <w:rFonts w:asciiTheme="minorEastAsia" w:eastAsiaTheme="minorEastAsia" w:hAnsiTheme="minorEastAsia" w:cs="Times New Roman" w:hint="eastAsia"/>
          <w:b/>
          <w:kern w:val="2"/>
          <w:sz w:val="28"/>
          <w:szCs w:val="28"/>
        </w:rPr>
        <w:t>人类遗传资源情况表</w:t>
      </w:r>
    </w:p>
    <w:tbl>
      <w:tblPr>
        <w:tblStyle w:val="TableNormal"/>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33"/>
        <w:gridCol w:w="1134"/>
        <w:gridCol w:w="3543"/>
        <w:gridCol w:w="2354"/>
        <w:gridCol w:w="1899"/>
        <w:gridCol w:w="2060"/>
        <w:gridCol w:w="1701"/>
        <w:gridCol w:w="1059"/>
      </w:tblGrid>
      <w:tr w14:paraId="4B5454D9" w14:textId="77777777" w:rsidTr="00800432">
        <w:tblPrEx>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14A3B5B3"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序号</w:t>
            </w:r>
          </w:p>
        </w:tc>
        <w:tc>
          <w:tcPr>
            <w:tcW w:w="1134" w:type="dxa"/>
            <w:vAlign w:val="center"/>
          </w:tcPr>
          <w:p w:rsidR="0038349C" w:rsidRPr="001716E5" w:rsidP="008360E4" w14:paraId="677E5177"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活动种类</w:t>
            </w:r>
          </w:p>
        </w:tc>
        <w:tc>
          <w:tcPr>
            <w:tcW w:w="3543" w:type="dxa"/>
            <w:vAlign w:val="center"/>
          </w:tcPr>
          <w:p w:rsidR="0038349C" w:rsidRPr="001716E5" w:rsidP="008360E4" w14:paraId="74084055"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涉及内容</w:t>
            </w:r>
          </w:p>
        </w:tc>
        <w:tc>
          <w:tcPr>
            <w:tcW w:w="2354" w:type="dxa"/>
            <w:vAlign w:val="center"/>
          </w:tcPr>
          <w:p w:rsidR="0038349C" w:rsidRPr="001716E5" w:rsidP="008360E4" w14:paraId="7B98F19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具体项目名称</w:t>
            </w:r>
          </w:p>
        </w:tc>
        <w:tc>
          <w:tcPr>
            <w:tcW w:w="1899" w:type="dxa"/>
            <w:vAlign w:val="center"/>
          </w:tcPr>
          <w:p w:rsidR="0038349C" w:rsidRPr="001716E5" w:rsidP="008360E4" w14:paraId="357A143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申请单位</w:t>
            </w:r>
          </w:p>
        </w:tc>
        <w:tc>
          <w:tcPr>
            <w:tcW w:w="2060" w:type="dxa"/>
            <w:vAlign w:val="center"/>
          </w:tcPr>
          <w:p w:rsidR="0038349C" w:rsidRPr="001716E5" w:rsidP="008360E4" w14:paraId="276739E9"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批准/备案时间</w:t>
            </w:r>
          </w:p>
          <w:p w:rsidR="0038349C" w:rsidRPr="001716E5" w:rsidP="008360E4" w14:paraId="3E2559A4"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（取得批件或已备案，请上传附件，并填写时间）</w:t>
            </w:r>
          </w:p>
        </w:tc>
        <w:tc>
          <w:tcPr>
            <w:tcW w:w="1701" w:type="dxa"/>
            <w:tcMar>
              <w:top w:w="45" w:type="dxa"/>
              <w:left w:w="45" w:type="dxa"/>
              <w:bottom w:w="45" w:type="dxa"/>
              <w:right w:w="45" w:type="dxa"/>
            </w:tcMar>
            <w:vAlign w:val="center"/>
          </w:tcPr>
          <w:p w:rsidR="0038349C" w:rsidRPr="001716E5" w:rsidP="008360E4" w14:paraId="39ECB2AF"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人类遗传资源来源机构</w:t>
            </w:r>
          </w:p>
        </w:tc>
        <w:tc>
          <w:tcPr>
            <w:tcW w:w="1059" w:type="dxa"/>
            <w:tcMar>
              <w:top w:w="45" w:type="dxa"/>
              <w:left w:w="45" w:type="dxa"/>
              <w:bottom w:w="45" w:type="dxa"/>
              <w:right w:w="45" w:type="dxa"/>
            </w:tcMar>
            <w:vAlign w:val="center"/>
          </w:tcPr>
          <w:p w:rsidR="0038349C" w:rsidRPr="001716E5" w:rsidP="008360E4" w14:paraId="488FAFB3"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备注</w:t>
            </w:r>
          </w:p>
        </w:tc>
      </w:tr>
      <w:tr w14:paraId="3B8DA4B5" w14:textId="77777777" w:rsidTr="00800432">
        <w:tblPrEx>
          <w:tblW w:w="14483" w:type="dxa"/>
          <w:jc w:val="center"/>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7D47D51B"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1</w:t>
            </w:r>
          </w:p>
        </w:tc>
        <w:tc>
          <w:tcPr>
            <w:tcW w:w="1134" w:type="dxa"/>
            <w:vAlign w:val="center"/>
          </w:tcPr>
          <w:p w:rsidR="0038349C" w:rsidRPr="001716E5" w:rsidP="008360E4" w14:paraId="47C76990"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采集</w:t>
            </w:r>
          </w:p>
        </w:tc>
        <w:tc>
          <w:tcPr>
            <w:tcW w:w="3543" w:type="dxa"/>
            <w:vAlign w:val="center"/>
          </w:tcPr>
          <w:p w:rsidR="0038349C" w:rsidRPr="001716E5" w:rsidP="008360E4" w14:paraId="4829A3C9"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31" w:name="ycjx"/>
            <w:r w:rsidRPr="001716E5">
              <w:rPr>
                <w:rFonts w:ascii="Wingdings 2" w:hAnsi="Wingdings 2" w:eastAsiaTheme="minorEastAsia" w:cs="宋体"/>
                <w:color w:val="000000"/>
                <w:sz w:val="21"/>
                <w:szCs w:val="21"/>
              </w:rPr>
              <w:sym w:font="Wingdings 2" w:char="F0A3"/>
            </w:r>
            <w:bookmarkEnd w:id="131"/>
            <w:r w:rsidRPr="001716E5">
              <w:rPr>
                <w:rFonts w:asciiTheme="minorEastAsia" w:eastAsiaTheme="minorEastAsia" w:hAnsiTheme="minorEastAsia" w:cs="宋体" w:hint="eastAsia"/>
                <w:color w:val="000000"/>
                <w:sz w:val="24"/>
                <w:szCs w:val="24"/>
              </w:rPr>
              <w:t>重要遗传家系</w:t>
            </w:r>
          </w:p>
          <w:p w:rsidR="0038349C" w:rsidRPr="001716E5" w:rsidP="008360E4" w14:paraId="007D3422"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32" w:name="tqryzy"/>
            <w:r w:rsidRPr="001716E5">
              <w:rPr>
                <w:rFonts w:ascii="Wingdings 2" w:hAnsi="Wingdings 2" w:eastAsiaTheme="minorEastAsia" w:cs="宋体"/>
                <w:color w:val="000000"/>
                <w:sz w:val="21"/>
                <w:szCs w:val="21"/>
              </w:rPr>
              <w:sym w:font="Wingdings 2" w:char="F0A3"/>
            </w:r>
            <w:bookmarkEnd w:id="132"/>
            <w:r w:rsidRPr="001716E5">
              <w:rPr>
                <w:rFonts w:asciiTheme="minorEastAsia" w:eastAsiaTheme="minorEastAsia" w:hAnsiTheme="minorEastAsia" w:cs="宋体" w:hint="eastAsia"/>
                <w:color w:val="000000"/>
                <w:sz w:val="24"/>
                <w:szCs w:val="24"/>
              </w:rPr>
              <w:t>特定地区人类遗传资源</w:t>
            </w:r>
          </w:p>
          <w:p w:rsidR="0038349C" w:rsidRPr="001716E5" w:rsidP="008360E4" w14:paraId="5E45B538"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33" w:name="gdrs"/>
            <w:r w:rsidRPr="001716E5">
              <w:rPr>
                <w:rFonts w:ascii="Wingdings 2" w:hAnsi="Wingdings 2" w:eastAsiaTheme="minorEastAsia" w:cs="宋体"/>
                <w:color w:val="000000"/>
                <w:sz w:val="21"/>
                <w:szCs w:val="21"/>
              </w:rPr>
              <w:sym w:font="Wingdings 2" w:char="F0A3"/>
            </w:r>
            <w:bookmarkEnd w:id="133"/>
            <w:r w:rsidRPr="001716E5">
              <w:rPr>
                <w:rFonts w:asciiTheme="minorEastAsia" w:eastAsiaTheme="minorEastAsia" w:hAnsiTheme="minorEastAsia" w:cs="宋体" w:hint="eastAsia"/>
                <w:color w:val="000000"/>
                <w:sz w:val="24"/>
                <w:szCs w:val="24"/>
              </w:rPr>
              <w:t>科技部规定数量的人类遗传资源（累积500人以上）</w:t>
            </w:r>
          </w:p>
          <w:p w:rsidR="0038349C" w:rsidRPr="001716E5" w:rsidP="008360E4" w14:paraId="33462061"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34" w:name="hjb"/>
            <w:r w:rsidRPr="001716E5">
              <w:rPr>
                <w:rFonts w:ascii="Wingdings 2" w:hAnsi="Wingdings 2" w:eastAsiaTheme="minorEastAsia" w:cs="宋体"/>
                <w:color w:val="000000"/>
                <w:sz w:val="21"/>
                <w:szCs w:val="21"/>
              </w:rPr>
              <w:sym w:font="Wingdings 2" w:char="F0A3"/>
            </w:r>
            <w:bookmarkEnd w:id="134"/>
            <w:r w:rsidRPr="001716E5">
              <w:rPr>
                <w:rFonts w:asciiTheme="minorEastAsia" w:eastAsiaTheme="minorEastAsia" w:hAnsiTheme="minorEastAsia" w:cs="宋体" w:hint="eastAsia"/>
                <w:color w:val="000000"/>
                <w:sz w:val="24"/>
                <w:szCs w:val="24"/>
              </w:rPr>
              <w:t>罕见病</w:t>
            </w:r>
          </w:p>
          <w:p w:rsidR="0038349C" w:rsidRPr="001716E5" w:rsidP="008360E4" w14:paraId="2454F1EC"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35" w:name="tsqt"/>
            <w:r w:rsidRPr="001716E5">
              <w:rPr>
                <w:rFonts w:ascii="Wingdings 2" w:hAnsi="Wingdings 2" w:eastAsiaTheme="minorEastAsia" w:cs="宋体"/>
                <w:color w:val="000000"/>
                <w:sz w:val="21"/>
                <w:szCs w:val="21"/>
              </w:rPr>
              <w:sym w:font="Wingdings 2" w:char="F0A3"/>
            </w:r>
            <w:bookmarkEnd w:id="135"/>
            <w:r w:rsidRPr="001716E5">
              <w:rPr>
                <w:rFonts w:asciiTheme="minorEastAsia" w:eastAsiaTheme="minorEastAsia" w:hAnsiTheme="minorEastAsia" w:cs="宋体" w:hint="eastAsia"/>
                <w:color w:val="000000"/>
                <w:sz w:val="24"/>
                <w:szCs w:val="24"/>
              </w:rPr>
              <w:t>具有显著性差异的特殊体质或生理特征的人群</w:t>
            </w:r>
          </w:p>
          <w:p w:rsidR="0038349C" w:rsidRPr="001716E5" w:rsidP="008360E4" w14:paraId="69D1A58D"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拟采集种类</w:t>
            </w:r>
            <w:r w:rsidRPr="001716E5">
              <w:rPr>
                <w:rFonts w:asciiTheme="minorEastAsia" w:eastAsiaTheme="minorEastAsia" w:hAnsiTheme="minorEastAsia" w:cs="宋体" w:hint="eastAsia"/>
                <w:color w:val="000000"/>
                <w:sz w:val="24"/>
                <w:szCs w:val="24"/>
                <w:u w:val="single"/>
              </w:rPr>
              <w:t xml:space="preserve">    </w:t>
            </w:r>
            <w:bookmarkStart w:id="136" w:name="cjZl"/>
            <w:bookmarkEnd w:id="136"/>
            <w:r w:rsidRPr="001716E5">
              <w:rPr>
                <w:rFonts w:asciiTheme="minorEastAsia" w:eastAsiaTheme="minorEastAsia" w:hAnsiTheme="minorEastAsia" w:cs="宋体" w:hint="eastAsia"/>
                <w:color w:val="000000"/>
                <w:sz w:val="24"/>
                <w:szCs w:val="24"/>
                <w:u w:val="single"/>
              </w:rPr>
              <w:t xml:space="preserve">     </w:t>
            </w:r>
          </w:p>
          <w:p w:rsidR="0038349C" w:rsidRPr="001716E5" w:rsidP="008360E4" w14:paraId="2AC9029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拟采集数量</w:t>
            </w:r>
            <w:r w:rsidRPr="001716E5">
              <w:rPr>
                <w:rFonts w:asciiTheme="minorEastAsia" w:eastAsiaTheme="minorEastAsia" w:hAnsiTheme="minorEastAsia" w:cs="宋体" w:hint="eastAsia"/>
                <w:color w:val="000000"/>
                <w:sz w:val="24"/>
                <w:szCs w:val="24"/>
                <w:u w:val="single"/>
              </w:rPr>
              <w:t xml:space="preserve">    </w:t>
            </w:r>
            <w:bookmarkStart w:id="137" w:name="cjSl"/>
            <w:bookmarkEnd w:id="137"/>
            <w:r w:rsidRPr="001716E5">
              <w:rPr>
                <w:rFonts w:asciiTheme="minorEastAsia" w:eastAsiaTheme="minorEastAsia" w:hAnsiTheme="minorEastAsia" w:cs="宋体" w:hint="eastAsia"/>
                <w:color w:val="000000"/>
                <w:sz w:val="24"/>
                <w:szCs w:val="24"/>
                <w:u w:val="single"/>
              </w:rPr>
              <w:t xml:space="preserve">     </w:t>
            </w:r>
            <w:r w:rsidRPr="001716E5">
              <w:rPr>
                <w:rFonts w:asciiTheme="minorEastAsia" w:eastAsiaTheme="minorEastAsia" w:hAnsiTheme="minorEastAsia" w:cs="宋体" w:hint="eastAsia"/>
                <w:color w:val="000000"/>
                <w:sz w:val="24"/>
                <w:szCs w:val="24"/>
              </w:rPr>
              <w:t xml:space="preserve"> </w:t>
            </w:r>
          </w:p>
        </w:tc>
        <w:tc>
          <w:tcPr>
            <w:tcW w:w="2354" w:type="dxa"/>
            <w:vAlign w:val="center"/>
          </w:tcPr>
          <w:p w:rsidR="0038349C" w:rsidRPr="001716E5" w:rsidP="008360E4" w14:paraId="7C762C8E" w14:textId="77777777">
            <w:pPr>
              <w:wordWrap w:val="0"/>
              <w:adjustRightInd/>
              <w:snapToGrid/>
              <w:spacing w:after="0" w:line="375" w:lineRule="atLeast"/>
              <w:jc w:val="center"/>
              <w:rPr>
                <w:rFonts w:ascii="宋体" w:eastAsia="宋体" w:hAnsi="宋体" w:cs="宋体"/>
                <w:color w:val="333333"/>
                <w:sz w:val="24"/>
                <w:szCs w:val="24"/>
              </w:rPr>
            </w:pPr>
            <w:bookmarkStart w:id="138" w:name="cjXmmc"/>
            <w:bookmarkEnd w:id="138"/>
          </w:p>
        </w:tc>
        <w:tc>
          <w:tcPr>
            <w:tcW w:w="1899" w:type="dxa"/>
            <w:vAlign w:val="center"/>
          </w:tcPr>
          <w:p w:rsidR="0038349C" w:rsidRPr="001716E5" w:rsidP="008360E4" w14:paraId="5C983686" w14:textId="77777777">
            <w:pPr>
              <w:wordWrap w:val="0"/>
              <w:adjustRightInd/>
              <w:snapToGrid/>
              <w:spacing w:after="0" w:line="375" w:lineRule="atLeast"/>
              <w:jc w:val="center"/>
              <w:rPr>
                <w:rFonts w:ascii="宋体" w:eastAsia="宋体" w:hAnsi="宋体" w:cs="宋体"/>
                <w:color w:val="333333"/>
                <w:sz w:val="24"/>
                <w:szCs w:val="24"/>
              </w:rPr>
            </w:pPr>
            <w:bookmarkStart w:id="139" w:name="cjdwmc"/>
            <w:bookmarkEnd w:id="139"/>
          </w:p>
        </w:tc>
        <w:tc>
          <w:tcPr>
            <w:tcW w:w="2060" w:type="dxa"/>
            <w:vAlign w:val="center"/>
          </w:tcPr>
          <w:p w:rsidR="0038349C" w:rsidRPr="001716E5" w:rsidP="008360E4" w14:paraId="5670A518" w14:textId="77777777">
            <w:pPr>
              <w:wordWrap w:val="0"/>
              <w:adjustRightInd/>
              <w:snapToGrid/>
              <w:spacing w:after="0" w:line="375" w:lineRule="atLeast"/>
              <w:jc w:val="center"/>
              <w:rPr>
                <w:rFonts w:ascii="宋体" w:eastAsia="宋体" w:hAnsi="宋体" w:cs="宋体"/>
                <w:color w:val="333333"/>
                <w:sz w:val="24"/>
                <w:szCs w:val="24"/>
              </w:rPr>
            </w:pPr>
            <w:bookmarkStart w:id="140" w:name="cjPzbasj"/>
            <w:bookmarkEnd w:id="140"/>
          </w:p>
        </w:tc>
        <w:tc>
          <w:tcPr>
            <w:tcW w:w="1701" w:type="dxa"/>
            <w:tcMar>
              <w:top w:w="45" w:type="dxa"/>
              <w:left w:w="45" w:type="dxa"/>
              <w:bottom w:w="45" w:type="dxa"/>
              <w:right w:w="45" w:type="dxa"/>
            </w:tcMar>
            <w:vAlign w:val="center"/>
          </w:tcPr>
          <w:p w:rsidR="0038349C" w:rsidRPr="001716E5" w:rsidP="008360E4" w14:paraId="3A7A7192" w14:textId="77777777">
            <w:pPr>
              <w:wordWrap w:val="0"/>
              <w:adjustRightInd/>
              <w:snapToGrid/>
              <w:spacing w:after="0"/>
              <w:jc w:val="center"/>
              <w:rPr>
                <w:rFonts w:ascii="宋体" w:eastAsia="宋体" w:hAnsi="宋体" w:cs="宋体"/>
                <w:bCs/>
                <w:sz w:val="24"/>
                <w:szCs w:val="24"/>
              </w:rPr>
            </w:pPr>
            <w:bookmarkStart w:id="141" w:name="cjYczyjg"/>
            <w:bookmarkEnd w:id="141"/>
          </w:p>
        </w:tc>
        <w:tc>
          <w:tcPr>
            <w:tcW w:w="1059" w:type="dxa"/>
            <w:tcMar>
              <w:top w:w="45" w:type="dxa"/>
              <w:left w:w="45" w:type="dxa"/>
              <w:bottom w:w="45" w:type="dxa"/>
              <w:right w:w="45" w:type="dxa"/>
            </w:tcMar>
            <w:vAlign w:val="center"/>
          </w:tcPr>
          <w:p w:rsidR="0038349C" w:rsidRPr="001716E5" w:rsidP="008360E4" w14:paraId="0663BE71" w14:textId="77777777">
            <w:pPr>
              <w:wordWrap w:val="0"/>
              <w:adjustRightInd/>
              <w:snapToGrid/>
              <w:spacing w:after="0"/>
              <w:jc w:val="center"/>
              <w:rPr>
                <w:rFonts w:ascii="宋体" w:eastAsia="宋体" w:hAnsi="宋体" w:cs="宋体"/>
                <w:bCs/>
                <w:sz w:val="24"/>
                <w:szCs w:val="24"/>
              </w:rPr>
            </w:pPr>
            <w:bookmarkStart w:id="142" w:name="cjBz"/>
            <w:bookmarkEnd w:id="142"/>
          </w:p>
        </w:tc>
      </w:tr>
      <w:tr w14:paraId="2722BBA3" w14:textId="77777777" w:rsidTr="00800432">
        <w:tblPrEx>
          <w:tblW w:w="14483" w:type="dxa"/>
          <w:jc w:val="center"/>
          <w:tblLayout w:type="fixed"/>
          <w:tblCellMar>
            <w:left w:w="0" w:type="dxa"/>
            <w:right w:w="0" w:type="dxa"/>
          </w:tblCellMar>
          <w:tblLook w:val="0000"/>
        </w:tblPrEx>
        <w:trPr>
          <w:trHeight w:val="135"/>
          <w:jc w:val="center"/>
        </w:trPr>
        <w:tc>
          <w:tcPr>
            <w:tcW w:w="733" w:type="dxa"/>
            <w:tcMar>
              <w:top w:w="45" w:type="dxa"/>
              <w:left w:w="45" w:type="dxa"/>
              <w:bottom w:w="45" w:type="dxa"/>
              <w:right w:w="45" w:type="dxa"/>
            </w:tcMar>
            <w:vAlign w:val="center"/>
          </w:tcPr>
          <w:p w:rsidR="0038349C" w:rsidRPr="001716E5" w:rsidP="008360E4" w14:paraId="43F47B4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color w:val="333333"/>
                <w:sz w:val="24"/>
                <w:szCs w:val="24"/>
              </w:rPr>
              <w:t>2</w:t>
            </w:r>
          </w:p>
        </w:tc>
        <w:tc>
          <w:tcPr>
            <w:tcW w:w="1134" w:type="dxa"/>
            <w:vAlign w:val="center"/>
          </w:tcPr>
          <w:p w:rsidR="0038349C" w:rsidRPr="001716E5" w:rsidP="008360E4" w14:paraId="152B7173"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保藏</w:t>
            </w:r>
          </w:p>
        </w:tc>
        <w:tc>
          <w:tcPr>
            <w:tcW w:w="3543" w:type="dxa"/>
            <w:vAlign w:val="center"/>
          </w:tcPr>
          <w:p w:rsidR="0038349C" w:rsidRPr="001716E5" w:rsidP="008360E4" w14:paraId="3EAC03E5"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材料保藏地点</w:t>
            </w:r>
            <w:r w:rsidRPr="001716E5">
              <w:rPr>
                <w:rFonts w:asciiTheme="minorEastAsia" w:eastAsiaTheme="minorEastAsia" w:hAnsiTheme="minorEastAsia" w:cs="宋体" w:hint="eastAsia"/>
                <w:bCs/>
                <w:color w:val="000000"/>
                <w:sz w:val="24"/>
                <w:szCs w:val="24"/>
                <w:u w:val="single"/>
              </w:rPr>
              <w:t xml:space="preserve">   </w:t>
            </w:r>
            <w:bookmarkStart w:id="143" w:name="bcDd"/>
            <w:bookmarkEnd w:id="14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81E4E17"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材料保藏设施（设备）</w:t>
            </w:r>
            <w:r w:rsidRPr="001716E5">
              <w:rPr>
                <w:rFonts w:asciiTheme="minorEastAsia" w:eastAsiaTheme="minorEastAsia" w:hAnsiTheme="minorEastAsia" w:cs="宋体" w:hint="eastAsia"/>
                <w:bCs/>
                <w:color w:val="000000"/>
                <w:sz w:val="24"/>
                <w:szCs w:val="24"/>
                <w:u w:val="single"/>
              </w:rPr>
              <w:t xml:space="preserve">   </w:t>
            </w:r>
            <w:bookmarkStart w:id="144" w:name="bcSs"/>
            <w:bookmarkEnd w:id="14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DA6C9C1"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 xml:space="preserve">信息保藏平台 </w:t>
            </w:r>
            <w:r w:rsidRPr="001716E5">
              <w:rPr>
                <w:rFonts w:asciiTheme="minorEastAsia" w:eastAsiaTheme="minorEastAsia" w:hAnsiTheme="minorEastAsia" w:cs="宋体" w:hint="eastAsia"/>
                <w:bCs/>
                <w:color w:val="000000"/>
                <w:sz w:val="24"/>
                <w:szCs w:val="24"/>
                <w:u w:val="single"/>
              </w:rPr>
              <w:t xml:space="preserve">    </w:t>
            </w:r>
            <w:bookmarkStart w:id="145" w:name="bcPt"/>
            <w:bookmarkEnd w:id="14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296E58E"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拟保藏种类</w:t>
            </w:r>
            <w:r w:rsidRPr="001716E5">
              <w:rPr>
                <w:rFonts w:asciiTheme="minorEastAsia" w:eastAsiaTheme="minorEastAsia" w:hAnsiTheme="minorEastAsia" w:cs="宋体" w:hint="eastAsia"/>
                <w:bCs/>
                <w:color w:val="000000"/>
                <w:sz w:val="24"/>
                <w:szCs w:val="24"/>
                <w:u w:val="single"/>
              </w:rPr>
              <w:t xml:space="preserve">   </w:t>
            </w:r>
            <w:bookmarkStart w:id="146" w:name="bcZl"/>
            <w:bookmarkEnd w:id="14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F1368D"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拟保藏数量</w:t>
            </w:r>
            <w:r w:rsidRPr="001716E5">
              <w:rPr>
                <w:rFonts w:asciiTheme="minorEastAsia" w:eastAsiaTheme="minorEastAsia" w:hAnsiTheme="minorEastAsia" w:cs="宋体" w:hint="eastAsia"/>
                <w:bCs/>
                <w:color w:val="000000"/>
                <w:sz w:val="24"/>
                <w:szCs w:val="24"/>
                <w:u w:val="single"/>
              </w:rPr>
              <w:t xml:space="preserve">   </w:t>
            </w:r>
            <w:bookmarkStart w:id="147" w:name="bcSl"/>
            <w:bookmarkEnd w:id="147"/>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DC6A160" w14:textId="77777777">
            <w:pPr>
              <w:wordWrap w:val="0"/>
              <w:adjustRightInd/>
              <w:snapToGrid/>
              <w:spacing w:after="0" w:line="375" w:lineRule="atLeast"/>
              <w:jc w:val="center"/>
              <w:rPr>
                <w:rFonts w:ascii="宋体" w:eastAsia="宋体" w:hAnsi="宋体" w:cs="宋体"/>
                <w:color w:val="333333"/>
                <w:sz w:val="24"/>
                <w:szCs w:val="24"/>
              </w:rPr>
            </w:pPr>
            <w:bookmarkStart w:id="148" w:name="bcXmmc"/>
            <w:bookmarkEnd w:id="148"/>
          </w:p>
        </w:tc>
        <w:tc>
          <w:tcPr>
            <w:tcW w:w="1899" w:type="dxa"/>
            <w:vAlign w:val="center"/>
          </w:tcPr>
          <w:p w:rsidR="0038349C" w:rsidRPr="001716E5" w:rsidP="008360E4" w14:paraId="4829DE21" w14:textId="77777777">
            <w:pPr>
              <w:wordWrap w:val="0"/>
              <w:adjustRightInd/>
              <w:snapToGrid/>
              <w:spacing w:after="0" w:line="375" w:lineRule="atLeast"/>
              <w:jc w:val="center"/>
              <w:rPr>
                <w:rFonts w:ascii="宋体" w:eastAsia="宋体" w:hAnsi="宋体" w:cs="宋体"/>
                <w:color w:val="333333"/>
                <w:sz w:val="24"/>
                <w:szCs w:val="24"/>
              </w:rPr>
            </w:pPr>
            <w:bookmarkStart w:id="149" w:name="bcDwmc"/>
            <w:bookmarkEnd w:id="149"/>
          </w:p>
        </w:tc>
        <w:tc>
          <w:tcPr>
            <w:tcW w:w="2060" w:type="dxa"/>
            <w:vAlign w:val="center"/>
          </w:tcPr>
          <w:p w:rsidR="0038349C" w:rsidRPr="001716E5" w:rsidP="008360E4" w14:paraId="093B7461" w14:textId="77777777">
            <w:pPr>
              <w:wordWrap w:val="0"/>
              <w:adjustRightInd/>
              <w:snapToGrid/>
              <w:spacing w:after="0" w:line="375" w:lineRule="atLeast"/>
              <w:jc w:val="center"/>
              <w:rPr>
                <w:rFonts w:ascii="宋体" w:eastAsia="宋体" w:hAnsi="宋体" w:cs="宋体"/>
                <w:color w:val="333333"/>
                <w:sz w:val="24"/>
                <w:szCs w:val="24"/>
              </w:rPr>
            </w:pPr>
            <w:bookmarkStart w:id="150" w:name="bcPzbasj"/>
            <w:bookmarkEnd w:id="150"/>
          </w:p>
        </w:tc>
        <w:tc>
          <w:tcPr>
            <w:tcW w:w="1701" w:type="dxa"/>
            <w:tcMar>
              <w:top w:w="45" w:type="dxa"/>
              <w:left w:w="45" w:type="dxa"/>
              <w:bottom w:w="45" w:type="dxa"/>
              <w:right w:w="45" w:type="dxa"/>
            </w:tcMar>
            <w:vAlign w:val="center"/>
          </w:tcPr>
          <w:p w:rsidR="0038349C" w:rsidRPr="001716E5" w:rsidP="008360E4" w14:paraId="48EC5F4A" w14:textId="77777777">
            <w:pPr>
              <w:wordWrap w:val="0"/>
              <w:adjustRightInd/>
              <w:snapToGrid/>
              <w:spacing w:after="0"/>
              <w:jc w:val="center"/>
              <w:rPr>
                <w:rFonts w:ascii="宋体" w:eastAsia="宋体" w:hAnsi="宋体" w:cs="宋体"/>
                <w:bCs/>
                <w:sz w:val="24"/>
                <w:szCs w:val="24"/>
              </w:rPr>
            </w:pPr>
            <w:bookmarkStart w:id="151" w:name="bcYczyjg"/>
            <w:bookmarkEnd w:id="151"/>
          </w:p>
        </w:tc>
        <w:tc>
          <w:tcPr>
            <w:tcW w:w="1059" w:type="dxa"/>
            <w:tcMar>
              <w:top w:w="45" w:type="dxa"/>
              <w:left w:w="45" w:type="dxa"/>
              <w:bottom w:w="45" w:type="dxa"/>
              <w:right w:w="45" w:type="dxa"/>
            </w:tcMar>
            <w:vAlign w:val="center"/>
          </w:tcPr>
          <w:p w:rsidR="0038349C" w:rsidRPr="001716E5" w:rsidP="008360E4" w14:paraId="2F10809C" w14:textId="77777777">
            <w:pPr>
              <w:wordWrap w:val="0"/>
              <w:adjustRightInd/>
              <w:snapToGrid/>
              <w:spacing w:after="0"/>
              <w:jc w:val="center"/>
              <w:rPr>
                <w:rFonts w:ascii="宋体" w:eastAsia="宋体" w:hAnsi="宋体" w:cs="宋体"/>
                <w:bCs/>
                <w:sz w:val="24"/>
                <w:szCs w:val="24"/>
              </w:rPr>
            </w:pPr>
            <w:bookmarkStart w:id="152" w:name="bcBz"/>
            <w:bookmarkEnd w:id="152"/>
          </w:p>
        </w:tc>
      </w:tr>
      <w:tr w14:paraId="2C004DF3"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A852352"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3</w:t>
            </w:r>
          </w:p>
        </w:tc>
        <w:tc>
          <w:tcPr>
            <w:tcW w:w="1134" w:type="dxa"/>
            <w:vAlign w:val="center"/>
          </w:tcPr>
          <w:p w:rsidR="0038349C" w:rsidRPr="001716E5" w:rsidP="008360E4" w14:paraId="60A8E91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利用</w:t>
            </w:r>
          </w:p>
        </w:tc>
        <w:tc>
          <w:tcPr>
            <w:tcW w:w="3543" w:type="dxa"/>
            <w:vAlign w:val="center"/>
          </w:tcPr>
          <w:p w:rsidR="0038349C" w:rsidRPr="001716E5" w:rsidP="008360E4" w14:paraId="4B02EB3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53" w:name="kfhd2"/>
            <w:r w:rsidRPr="001716E5">
              <w:rPr>
                <w:rFonts w:ascii="Wingdings 2" w:hAnsi="Wingdings 2" w:eastAsiaTheme="minorEastAsia" w:cs="宋体"/>
                <w:color w:val="000000"/>
                <w:sz w:val="21"/>
                <w:szCs w:val="21"/>
              </w:rPr>
              <w:sym w:font="Wingdings 2" w:char="F0A3"/>
            </w:r>
            <w:bookmarkEnd w:id="153"/>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4A05E72F"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54" w:name="lcsy2"/>
            <w:r w:rsidRPr="001716E5">
              <w:rPr>
                <w:rFonts w:ascii="Wingdings 2" w:hAnsi="Wingdings 2" w:eastAsiaTheme="minorEastAsia" w:cs="宋体"/>
                <w:color w:val="000000"/>
                <w:sz w:val="21"/>
                <w:szCs w:val="21"/>
              </w:rPr>
              <w:sym w:font="Wingdings 2" w:char="F0A3"/>
            </w:r>
            <w:bookmarkEnd w:id="154"/>
            <w:r w:rsidRPr="001716E5">
              <w:rPr>
                <w:rFonts w:asciiTheme="minorEastAsia" w:eastAsiaTheme="minorEastAsia" w:hAnsiTheme="minorEastAsia" w:cs="宋体" w:hint="eastAsia"/>
                <w:color w:val="000000"/>
                <w:sz w:val="24"/>
                <w:szCs w:val="24"/>
              </w:rPr>
              <w:t>开展临床试验</w:t>
            </w:r>
          </w:p>
          <w:p w:rsidR="0038349C" w:rsidRPr="001716E5" w:rsidP="008360E4" w14:paraId="5F82BFE1"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55" w:name="lyZl"/>
            <w:bookmarkEnd w:id="15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607F15B" w14:textId="77777777">
            <w:pPr>
              <w:wordWrap w:val="0"/>
              <w:adjustRightInd/>
              <w:snapToGrid/>
              <w:spacing w:after="0" w:line="375" w:lineRule="atLeast"/>
              <w:jc w:val="both"/>
              <w:rPr>
                <w:rFonts w:asciiTheme="minorEastAsia" w:eastAsiaTheme="minorEastAsia" w:hAnsiTheme="minorEastAsia" w:cs="宋体"/>
                <w:bCs/>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56" w:name="lySl"/>
            <w:bookmarkEnd w:id="156"/>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9C308FF" w14:textId="77777777">
            <w:pPr>
              <w:wordWrap w:val="0"/>
              <w:adjustRightInd/>
              <w:snapToGrid/>
              <w:spacing w:after="0" w:line="375" w:lineRule="atLeast"/>
              <w:jc w:val="center"/>
              <w:rPr>
                <w:rFonts w:ascii="宋体" w:eastAsia="宋体" w:hAnsi="宋体" w:cs="宋体"/>
                <w:color w:val="333333"/>
                <w:sz w:val="24"/>
                <w:szCs w:val="24"/>
              </w:rPr>
            </w:pPr>
            <w:bookmarkStart w:id="157" w:name="lyXmmc"/>
            <w:bookmarkEnd w:id="157"/>
          </w:p>
        </w:tc>
        <w:tc>
          <w:tcPr>
            <w:tcW w:w="1899" w:type="dxa"/>
            <w:vAlign w:val="center"/>
          </w:tcPr>
          <w:p w:rsidR="0038349C" w:rsidRPr="001716E5" w:rsidP="008360E4" w14:paraId="7A3D0FC6" w14:textId="77777777">
            <w:pPr>
              <w:wordWrap w:val="0"/>
              <w:adjustRightInd/>
              <w:snapToGrid/>
              <w:spacing w:after="0" w:line="375" w:lineRule="atLeast"/>
              <w:jc w:val="center"/>
              <w:rPr>
                <w:rFonts w:ascii="宋体" w:eastAsia="宋体" w:hAnsi="宋体" w:cs="宋体"/>
                <w:color w:val="333333"/>
                <w:sz w:val="24"/>
                <w:szCs w:val="24"/>
              </w:rPr>
            </w:pPr>
            <w:bookmarkStart w:id="158" w:name="lyDwmc"/>
            <w:bookmarkEnd w:id="158"/>
          </w:p>
        </w:tc>
        <w:tc>
          <w:tcPr>
            <w:tcW w:w="2060" w:type="dxa"/>
            <w:vAlign w:val="center"/>
          </w:tcPr>
          <w:p w:rsidR="0038349C" w:rsidRPr="001716E5" w:rsidP="008360E4" w14:paraId="139329C6" w14:textId="77777777">
            <w:pPr>
              <w:wordWrap w:val="0"/>
              <w:adjustRightInd/>
              <w:snapToGrid/>
              <w:spacing w:after="0" w:line="375" w:lineRule="atLeast"/>
              <w:jc w:val="center"/>
              <w:rPr>
                <w:rFonts w:ascii="宋体" w:eastAsia="宋体" w:hAnsi="宋体" w:cs="宋体"/>
                <w:color w:val="333333"/>
                <w:sz w:val="24"/>
                <w:szCs w:val="24"/>
              </w:rPr>
            </w:pPr>
            <w:bookmarkStart w:id="159" w:name="lyPzbasj"/>
            <w:bookmarkEnd w:id="159"/>
          </w:p>
        </w:tc>
        <w:tc>
          <w:tcPr>
            <w:tcW w:w="1701" w:type="dxa"/>
            <w:tcMar>
              <w:top w:w="45" w:type="dxa"/>
              <w:left w:w="45" w:type="dxa"/>
              <w:bottom w:w="45" w:type="dxa"/>
              <w:right w:w="45" w:type="dxa"/>
            </w:tcMar>
            <w:vAlign w:val="center"/>
          </w:tcPr>
          <w:p w:rsidR="0038349C" w:rsidRPr="001716E5" w:rsidP="008360E4" w14:paraId="0FB65ABD" w14:textId="77777777">
            <w:pPr>
              <w:wordWrap w:val="0"/>
              <w:adjustRightInd/>
              <w:snapToGrid/>
              <w:spacing w:after="0"/>
              <w:jc w:val="center"/>
              <w:rPr>
                <w:rFonts w:ascii="宋体" w:eastAsia="宋体" w:hAnsi="宋体" w:cs="宋体"/>
                <w:bCs/>
                <w:sz w:val="24"/>
                <w:szCs w:val="24"/>
              </w:rPr>
            </w:pPr>
            <w:bookmarkStart w:id="160" w:name="lyYczyjg"/>
            <w:bookmarkEnd w:id="160"/>
          </w:p>
        </w:tc>
        <w:tc>
          <w:tcPr>
            <w:tcW w:w="1059" w:type="dxa"/>
            <w:tcMar>
              <w:top w:w="45" w:type="dxa"/>
              <w:left w:w="45" w:type="dxa"/>
              <w:bottom w:w="45" w:type="dxa"/>
              <w:right w:w="45" w:type="dxa"/>
            </w:tcMar>
            <w:vAlign w:val="center"/>
          </w:tcPr>
          <w:p w:rsidR="0038349C" w:rsidRPr="001716E5" w:rsidP="008360E4" w14:paraId="61C3B4EA" w14:textId="77777777">
            <w:pPr>
              <w:wordWrap w:val="0"/>
              <w:adjustRightInd/>
              <w:snapToGrid/>
              <w:spacing w:after="0"/>
              <w:jc w:val="center"/>
              <w:rPr>
                <w:rFonts w:ascii="宋体" w:eastAsia="宋体" w:hAnsi="宋体" w:cs="宋体"/>
                <w:bCs/>
                <w:sz w:val="24"/>
                <w:szCs w:val="24"/>
              </w:rPr>
            </w:pPr>
            <w:bookmarkStart w:id="161" w:name="lyBz"/>
            <w:bookmarkEnd w:id="161"/>
          </w:p>
        </w:tc>
      </w:tr>
      <w:tr w14:paraId="415A1968"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22BB2E0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4</w:t>
            </w:r>
          </w:p>
        </w:tc>
        <w:tc>
          <w:tcPr>
            <w:tcW w:w="1134" w:type="dxa"/>
            <w:vAlign w:val="center"/>
          </w:tcPr>
          <w:p w:rsidR="0038349C" w:rsidRPr="001716E5" w:rsidP="008360E4" w14:paraId="01E2B392"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国际合作(行政许可)</w:t>
            </w:r>
          </w:p>
        </w:tc>
        <w:tc>
          <w:tcPr>
            <w:tcW w:w="3543" w:type="dxa"/>
            <w:vAlign w:val="center"/>
          </w:tcPr>
          <w:p w:rsidR="0038349C" w:rsidRPr="001716E5" w:rsidP="008360E4" w14:paraId="710F8B67"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62" w:name="kfhd1"/>
            <w:r w:rsidRPr="001716E5">
              <w:rPr>
                <w:rFonts w:ascii="Wingdings 2" w:hAnsi="Wingdings 2" w:eastAsiaTheme="minorEastAsia" w:cs="宋体"/>
                <w:color w:val="000000"/>
                <w:sz w:val="21"/>
                <w:szCs w:val="21"/>
              </w:rPr>
              <w:sym w:font="Wingdings 2" w:char="F0A3"/>
            </w:r>
            <w:bookmarkEnd w:id="162"/>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C63E46E"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63" w:name="lcsy1"/>
            <w:r w:rsidRPr="001716E5">
              <w:rPr>
                <w:rFonts w:ascii="Wingdings 2" w:hAnsi="Wingdings 2" w:eastAsiaTheme="minorEastAsia" w:cs="宋体"/>
                <w:color w:val="000000"/>
                <w:sz w:val="21"/>
                <w:szCs w:val="21"/>
              </w:rPr>
              <w:sym w:font="Wingdings 2" w:char="F0A3"/>
            </w:r>
            <w:bookmarkEnd w:id="163"/>
            <w:r w:rsidRPr="001716E5">
              <w:rPr>
                <w:rFonts w:asciiTheme="minorEastAsia" w:eastAsiaTheme="minorEastAsia" w:hAnsiTheme="minorEastAsia" w:cs="宋体" w:hint="eastAsia"/>
                <w:color w:val="000000"/>
                <w:sz w:val="24"/>
                <w:szCs w:val="24"/>
              </w:rPr>
              <w:t>开展临床试验</w:t>
            </w:r>
          </w:p>
          <w:p w:rsidR="0038349C" w:rsidRPr="001716E5" w:rsidP="008360E4" w14:paraId="1F3F4407"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64" w:name="gjhzxzxkZl"/>
            <w:bookmarkEnd w:id="16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592181F4"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65" w:name="gjhzxzxkSl"/>
            <w:bookmarkEnd w:id="165"/>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5835D6E" w14:textId="77777777">
            <w:pPr>
              <w:wordWrap w:val="0"/>
              <w:adjustRightInd/>
              <w:snapToGrid/>
              <w:spacing w:after="0" w:line="375" w:lineRule="atLeast"/>
              <w:jc w:val="center"/>
              <w:rPr>
                <w:rFonts w:ascii="宋体" w:eastAsia="宋体" w:hAnsi="宋体" w:cs="宋体"/>
                <w:color w:val="333333"/>
                <w:sz w:val="24"/>
                <w:szCs w:val="24"/>
              </w:rPr>
            </w:pPr>
            <w:bookmarkStart w:id="166" w:name="gjhzxzxkXmmc"/>
            <w:bookmarkEnd w:id="166"/>
          </w:p>
        </w:tc>
        <w:tc>
          <w:tcPr>
            <w:tcW w:w="1899" w:type="dxa"/>
            <w:vAlign w:val="center"/>
          </w:tcPr>
          <w:p w:rsidR="0038349C" w:rsidRPr="001716E5" w:rsidP="008360E4" w14:paraId="4BA44576" w14:textId="77777777">
            <w:pPr>
              <w:wordWrap w:val="0"/>
              <w:adjustRightInd/>
              <w:snapToGrid/>
              <w:spacing w:after="0" w:line="375" w:lineRule="atLeast"/>
              <w:jc w:val="center"/>
              <w:rPr>
                <w:rFonts w:ascii="宋体" w:eastAsia="宋体" w:hAnsi="宋体" w:cs="宋体"/>
                <w:color w:val="333333"/>
                <w:sz w:val="24"/>
                <w:szCs w:val="24"/>
              </w:rPr>
            </w:pPr>
            <w:bookmarkStart w:id="167" w:name="gjhzxzxkDwmc"/>
            <w:bookmarkEnd w:id="167"/>
          </w:p>
        </w:tc>
        <w:tc>
          <w:tcPr>
            <w:tcW w:w="2060" w:type="dxa"/>
            <w:vAlign w:val="center"/>
          </w:tcPr>
          <w:p w:rsidR="0038349C" w:rsidRPr="001716E5" w:rsidP="008360E4" w14:paraId="7809AD7C" w14:textId="77777777">
            <w:pPr>
              <w:wordWrap w:val="0"/>
              <w:adjustRightInd/>
              <w:snapToGrid/>
              <w:spacing w:after="0" w:line="375" w:lineRule="atLeast"/>
              <w:jc w:val="center"/>
              <w:rPr>
                <w:rFonts w:ascii="宋体" w:eastAsia="宋体" w:hAnsi="宋体" w:cs="宋体"/>
                <w:color w:val="333333"/>
                <w:sz w:val="24"/>
                <w:szCs w:val="24"/>
              </w:rPr>
            </w:pPr>
            <w:bookmarkStart w:id="168" w:name="gjhzxzxkPzbasj"/>
            <w:bookmarkEnd w:id="168"/>
          </w:p>
        </w:tc>
        <w:tc>
          <w:tcPr>
            <w:tcW w:w="1701" w:type="dxa"/>
            <w:tcMar>
              <w:top w:w="45" w:type="dxa"/>
              <w:left w:w="45" w:type="dxa"/>
              <w:bottom w:w="45" w:type="dxa"/>
              <w:right w:w="45" w:type="dxa"/>
            </w:tcMar>
            <w:vAlign w:val="center"/>
          </w:tcPr>
          <w:p w:rsidR="0038349C" w:rsidRPr="001716E5" w:rsidP="008360E4" w14:paraId="26516449" w14:textId="77777777">
            <w:pPr>
              <w:wordWrap w:val="0"/>
              <w:adjustRightInd/>
              <w:snapToGrid/>
              <w:spacing w:after="0"/>
              <w:jc w:val="center"/>
              <w:rPr>
                <w:rFonts w:ascii="宋体" w:eastAsia="宋体" w:hAnsi="宋体" w:cs="宋体"/>
                <w:bCs/>
                <w:sz w:val="24"/>
                <w:szCs w:val="24"/>
              </w:rPr>
            </w:pPr>
            <w:bookmarkStart w:id="169" w:name="gjhzxzxkYczyjg"/>
            <w:bookmarkEnd w:id="169"/>
          </w:p>
        </w:tc>
        <w:tc>
          <w:tcPr>
            <w:tcW w:w="1059" w:type="dxa"/>
            <w:tcMar>
              <w:top w:w="45" w:type="dxa"/>
              <w:left w:w="45" w:type="dxa"/>
              <w:bottom w:w="45" w:type="dxa"/>
              <w:right w:w="45" w:type="dxa"/>
            </w:tcMar>
            <w:vAlign w:val="center"/>
          </w:tcPr>
          <w:p w:rsidR="0038349C" w:rsidRPr="001716E5" w:rsidP="008360E4" w14:paraId="1B811046" w14:textId="77777777">
            <w:pPr>
              <w:wordWrap w:val="0"/>
              <w:adjustRightInd/>
              <w:snapToGrid/>
              <w:spacing w:after="0"/>
              <w:jc w:val="center"/>
              <w:rPr>
                <w:rFonts w:ascii="宋体" w:eastAsia="宋体" w:hAnsi="宋体" w:cs="宋体"/>
                <w:bCs/>
                <w:sz w:val="24"/>
                <w:szCs w:val="24"/>
              </w:rPr>
            </w:pPr>
            <w:bookmarkStart w:id="170" w:name="gjhzxzxkBz"/>
            <w:bookmarkEnd w:id="170"/>
          </w:p>
        </w:tc>
      </w:tr>
      <w:tr w14:paraId="3027A41B"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388D8BA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5</w:t>
            </w:r>
          </w:p>
        </w:tc>
        <w:tc>
          <w:tcPr>
            <w:tcW w:w="1134" w:type="dxa"/>
            <w:vAlign w:val="center"/>
          </w:tcPr>
          <w:p w:rsidR="0038349C" w:rsidRPr="001716E5" w:rsidP="008360E4" w14:paraId="2933CD47"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国际合作(备案)</w:t>
            </w:r>
          </w:p>
        </w:tc>
        <w:tc>
          <w:tcPr>
            <w:tcW w:w="3543" w:type="dxa"/>
            <w:vAlign w:val="center"/>
          </w:tcPr>
          <w:p w:rsidR="0038349C" w:rsidRPr="001716E5" w:rsidP="008360E4" w14:paraId="4356F270"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71" w:name="kfhd"/>
            <w:r w:rsidRPr="001716E5">
              <w:rPr>
                <w:rFonts w:ascii="Wingdings 2" w:hAnsi="Wingdings 2" w:eastAsiaTheme="minorEastAsia" w:cs="宋体"/>
                <w:color w:val="000000"/>
                <w:sz w:val="21"/>
                <w:szCs w:val="21"/>
              </w:rPr>
              <w:sym w:font="Wingdings 2" w:char="F0A3"/>
            </w:r>
            <w:bookmarkEnd w:id="171"/>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99F7DC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72" w:name="lcsy"/>
            <w:r w:rsidRPr="001716E5">
              <w:rPr>
                <w:rFonts w:ascii="Wingdings 2" w:hAnsi="Wingdings 2" w:eastAsiaTheme="minorEastAsia" w:cs="宋体"/>
                <w:color w:val="000000"/>
                <w:sz w:val="21"/>
                <w:szCs w:val="21"/>
              </w:rPr>
              <w:sym w:font="Wingdings 2" w:char="F0A3"/>
            </w:r>
            <w:bookmarkEnd w:id="172"/>
            <w:r w:rsidRPr="001716E5">
              <w:rPr>
                <w:rFonts w:asciiTheme="minorEastAsia" w:eastAsiaTheme="minorEastAsia" w:hAnsiTheme="minorEastAsia" w:cs="宋体" w:hint="eastAsia"/>
                <w:color w:val="000000"/>
                <w:sz w:val="24"/>
                <w:szCs w:val="24"/>
              </w:rPr>
              <w:t>开展临床试验</w:t>
            </w:r>
          </w:p>
          <w:p w:rsidR="0038349C" w:rsidRPr="001716E5" w:rsidP="008360E4" w14:paraId="76A8A230"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73" w:name="gjhzbaZl"/>
            <w:bookmarkEnd w:id="17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E63117C"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74" w:name="gjhzbaSl"/>
            <w:bookmarkEnd w:id="174"/>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9A29A3C" w14:textId="77777777">
            <w:pPr>
              <w:wordWrap w:val="0"/>
              <w:adjustRightInd/>
              <w:snapToGrid/>
              <w:spacing w:after="0" w:line="375" w:lineRule="atLeast"/>
              <w:jc w:val="center"/>
              <w:rPr>
                <w:rFonts w:ascii="宋体" w:eastAsia="宋体" w:hAnsi="宋体" w:cs="宋体"/>
                <w:color w:val="333333"/>
                <w:sz w:val="24"/>
                <w:szCs w:val="24"/>
              </w:rPr>
            </w:pPr>
            <w:bookmarkStart w:id="175" w:name="gjhzbaXmmc"/>
            <w:bookmarkEnd w:id="175"/>
          </w:p>
        </w:tc>
        <w:tc>
          <w:tcPr>
            <w:tcW w:w="1899" w:type="dxa"/>
            <w:vAlign w:val="center"/>
          </w:tcPr>
          <w:p w:rsidR="0038349C" w:rsidRPr="001716E5" w:rsidP="008360E4" w14:paraId="6E03E7FB" w14:textId="77777777">
            <w:pPr>
              <w:wordWrap w:val="0"/>
              <w:adjustRightInd/>
              <w:snapToGrid/>
              <w:spacing w:after="0" w:line="375" w:lineRule="atLeast"/>
              <w:jc w:val="center"/>
              <w:rPr>
                <w:rFonts w:ascii="宋体" w:eastAsia="宋体" w:hAnsi="宋体" w:cs="宋体"/>
                <w:color w:val="333333"/>
                <w:sz w:val="24"/>
                <w:szCs w:val="24"/>
              </w:rPr>
            </w:pPr>
            <w:bookmarkStart w:id="176" w:name="gjhzbaDwmc"/>
            <w:bookmarkEnd w:id="176"/>
          </w:p>
        </w:tc>
        <w:tc>
          <w:tcPr>
            <w:tcW w:w="2060" w:type="dxa"/>
            <w:vAlign w:val="center"/>
          </w:tcPr>
          <w:p w:rsidR="0038349C" w:rsidRPr="001716E5" w:rsidP="008360E4" w14:paraId="26E76F83" w14:textId="77777777">
            <w:pPr>
              <w:wordWrap w:val="0"/>
              <w:adjustRightInd/>
              <w:snapToGrid/>
              <w:spacing w:after="0" w:line="375" w:lineRule="atLeast"/>
              <w:jc w:val="center"/>
              <w:rPr>
                <w:rFonts w:ascii="宋体" w:eastAsia="宋体" w:hAnsi="宋体" w:cs="宋体"/>
                <w:color w:val="333333"/>
                <w:sz w:val="24"/>
                <w:szCs w:val="24"/>
              </w:rPr>
            </w:pPr>
            <w:bookmarkStart w:id="177" w:name="gjhzbaPzbasj"/>
            <w:bookmarkEnd w:id="177"/>
          </w:p>
        </w:tc>
        <w:tc>
          <w:tcPr>
            <w:tcW w:w="1701" w:type="dxa"/>
            <w:tcMar>
              <w:top w:w="45" w:type="dxa"/>
              <w:left w:w="45" w:type="dxa"/>
              <w:bottom w:w="45" w:type="dxa"/>
              <w:right w:w="45" w:type="dxa"/>
            </w:tcMar>
            <w:vAlign w:val="center"/>
          </w:tcPr>
          <w:p w:rsidR="0038349C" w:rsidRPr="001716E5" w:rsidP="008360E4" w14:paraId="17ADBAA7" w14:textId="77777777">
            <w:pPr>
              <w:wordWrap w:val="0"/>
              <w:adjustRightInd/>
              <w:snapToGrid/>
              <w:spacing w:after="0"/>
              <w:jc w:val="center"/>
              <w:rPr>
                <w:rFonts w:ascii="宋体" w:eastAsia="宋体" w:hAnsi="宋体" w:cs="宋体"/>
                <w:bCs/>
                <w:sz w:val="24"/>
                <w:szCs w:val="24"/>
              </w:rPr>
            </w:pPr>
            <w:bookmarkStart w:id="178" w:name="gjhzbaYczyjg"/>
            <w:bookmarkEnd w:id="178"/>
          </w:p>
        </w:tc>
        <w:tc>
          <w:tcPr>
            <w:tcW w:w="1059" w:type="dxa"/>
            <w:tcMar>
              <w:top w:w="45" w:type="dxa"/>
              <w:left w:w="45" w:type="dxa"/>
              <w:bottom w:w="45" w:type="dxa"/>
              <w:right w:w="45" w:type="dxa"/>
            </w:tcMar>
            <w:vAlign w:val="center"/>
          </w:tcPr>
          <w:p w:rsidR="0038349C" w:rsidRPr="001716E5" w:rsidP="008360E4" w14:paraId="7EDE45C5" w14:textId="77777777">
            <w:pPr>
              <w:wordWrap w:val="0"/>
              <w:adjustRightInd/>
              <w:snapToGrid/>
              <w:spacing w:after="0"/>
              <w:jc w:val="center"/>
              <w:rPr>
                <w:rFonts w:ascii="宋体" w:eastAsia="宋体" w:hAnsi="宋体" w:cs="宋体"/>
                <w:bCs/>
                <w:sz w:val="24"/>
                <w:szCs w:val="24"/>
              </w:rPr>
            </w:pPr>
            <w:bookmarkStart w:id="179" w:name="gjhzbaBz"/>
            <w:bookmarkEnd w:id="179"/>
          </w:p>
        </w:tc>
      </w:tr>
      <w:tr w14:paraId="2018E5F0"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BCF7E4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6</w:t>
            </w:r>
          </w:p>
        </w:tc>
        <w:tc>
          <w:tcPr>
            <w:tcW w:w="1134" w:type="dxa"/>
            <w:vAlign w:val="center"/>
          </w:tcPr>
          <w:p w:rsidR="0038349C" w:rsidRPr="001716E5" w:rsidP="008360E4" w14:paraId="622CDEF5"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w:t>
            </w:r>
          </w:p>
        </w:tc>
        <w:tc>
          <w:tcPr>
            <w:tcW w:w="3543" w:type="dxa"/>
            <w:vAlign w:val="center"/>
          </w:tcPr>
          <w:p w:rsidR="0038349C" w:rsidRPr="001716E5" w:rsidP="008360E4" w14:paraId="6E72436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境外合作方</w:t>
            </w:r>
            <w:r w:rsidRPr="001716E5">
              <w:rPr>
                <w:rFonts w:asciiTheme="minorEastAsia" w:eastAsiaTheme="minorEastAsia" w:hAnsiTheme="minorEastAsia" w:cs="宋体" w:hint="eastAsia"/>
                <w:bCs/>
                <w:color w:val="000000"/>
                <w:sz w:val="24"/>
                <w:szCs w:val="24"/>
                <w:u w:val="single"/>
              </w:rPr>
              <w:t xml:space="preserve">   </w:t>
            </w:r>
            <w:bookmarkStart w:id="180" w:name="chujHzf"/>
            <w:bookmarkEnd w:id="180"/>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091B86A"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出境用途</w:t>
            </w:r>
            <w:r w:rsidRPr="001716E5">
              <w:rPr>
                <w:rFonts w:asciiTheme="minorEastAsia" w:eastAsiaTheme="minorEastAsia" w:hAnsiTheme="minorEastAsia" w:cs="宋体" w:hint="eastAsia"/>
                <w:bCs/>
                <w:color w:val="000000"/>
                <w:sz w:val="24"/>
                <w:szCs w:val="24"/>
                <w:u w:val="single"/>
              </w:rPr>
              <w:t xml:space="preserve">   </w:t>
            </w:r>
            <w:bookmarkStart w:id="181" w:name="chujYt"/>
            <w:bookmarkEnd w:id="181"/>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5C923F"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82" w:name="chujZl"/>
            <w:bookmarkEnd w:id="182"/>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7636FA0"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83" w:name="chujSl"/>
            <w:bookmarkEnd w:id="183"/>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CBE26D0" w14:textId="77777777">
            <w:pPr>
              <w:wordWrap w:val="0"/>
              <w:adjustRightInd/>
              <w:snapToGrid/>
              <w:spacing w:after="0" w:line="375" w:lineRule="atLeast"/>
              <w:jc w:val="center"/>
              <w:rPr>
                <w:rFonts w:ascii="宋体" w:eastAsia="宋体" w:hAnsi="宋体" w:cs="宋体"/>
                <w:color w:val="333333"/>
                <w:sz w:val="24"/>
                <w:szCs w:val="24"/>
              </w:rPr>
            </w:pPr>
            <w:bookmarkStart w:id="184" w:name="chujXmmc"/>
            <w:bookmarkEnd w:id="184"/>
          </w:p>
        </w:tc>
        <w:tc>
          <w:tcPr>
            <w:tcW w:w="1899" w:type="dxa"/>
            <w:vAlign w:val="center"/>
          </w:tcPr>
          <w:p w:rsidR="0038349C" w:rsidRPr="001716E5" w:rsidP="008360E4" w14:paraId="25E3E3AA" w14:textId="77777777">
            <w:pPr>
              <w:wordWrap w:val="0"/>
              <w:adjustRightInd/>
              <w:snapToGrid/>
              <w:spacing w:after="0" w:line="375" w:lineRule="atLeast"/>
              <w:jc w:val="center"/>
              <w:rPr>
                <w:rFonts w:ascii="宋体" w:eastAsia="宋体" w:hAnsi="宋体" w:cs="宋体"/>
                <w:color w:val="333333"/>
                <w:sz w:val="24"/>
                <w:szCs w:val="24"/>
              </w:rPr>
            </w:pPr>
            <w:bookmarkStart w:id="185" w:name="chujDwmc"/>
            <w:bookmarkEnd w:id="185"/>
          </w:p>
        </w:tc>
        <w:tc>
          <w:tcPr>
            <w:tcW w:w="2060" w:type="dxa"/>
            <w:vAlign w:val="center"/>
          </w:tcPr>
          <w:p w:rsidR="0038349C" w:rsidRPr="001716E5" w:rsidP="008360E4" w14:paraId="32A1AC07" w14:textId="77777777">
            <w:pPr>
              <w:wordWrap w:val="0"/>
              <w:adjustRightInd/>
              <w:snapToGrid/>
              <w:spacing w:after="0" w:line="375" w:lineRule="atLeast"/>
              <w:jc w:val="center"/>
              <w:rPr>
                <w:rFonts w:ascii="宋体" w:eastAsia="宋体" w:hAnsi="宋体" w:cs="宋体"/>
                <w:color w:val="333333"/>
                <w:sz w:val="24"/>
                <w:szCs w:val="24"/>
              </w:rPr>
            </w:pPr>
            <w:bookmarkStart w:id="186" w:name="chujPzbasj"/>
            <w:bookmarkEnd w:id="186"/>
          </w:p>
        </w:tc>
        <w:tc>
          <w:tcPr>
            <w:tcW w:w="1701" w:type="dxa"/>
            <w:tcMar>
              <w:top w:w="45" w:type="dxa"/>
              <w:left w:w="45" w:type="dxa"/>
              <w:bottom w:w="45" w:type="dxa"/>
              <w:right w:w="45" w:type="dxa"/>
            </w:tcMar>
            <w:vAlign w:val="center"/>
          </w:tcPr>
          <w:p w:rsidR="0038349C" w:rsidRPr="001716E5" w:rsidP="008360E4" w14:paraId="7F515604" w14:textId="77777777">
            <w:pPr>
              <w:wordWrap w:val="0"/>
              <w:adjustRightInd/>
              <w:snapToGrid/>
              <w:spacing w:after="0"/>
              <w:jc w:val="center"/>
              <w:rPr>
                <w:rFonts w:ascii="宋体" w:eastAsia="宋体" w:hAnsi="宋体" w:cs="宋体"/>
                <w:bCs/>
                <w:sz w:val="24"/>
                <w:szCs w:val="24"/>
              </w:rPr>
            </w:pPr>
            <w:bookmarkStart w:id="187" w:name="chujYczyjg"/>
            <w:bookmarkEnd w:id="187"/>
          </w:p>
        </w:tc>
        <w:tc>
          <w:tcPr>
            <w:tcW w:w="1059" w:type="dxa"/>
            <w:tcMar>
              <w:top w:w="45" w:type="dxa"/>
              <w:left w:w="45" w:type="dxa"/>
              <w:bottom w:w="45" w:type="dxa"/>
              <w:right w:w="45" w:type="dxa"/>
            </w:tcMar>
            <w:vAlign w:val="center"/>
          </w:tcPr>
          <w:p w:rsidR="0038349C" w:rsidRPr="001716E5" w:rsidP="008360E4" w14:paraId="6E5DD09C" w14:textId="77777777">
            <w:pPr>
              <w:wordWrap w:val="0"/>
              <w:adjustRightInd/>
              <w:snapToGrid/>
              <w:spacing w:after="0"/>
              <w:jc w:val="center"/>
              <w:rPr>
                <w:rFonts w:ascii="宋体" w:eastAsia="宋体" w:hAnsi="宋体" w:cs="宋体"/>
                <w:bCs/>
                <w:sz w:val="24"/>
                <w:szCs w:val="24"/>
              </w:rPr>
            </w:pPr>
            <w:bookmarkStart w:id="188" w:name="chujBz"/>
            <w:bookmarkEnd w:id="188"/>
          </w:p>
        </w:tc>
      </w:tr>
      <w:tr w14:paraId="1901BA47" w14:textId="77777777" w:rsidTr="00800432">
        <w:tblPrEx>
          <w:tblW w:w="14483" w:type="dxa"/>
          <w:jc w:val="center"/>
          <w:tblLayout w:type="fixed"/>
          <w:tblCellMar>
            <w:left w:w="0" w:type="dxa"/>
            <w:right w:w="0" w:type="dxa"/>
          </w:tblCellMar>
          <w:tblLook w:val="0000"/>
        </w:tblPrEx>
        <w:trPr>
          <w:trHeight w:val="1608"/>
          <w:jc w:val="center"/>
        </w:trPr>
        <w:tc>
          <w:tcPr>
            <w:tcW w:w="733" w:type="dxa"/>
            <w:tcMar>
              <w:top w:w="45" w:type="dxa"/>
              <w:left w:w="45" w:type="dxa"/>
              <w:bottom w:w="45" w:type="dxa"/>
              <w:right w:w="45" w:type="dxa"/>
            </w:tcMar>
            <w:vAlign w:val="center"/>
          </w:tcPr>
          <w:p w:rsidR="0038349C" w:rsidRPr="001716E5" w:rsidP="008360E4" w14:paraId="7639E600"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7</w:t>
            </w:r>
          </w:p>
        </w:tc>
        <w:tc>
          <w:tcPr>
            <w:tcW w:w="1134" w:type="dxa"/>
            <w:vAlign w:val="center"/>
          </w:tcPr>
          <w:p w:rsidR="0038349C" w:rsidRPr="001716E5" w:rsidP="008360E4" w14:paraId="2639889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信息对外提供或开放使用</w:t>
            </w:r>
          </w:p>
        </w:tc>
        <w:tc>
          <w:tcPr>
            <w:tcW w:w="3543" w:type="dxa"/>
            <w:vAlign w:val="center"/>
          </w:tcPr>
          <w:p w:rsidR="0038349C" w:rsidRPr="001716E5" w:rsidP="008360E4" w14:paraId="08399C44"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外方单位名称</w:t>
            </w:r>
            <w:r w:rsidRPr="001716E5">
              <w:rPr>
                <w:rFonts w:asciiTheme="minorEastAsia" w:eastAsiaTheme="minorEastAsia" w:hAnsiTheme="minorEastAsia" w:cs="宋体" w:hint="eastAsia"/>
                <w:bCs/>
                <w:color w:val="000000"/>
                <w:sz w:val="24"/>
                <w:szCs w:val="24"/>
                <w:u w:val="single"/>
              </w:rPr>
              <w:t xml:space="preserve">   </w:t>
            </w:r>
            <w:bookmarkStart w:id="189" w:name="xxsyWfdwmc"/>
            <w:bookmarkEnd w:id="189"/>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52C91E7"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合作研究目的</w:t>
            </w:r>
            <w:r w:rsidRPr="001716E5">
              <w:rPr>
                <w:rFonts w:asciiTheme="minorEastAsia" w:eastAsiaTheme="minorEastAsia" w:hAnsiTheme="minorEastAsia" w:cs="宋体" w:hint="eastAsia"/>
                <w:bCs/>
                <w:color w:val="000000"/>
                <w:sz w:val="24"/>
                <w:szCs w:val="24"/>
                <w:u w:val="single"/>
              </w:rPr>
              <w:t xml:space="preserve">   </w:t>
            </w:r>
            <w:bookmarkStart w:id="190" w:name="xxsyYjmd"/>
            <w:bookmarkEnd w:id="190"/>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9E62369"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来源</w:t>
            </w:r>
            <w:r w:rsidRPr="001716E5">
              <w:rPr>
                <w:rFonts w:asciiTheme="minorEastAsia" w:eastAsiaTheme="minorEastAsia" w:hAnsiTheme="minorEastAsia" w:cs="宋体" w:hint="eastAsia"/>
                <w:bCs/>
                <w:color w:val="000000"/>
                <w:sz w:val="24"/>
                <w:szCs w:val="24"/>
                <w:u w:val="single"/>
              </w:rPr>
              <w:t xml:space="preserve">   </w:t>
            </w:r>
            <w:bookmarkStart w:id="191" w:name="xxsyLy"/>
            <w:bookmarkEnd w:id="191"/>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4CE93A7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92" w:name="xxsyZl"/>
            <w:bookmarkEnd w:id="192"/>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A75312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93" w:name="xxsySl"/>
            <w:bookmarkEnd w:id="193"/>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CEBDFBD" w14:textId="77777777">
            <w:pPr>
              <w:wordWrap w:val="0"/>
              <w:adjustRightInd/>
              <w:snapToGrid/>
              <w:spacing w:after="0" w:line="375" w:lineRule="atLeast"/>
              <w:jc w:val="center"/>
              <w:rPr>
                <w:rFonts w:ascii="宋体" w:eastAsia="宋体" w:hAnsi="宋体" w:cs="宋体"/>
                <w:color w:val="333333"/>
                <w:sz w:val="24"/>
                <w:szCs w:val="24"/>
              </w:rPr>
            </w:pPr>
            <w:bookmarkStart w:id="194" w:name="xxsyXmmc"/>
            <w:bookmarkEnd w:id="194"/>
          </w:p>
        </w:tc>
        <w:tc>
          <w:tcPr>
            <w:tcW w:w="1899" w:type="dxa"/>
            <w:vAlign w:val="center"/>
          </w:tcPr>
          <w:p w:rsidR="0038349C" w:rsidRPr="001716E5" w:rsidP="008360E4" w14:paraId="2FF33A71" w14:textId="77777777">
            <w:pPr>
              <w:wordWrap w:val="0"/>
              <w:adjustRightInd/>
              <w:snapToGrid/>
              <w:spacing w:after="0" w:line="375" w:lineRule="atLeast"/>
              <w:jc w:val="center"/>
              <w:rPr>
                <w:rFonts w:ascii="宋体" w:eastAsia="宋体" w:hAnsi="宋体" w:cs="宋体"/>
                <w:color w:val="333333"/>
                <w:sz w:val="24"/>
                <w:szCs w:val="24"/>
              </w:rPr>
            </w:pPr>
            <w:bookmarkStart w:id="195" w:name="xxsyDwmc"/>
            <w:bookmarkEnd w:id="195"/>
          </w:p>
        </w:tc>
        <w:tc>
          <w:tcPr>
            <w:tcW w:w="2060" w:type="dxa"/>
            <w:vAlign w:val="center"/>
          </w:tcPr>
          <w:p w:rsidR="0038349C" w:rsidRPr="001716E5" w:rsidP="008360E4" w14:paraId="2115C05E" w14:textId="77777777">
            <w:pPr>
              <w:wordWrap w:val="0"/>
              <w:adjustRightInd/>
              <w:snapToGrid/>
              <w:spacing w:after="0" w:line="375" w:lineRule="atLeast"/>
              <w:jc w:val="center"/>
              <w:rPr>
                <w:rFonts w:ascii="宋体" w:eastAsia="宋体" w:hAnsi="宋体" w:cs="宋体"/>
                <w:color w:val="333333"/>
                <w:sz w:val="24"/>
                <w:szCs w:val="24"/>
              </w:rPr>
            </w:pPr>
            <w:bookmarkStart w:id="196" w:name="xxsyPzbasj"/>
            <w:bookmarkEnd w:id="196"/>
          </w:p>
        </w:tc>
        <w:tc>
          <w:tcPr>
            <w:tcW w:w="1701" w:type="dxa"/>
            <w:tcMar>
              <w:top w:w="45" w:type="dxa"/>
              <w:left w:w="45" w:type="dxa"/>
              <w:bottom w:w="45" w:type="dxa"/>
              <w:right w:w="45" w:type="dxa"/>
            </w:tcMar>
            <w:vAlign w:val="center"/>
          </w:tcPr>
          <w:p w:rsidR="0038349C" w:rsidRPr="001716E5" w:rsidP="008360E4" w14:paraId="5A819C48" w14:textId="77777777">
            <w:pPr>
              <w:wordWrap w:val="0"/>
              <w:adjustRightInd/>
              <w:snapToGrid/>
              <w:spacing w:after="0" w:line="375" w:lineRule="atLeast"/>
              <w:jc w:val="center"/>
              <w:rPr>
                <w:rFonts w:ascii="宋体" w:eastAsia="宋体" w:hAnsi="宋体" w:cs="宋体"/>
                <w:color w:val="333333"/>
                <w:sz w:val="24"/>
                <w:szCs w:val="24"/>
              </w:rPr>
            </w:pPr>
            <w:bookmarkStart w:id="197" w:name="xxsyYczyjg"/>
            <w:bookmarkEnd w:id="197"/>
          </w:p>
        </w:tc>
        <w:tc>
          <w:tcPr>
            <w:tcW w:w="1059" w:type="dxa"/>
            <w:tcMar>
              <w:top w:w="45" w:type="dxa"/>
              <w:left w:w="45" w:type="dxa"/>
              <w:bottom w:w="45" w:type="dxa"/>
              <w:right w:w="45" w:type="dxa"/>
            </w:tcMar>
            <w:vAlign w:val="center"/>
          </w:tcPr>
          <w:p w:rsidR="0038349C" w:rsidRPr="001716E5" w:rsidP="008360E4" w14:paraId="39555098" w14:textId="77777777">
            <w:pPr>
              <w:wordWrap w:val="0"/>
              <w:adjustRightInd/>
              <w:snapToGrid/>
              <w:spacing w:after="0" w:line="375" w:lineRule="atLeast"/>
              <w:jc w:val="center"/>
              <w:rPr>
                <w:rFonts w:ascii="宋体" w:eastAsia="宋体" w:hAnsi="宋体" w:cs="宋体"/>
                <w:color w:val="333333"/>
                <w:sz w:val="24"/>
                <w:szCs w:val="24"/>
              </w:rPr>
            </w:pPr>
            <w:bookmarkStart w:id="198" w:name="xxsyBz"/>
            <w:bookmarkEnd w:id="198"/>
          </w:p>
        </w:tc>
      </w:tr>
    </w:tbl>
    <w:p w:rsidR="0038349C" w:rsidRPr="001716E5" w:rsidP="008360E4" w14:paraId="7253EE36"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Times New Roman" w:hint="eastAsia"/>
          <w:kern w:val="2"/>
          <w:sz w:val="21"/>
          <w:szCs w:val="21"/>
        </w:rPr>
        <w:t>注：</w:t>
      </w:r>
      <w:r w:rsidRPr="001716E5">
        <w:rPr>
          <w:rFonts w:asciiTheme="minorEastAsia" w:eastAsiaTheme="minorEastAsia" w:hAnsiTheme="minorEastAsia" w:cs="仿宋_GB2312" w:hint="eastAsia"/>
          <w:kern w:val="2"/>
          <w:sz w:val="21"/>
          <w:szCs w:val="21"/>
        </w:rPr>
        <w:t>1.本表格所涉及人类遗传资源包括人类遗传资源材料和人类遗传资源信息。</w:t>
      </w:r>
    </w:p>
    <w:p w:rsidR="0038349C" w:rsidRPr="001716E5" w:rsidP="008360E4" w14:paraId="18E68535"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仿宋_GB2312" w:hint="eastAsia"/>
          <w:kern w:val="2"/>
          <w:sz w:val="21"/>
          <w:szCs w:val="21"/>
        </w:rPr>
        <w:t xml:space="preserve">    2.如涉及审批或备案，请将审批（备案）通知书扫描上传。</w:t>
      </w:r>
    </w:p>
    <w:p w:rsidR="004358AB" w:rsidRPr="001716E5" w:rsidP="008360E4" w14:paraId="5E90F1D5" w14:textId="77777777">
      <w:pPr>
        <w:widowControl w:val="0"/>
        <w:wordWrap w:val="0"/>
        <w:adjustRightInd/>
        <w:snapToGrid/>
        <w:spacing w:after="0" w:line="300" w:lineRule="exact"/>
        <w:jc w:val="both"/>
        <w:rPr>
          <w:rFonts w:asciiTheme="minorEastAsia" w:eastAsiaTheme="minorEastAsia" w:hAnsiTheme="minorEastAsia"/>
        </w:rPr>
        <w:sectPr>
          <w:headerReference w:type="even" r:id="rId37"/>
          <w:headerReference w:type="default" r:id="rId38"/>
          <w:footerReference w:type="even" r:id="rId39"/>
          <w:footerReference w:type="default" r:id="rId40"/>
          <w:headerReference w:type="first" r:id="rId41"/>
          <w:footerReference w:type="first" r:id="rId42"/>
          <w:pgSz w:w="16838" w:h="11906" w:orient="landscape"/>
          <w:pgMar w:top="1418" w:right="1418" w:bottom="1418" w:left="1418" w:header="851" w:footer="851" w:gutter="0"/>
          <w:cols w:num="1" w:space="425"/>
          <w:docGrid w:linePitch="381" w:charSpace="0"/>
        </w:sectPr>
      </w:pPr>
      <w:r w:rsidRPr="001716E5">
        <w:rPr>
          <w:rFonts w:asciiTheme="minorEastAsia" w:eastAsiaTheme="minorEastAsia" w:hAnsiTheme="minorEastAsia" w:cs="仿宋_GB2312" w:hint="eastAsia"/>
          <w:kern w:val="2"/>
          <w:sz w:val="21"/>
          <w:szCs w:val="21"/>
        </w:rPr>
        <w:t xml:space="preserve">    3.项目实施过程中如涉及采集、保藏、国际合作、出境、数据对外提供或开放使用，须按照《人类遗传资源管理条例》报中国人类遗传资源管理办公室审批或备案。</w:t>
      </w:r>
    </w:p>
    <w:p w14:paraId="1BFC60B2">
      <w:pPr>
        <w:wordWrap w:val="0"/>
        <w:spacing w:line="360" w:lineRule="auto"/>
        <w:jc w:val="center"/>
        <w:rPr>
          <w:b/>
          <w:szCs w:val="28"/>
        </w:rPr>
      </w:pPr>
      <w:r>
        <w:rPr>
          <w:rFonts w:hint="eastAsia"/>
          <w:b/>
          <w:szCs w:val="28"/>
        </w:rPr>
        <w:t>指南要求符合申报条件的附件信息</w:t>
      </w:r>
    </w:p>
    <w:tbl>
      <w:tblPr>
        <w:tblStyle w:val="TableNormal"/>
        <w:tblW w:w="105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64"/>
        <w:gridCol w:w="2835"/>
        <w:gridCol w:w="6998"/>
      </w:tblGrid>
      <w:tr w14:paraId="3DFAA77D">
        <w:tblPrEx>
          <w:tblW w:w="105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65"/>
          <w:jc w:val="center"/>
        </w:trPr>
        <w:tc>
          <w:tcPr>
            <w:tcW w:w="10597" w:type="dxa"/>
            <w:gridSpan w:val="3"/>
            <w:vAlign w:val="center"/>
          </w:tcPr>
          <w:p w14:paraId="3C1648FB">
            <w:pPr>
              <w:wordWrap w:val="0"/>
              <w:jc w:val="left"/>
              <w:rPr>
                <w:sz w:val="24"/>
              </w:rPr>
            </w:pPr>
            <w:r>
              <w:rPr>
                <w:rFonts w:hint="eastAsia"/>
                <w:sz w:val="24"/>
              </w:rPr>
              <w:t>附件目录：</w:t>
            </w:r>
          </w:p>
        </w:tc>
      </w:tr>
      <w:tr w14:paraId="70AA9D5D">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14:paraId="53F84C3D">
            <w:pPr>
              <w:wordWrap w:val="0"/>
              <w:jc w:val="center"/>
              <w:rPr>
                <w:sz w:val="24"/>
              </w:rPr>
            </w:pPr>
            <w:r>
              <w:rPr>
                <w:rFonts w:hint="eastAsia"/>
                <w:sz w:val="24"/>
              </w:rPr>
              <w:t>序号</w:t>
            </w:r>
          </w:p>
        </w:tc>
        <w:tc>
          <w:tcPr>
            <w:tcW w:w="2835" w:type="dxa"/>
            <w:vAlign w:val="center"/>
          </w:tcPr>
          <w:p w14:paraId="7791943A">
            <w:pPr>
              <w:wordWrap w:val="0"/>
              <w:jc w:val="center"/>
              <w:rPr>
                <w:sz w:val="24"/>
              </w:rPr>
            </w:pPr>
            <w:r>
              <w:rPr>
                <w:rFonts w:hint="eastAsia"/>
                <w:sz w:val="24"/>
              </w:rPr>
              <w:t>附件类型</w:t>
            </w:r>
          </w:p>
        </w:tc>
        <w:tc>
          <w:tcPr>
            <w:tcW w:w="6998" w:type="dxa"/>
            <w:vAlign w:val="center"/>
          </w:tcPr>
          <w:p w14:paraId="26F06DA2">
            <w:pPr>
              <w:wordWrap w:val="0"/>
              <w:jc w:val="center"/>
              <w:rPr>
                <w:sz w:val="24"/>
              </w:rPr>
            </w:pPr>
            <w:r>
              <w:rPr>
                <w:rFonts w:hint="eastAsia"/>
                <w:sz w:val="24"/>
              </w:rPr>
              <w:t>附件名称</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14:paraId="5C63FDDB">
            <w:pPr>
              <w:wordWrap w:val="0"/>
              <w:jc w:val="center"/>
              <w:rPr>
                <w:rFonts w:ascii="宋体" w:eastAsia="宋体" w:hAnsi="宋体" w:cs="宋体"/>
                <w:sz w:val="24"/>
              </w:rPr>
            </w:pPr>
            <w:r>
              <w:rPr>
                <w:rFonts w:ascii="宋体" w:eastAsia="宋体" w:hAnsi="宋体" w:cs="宋体"/>
                <w:sz w:val="24"/>
              </w:rPr>
              <w:t>1</w:t>
            </w:r>
          </w:p>
        </w:tc>
        <w:tc>
          <w:tcPr>
            <w:tcW w:w="2835" w:type="dxa"/>
            <w:vAlign w:val="center"/>
          </w:tcPr>
          <w:p w14:paraId="030EAB2E">
            <w:pPr>
              <w:wordWrap w:val="0"/>
              <w:jc w:val="left"/>
              <w:rPr>
                <w:rFonts w:ascii="宋体" w:eastAsia="宋体" w:hAnsi="宋体" w:cs="宋体"/>
                <w:sz w:val="24"/>
              </w:rPr>
            </w:pPr>
            <w:r>
              <w:rPr>
                <w:rFonts w:ascii="宋体" w:eastAsia="宋体" w:hAnsi="宋体" w:cs="宋体"/>
                <w:sz w:val="24"/>
              </w:rPr>
              <w:t>论文</w:t>
            </w:r>
          </w:p>
        </w:tc>
        <w:tc>
          <w:tcPr>
            <w:tcW w:w="6998" w:type="dxa"/>
            <w:vAlign w:val="center"/>
          </w:tcPr>
          <w:p w14:paraId="64C9B769">
            <w:pPr>
              <w:wordWrap w:val="0"/>
              <w:jc w:val="left"/>
              <w:rPr>
                <w:rFonts w:ascii="宋体" w:eastAsia="宋体" w:hAnsi="宋体" w:cs="宋体"/>
                <w:sz w:val="24"/>
              </w:rPr>
            </w:pPr>
            <w:r>
              <w:rPr>
                <w:rFonts w:ascii="宋体" w:eastAsia="宋体" w:hAnsi="宋体" w:cs="宋体"/>
                <w:sz w:val="24"/>
              </w:rPr>
              <w:t>论文代表作1</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2</w:t>
            </w:r>
          </w:p>
        </w:tc>
        <w:tc>
          <w:tcPr>
            <w:tcW w:w="2835" w:type="dxa"/>
            <w:vAlign w:val="center"/>
          </w:tcPr>
          <w:p>
            <w:pPr>
              <w:wordWrap w:val="0"/>
              <w:jc w:val="left"/>
              <w:rPr>
                <w:rFonts w:ascii="宋体" w:eastAsia="宋体" w:hAnsi="宋体" w:cs="宋体"/>
                <w:sz w:val="24"/>
              </w:rPr>
            </w:pPr>
            <w:r>
              <w:rPr>
                <w:rFonts w:ascii="宋体" w:eastAsia="宋体" w:hAnsi="宋体" w:cs="宋体"/>
                <w:sz w:val="24"/>
              </w:rPr>
              <w:t>论文</w:t>
            </w:r>
          </w:p>
        </w:tc>
        <w:tc>
          <w:tcPr>
            <w:tcW w:w="6998" w:type="dxa"/>
            <w:vAlign w:val="center"/>
          </w:tcPr>
          <w:p>
            <w:pPr>
              <w:wordWrap w:val="0"/>
              <w:jc w:val="left"/>
              <w:rPr>
                <w:rFonts w:ascii="宋体" w:eastAsia="宋体" w:hAnsi="宋体" w:cs="宋体"/>
                <w:sz w:val="24"/>
              </w:rPr>
            </w:pPr>
            <w:r>
              <w:rPr>
                <w:rFonts w:ascii="宋体" w:eastAsia="宋体" w:hAnsi="宋体" w:cs="宋体"/>
                <w:sz w:val="24"/>
              </w:rPr>
              <w:t>论文代表作2</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3</w:t>
            </w:r>
          </w:p>
        </w:tc>
        <w:tc>
          <w:tcPr>
            <w:tcW w:w="2835" w:type="dxa"/>
            <w:vAlign w:val="center"/>
          </w:tcPr>
          <w:p>
            <w:pPr>
              <w:wordWrap w:val="0"/>
              <w:jc w:val="left"/>
              <w:rPr>
                <w:rFonts w:ascii="宋体" w:eastAsia="宋体" w:hAnsi="宋体" w:cs="宋体"/>
                <w:sz w:val="24"/>
              </w:rPr>
            </w:pPr>
            <w:r>
              <w:rPr>
                <w:rFonts w:ascii="宋体" w:eastAsia="宋体" w:hAnsi="宋体" w:cs="宋体"/>
                <w:sz w:val="24"/>
              </w:rPr>
              <w:t>论文</w:t>
            </w:r>
          </w:p>
        </w:tc>
        <w:tc>
          <w:tcPr>
            <w:tcW w:w="6998" w:type="dxa"/>
            <w:vAlign w:val="center"/>
          </w:tcPr>
          <w:p>
            <w:pPr>
              <w:wordWrap w:val="0"/>
              <w:jc w:val="left"/>
              <w:rPr>
                <w:rFonts w:ascii="宋体" w:eastAsia="宋体" w:hAnsi="宋体" w:cs="宋体"/>
                <w:sz w:val="24"/>
              </w:rPr>
            </w:pPr>
            <w:r>
              <w:rPr>
                <w:rFonts w:ascii="宋体" w:eastAsia="宋体" w:hAnsi="宋体" w:cs="宋体"/>
                <w:sz w:val="24"/>
              </w:rPr>
              <w:t>论文代表作4</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4</w:t>
            </w:r>
          </w:p>
        </w:tc>
        <w:tc>
          <w:tcPr>
            <w:tcW w:w="2835" w:type="dxa"/>
            <w:vAlign w:val="center"/>
          </w:tcPr>
          <w:p>
            <w:pPr>
              <w:wordWrap w:val="0"/>
              <w:jc w:val="left"/>
              <w:rPr>
                <w:rFonts w:ascii="宋体" w:eastAsia="宋体" w:hAnsi="宋体" w:cs="宋体"/>
                <w:sz w:val="24"/>
              </w:rPr>
            </w:pPr>
            <w:r>
              <w:rPr>
                <w:rFonts w:ascii="宋体" w:eastAsia="宋体" w:hAnsi="宋体" w:cs="宋体"/>
                <w:sz w:val="24"/>
              </w:rPr>
              <w:t>论文</w:t>
            </w:r>
          </w:p>
        </w:tc>
        <w:tc>
          <w:tcPr>
            <w:tcW w:w="6998" w:type="dxa"/>
            <w:vAlign w:val="center"/>
          </w:tcPr>
          <w:p>
            <w:pPr>
              <w:wordWrap w:val="0"/>
              <w:jc w:val="left"/>
              <w:rPr>
                <w:rFonts w:ascii="宋体" w:eastAsia="宋体" w:hAnsi="宋体" w:cs="宋体"/>
                <w:sz w:val="24"/>
              </w:rPr>
            </w:pPr>
            <w:r>
              <w:rPr>
                <w:rFonts w:ascii="宋体" w:eastAsia="宋体" w:hAnsi="宋体" w:cs="宋体"/>
                <w:sz w:val="24"/>
              </w:rPr>
              <w:t>论文代表作3</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5</w:t>
            </w:r>
          </w:p>
        </w:tc>
        <w:tc>
          <w:tcPr>
            <w:tcW w:w="2835" w:type="dxa"/>
            <w:vAlign w:val="center"/>
          </w:tcPr>
          <w:p>
            <w:pPr>
              <w:wordWrap w:val="0"/>
              <w:jc w:val="left"/>
              <w:rPr>
                <w:rFonts w:ascii="宋体" w:eastAsia="宋体" w:hAnsi="宋体" w:cs="宋体"/>
                <w:sz w:val="24"/>
              </w:rPr>
            </w:pPr>
            <w:r>
              <w:rPr>
                <w:rFonts w:ascii="宋体" w:eastAsia="宋体" w:hAnsi="宋体" w:cs="宋体"/>
                <w:sz w:val="24"/>
              </w:rPr>
              <w:t>论文</w:t>
            </w:r>
          </w:p>
        </w:tc>
        <w:tc>
          <w:tcPr>
            <w:tcW w:w="6998" w:type="dxa"/>
            <w:vAlign w:val="center"/>
          </w:tcPr>
          <w:p>
            <w:pPr>
              <w:wordWrap w:val="0"/>
              <w:jc w:val="left"/>
              <w:rPr>
                <w:rFonts w:ascii="宋体" w:eastAsia="宋体" w:hAnsi="宋体" w:cs="宋体"/>
                <w:sz w:val="24"/>
              </w:rPr>
            </w:pPr>
            <w:r>
              <w:rPr>
                <w:rFonts w:ascii="宋体" w:eastAsia="宋体" w:hAnsi="宋体" w:cs="宋体"/>
                <w:sz w:val="24"/>
              </w:rPr>
              <w:t>论文代表作5</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6</w:t>
            </w:r>
          </w:p>
        </w:tc>
        <w:tc>
          <w:tcPr>
            <w:tcW w:w="2835" w:type="dxa"/>
            <w:vAlign w:val="center"/>
          </w:tcPr>
          <w:p>
            <w:pPr>
              <w:wordWrap w:val="0"/>
              <w:jc w:val="left"/>
              <w:rPr>
                <w:rFonts w:ascii="宋体" w:eastAsia="宋体" w:hAnsi="宋体" w:cs="宋体"/>
                <w:sz w:val="24"/>
              </w:rPr>
            </w:pPr>
            <w:r>
              <w:rPr>
                <w:rFonts w:ascii="宋体" w:eastAsia="宋体" w:hAnsi="宋体" w:cs="宋体"/>
                <w:sz w:val="24"/>
              </w:rPr>
              <w:t>论文</w:t>
            </w:r>
          </w:p>
        </w:tc>
        <w:tc>
          <w:tcPr>
            <w:tcW w:w="6998" w:type="dxa"/>
            <w:vAlign w:val="center"/>
          </w:tcPr>
          <w:p>
            <w:pPr>
              <w:wordWrap w:val="0"/>
              <w:jc w:val="left"/>
              <w:rPr>
                <w:rFonts w:ascii="宋体" w:eastAsia="宋体" w:hAnsi="宋体" w:cs="宋体"/>
                <w:sz w:val="24"/>
              </w:rPr>
            </w:pPr>
            <w:r>
              <w:rPr>
                <w:rFonts w:ascii="宋体" w:eastAsia="宋体" w:hAnsi="宋体" w:cs="宋体"/>
                <w:sz w:val="24"/>
              </w:rPr>
              <w:t>论文代表作6</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7</w:t>
            </w:r>
          </w:p>
        </w:tc>
        <w:tc>
          <w:tcPr>
            <w:tcW w:w="2835" w:type="dxa"/>
            <w:vAlign w:val="center"/>
          </w:tcPr>
          <w:p>
            <w:pPr>
              <w:wordWrap w:val="0"/>
              <w:jc w:val="left"/>
              <w:rPr>
                <w:rFonts w:ascii="宋体" w:eastAsia="宋体" w:hAnsi="宋体" w:cs="宋体"/>
                <w:sz w:val="24"/>
              </w:rPr>
            </w:pPr>
            <w:r>
              <w:rPr>
                <w:rFonts w:ascii="宋体" w:eastAsia="宋体" w:hAnsi="宋体" w:cs="宋体"/>
                <w:sz w:val="24"/>
              </w:rPr>
              <w:t>收录检索证明报告</w:t>
            </w:r>
          </w:p>
        </w:tc>
        <w:tc>
          <w:tcPr>
            <w:tcW w:w="6998" w:type="dxa"/>
            <w:vAlign w:val="center"/>
          </w:tcPr>
          <w:p>
            <w:pPr>
              <w:wordWrap w:val="0"/>
              <w:jc w:val="left"/>
              <w:rPr>
                <w:rFonts w:ascii="宋体" w:eastAsia="宋体" w:hAnsi="宋体" w:cs="宋体"/>
                <w:sz w:val="24"/>
              </w:rPr>
            </w:pPr>
            <w:r>
              <w:rPr>
                <w:rFonts w:ascii="宋体" w:eastAsia="宋体" w:hAnsi="宋体" w:cs="宋体"/>
                <w:sz w:val="24"/>
              </w:rPr>
              <w:t>论文检索证明报告</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8</w:t>
            </w:r>
          </w:p>
        </w:tc>
        <w:tc>
          <w:tcPr>
            <w:tcW w:w="283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6998" w:type="dxa"/>
            <w:vAlign w:val="center"/>
          </w:tcPr>
          <w:p>
            <w:pPr>
              <w:wordWrap w:val="0"/>
              <w:jc w:val="left"/>
              <w:rPr>
                <w:rFonts w:ascii="宋体" w:eastAsia="宋体" w:hAnsi="宋体" w:cs="宋体"/>
                <w:sz w:val="24"/>
              </w:rPr>
            </w:pPr>
            <w:r>
              <w:rPr>
                <w:rFonts w:ascii="宋体" w:eastAsia="宋体" w:hAnsi="宋体" w:cs="宋体"/>
                <w:sz w:val="24"/>
              </w:rPr>
              <w:t>专著-建筑材料理论与应用</w:t>
            </w:r>
          </w:p>
        </w:tc>
      </w:tr>
    </w:tbl>
    <w:p w14:paraId="2F22B872">
      <w:pPr>
        <w:wordWrap w:val="0"/>
        <w:rPr>
          <w:sz w:val="10"/>
          <w:szCs w:val="10"/>
        </w:rPr>
      </w:pPr>
    </w:p>
    <w:sectPr>
      <w:footerReference w:type="default" r:id="rId43"/>
      <w:pgSz w:w="11906" w:h="16838"/>
      <w:pgMar w:top="1418" w:right="1418" w:bottom="1418" w:left="1418" w:header="851" w:footer="851" w:gutter="0"/>
      <w:cols w:num="1" w:space="425"/>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variable"/>
    <w:sig w:usb0="20007A87" w:usb1="80000000" w:usb2="00000008" w:usb3="00000000" w:csb0="000001FF" w:csb1="00000000"/>
  </w:font>
  <w:font w:name="宋体">
    <w:altName w:val="SimSun"/>
    <w:panose1 w:val="02010600030101010101"/>
    <w:charset w:val="86"/>
    <w:family w:val="modern"/>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AGaramond">
    <w:altName w:val="宋体"/>
    <w:panose1 w:val="00000000000000000000"/>
    <w:charset w:val="86"/>
    <w:family w:val="roman"/>
    <w:pitch w:val="default"/>
    <w:sig w:usb0="00000000" w:usb1="00000000" w:usb2="00000010" w:usb3="00000000" w:csb0="00040000" w:csb1="00000000"/>
  </w:font>
  <w:font w:name="仿宋_GB2312">
    <w:altName w:val="仿宋"/>
    <w:panose1 w:val="02010609030101010101"/>
    <w:charset w:val="86"/>
    <w:family w:val="modern"/>
    <w:pitch w:val="default"/>
    <w:sig w:usb0="00000001" w:usb1="080E0000" w:usb2="00000000" w:usb3="00000000" w:csb0="00040000" w:csb1="00000000"/>
  </w:font>
  <w:font w:name="Tahoma">
    <w:panose1 w:val="020B0604030504040204"/>
    <w:charset w:val="00"/>
    <w:family w:val="swiss"/>
    <w:pitch w:val="variable"/>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Wingdings 2">
    <w:panose1 w:val="05020102010507070707"/>
    <w:charset w:val="02"/>
    <w:family w:val="roman"/>
    <w:pitch w:val="variable"/>
    <w:sig w:usb0="00000000" w:usb1="10000000" w:usb2="00000000" w:usb3="00000000" w:csb0="80000000" w:csb1="00000000"/>
  </w:font>
  <w:font w:name="方正小标宋_GBK">
    <w:altName w:val="微软雅黑"/>
    <w:charset w:val="86"/>
    <w:family w:val="auto"/>
    <w:pitch w:val="default"/>
    <w:sig w:usb0="00000000" w:usb1="00000000" w:usb2="0000000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E8DFB5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67EF80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15E31B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p w14:paraId="55A56C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C4CDA15">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81259D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530D478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BA9BAB1">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p w14:paraId="396C095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072A22E">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A0B3C9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2C2040D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EB73528">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p w14:paraId="057F3D5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4931F51">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21BE00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p w14:paraId="326F1D0D">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02478B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4DC01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395B2D1">
    <w:pPr>
      <w:pStyle w:val="Header"/>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37D591F">
    <w:pPr>
      <w:pStyle w:val="Header"/>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4AADE1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75D4E0F">
    <w:pPr>
      <w:pStyle w:val="Header"/>
      <w:pBdr>
        <w:bottom w:val="none" w:sz="0" w:space="0" w:color="auto"/>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94506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A7BB6C80"/>
    <w:multiLevelType w:val="singleLevel"/>
    <w:tmpl w:val="A7BB6C80"/>
    <w:lvl w:ilvl="0">
      <w:start w:val="1"/>
      <w:numFmt w:val="low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0ED"/>
    <w:rsid w:val="00000B01"/>
    <w:rsid w:val="000068C9"/>
    <w:rsid w:val="00007412"/>
    <w:rsid w:val="00007CED"/>
    <w:rsid w:val="00043706"/>
    <w:rsid w:val="00043D29"/>
    <w:rsid w:val="00067D2E"/>
    <w:rsid w:val="00067F0B"/>
    <w:rsid w:val="00086EC4"/>
    <w:rsid w:val="000B3E37"/>
    <w:rsid w:val="000B7959"/>
    <w:rsid w:val="000D7110"/>
    <w:rsid w:val="00104961"/>
    <w:rsid w:val="00112FBD"/>
    <w:rsid w:val="00147059"/>
    <w:rsid w:val="001716E5"/>
    <w:rsid w:val="001954A7"/>
    <w:rsid w:val="00197F4B"/>
    <w:rsid w:val="001C0BEF"/>
    <w:rsid w:val="001D461A"/>
    <w:rsid w:val="00210D36"/>
    <w:rsid w:val="00272A6C"/>
    <w:rsid w:val="00280FBB"/>
    <w:rsid w:val="00281E00"/>
    <w:rsid w:val="002904FE"/>
    <w:rsid w:val="002966AF"/>
    <w:rsid w:val="00297380"/>
    <w:rsid w:val="002C2E68"/>
    <w:rsid w:val="00342F3C"/>
    <w:rsid w:val="003515DB"/>
    <w:rsid w:val="003820BD"/>
    <w:rsid w:val="00382757"/>
    <w:rsid w:val="0038349C"/>
    <w:rsid w:val="003A29AB"/>
    <w:rsid w:val="003B20ED"/>
    <w:rsid w:val="003B2D19"/>
    <w:rsid w:val="003D1531"/>
    <w:rsid w:val="003E2C04"/>
    <w:rsid w:val="003F0277"/>
    <w:rsid w:val="0040206C"/>
    <w:rsid w:val="00404983"/>
    <w:rsid w:val="00411E8E"/>
    <w:rsid w:val="00416041"/>
    <w:rsid w:val="004353CC"/>
    <w:rsid w:val="004358AB"/>
    <w:rsid w:val="00454473"/>
    <w:rsid w:val="00456A81"/>
    <w:rsid w:val="00490050"/>
    <w:rsid w:val="00497001"/>
    <w:rsid w:val="004F3019"/>
    <w:rsid w:val="004F70A8"/>
    <w:rsid w:val="004F7560"/>
    <w:rsid w:val="00522B0F"/>
    <w:rsid w:val="00532443"/>
    <w:rsid w:val="00542989"/>
    <w:rsid w:val="0056127C"/>
    <w:rsid w:val="005712FA"/>
    <w:rsid w:val="005817C1"/>
    <w:rsid w:val="00594A6B"/>
    <w:rsid w:val="005E21CD"/>
    <w:rsid w:val="005E493B"/>
    <w:rsid w:val="005E533D"/>
    <w:rsid w:val="005F02F9"/>
    <w:rsid w:val="005F1CEE"/>
    <w:rsid w:val="0061006E"/>
    <w:rsid w:val="00612F97"/>
    <w:rsid w:val="0063152D"/>
    <w:rsid w:val="0065630A"/>
    <w:rsid w:val="00665FE2"/>
    <w:rsid w:val="00690002"/>
    <w:rsid w:val="006A4E79"/>
    <w:rsid w:val="006B0E7D"/>
    <w:rsid w:val="006E4890"/>
    <w:rsid w:val="006F2C7C"/>
    <w:rsid w:val="007052C0"/>
    <w:rsid w:val="0070788B"/>
    <w:rsid w:val="0071198C"/>
    <w:rsid w:val="00713A3E"/>
    <w:rsid w:val="00733827"/>
    <w:rsid w:val="00747D39"/>
    <w:rsid w:val="00752ABD"/>
    <w:rsid w:val="00777AFC"/>
    <w:rsid w:val="0078120B"/>
    <w:rsid w:val="00793889"/>
    <w:rsid w:val="007A42BF"/>
    <w:rsid w:val="007B31BD"/>
    <w:rsid w:val="007C0E47"/>
    <w:rsid w:val="007D2E29"/>
    <w:rsid w:val="007E4259"/>
    <w:rsid w:val="00805A11"/>
    <w:rsid w:val="00813CCF"/>
    <w:rsid w:val="008360E4"/>
    <w:rsid w:val="00846E79"/>
    <w:rsid w:val="00851942"/>
    <w:rsid w:val="008544E1"/>
    <w:rsid w:val="008E1279"/>
    <w:rsid w:val="008E2115"/>
    <w:rsid w:val="00917AFE"/>
    <w:rsid w:val="00920831"/>
    <w:rsid w:val="00946437"/>
    <w:rsid w:val="0094763A"/>
    <w:rsid w:val="0095464A"/>
    <w:rsid w:val="00954738"/>
    <w:rsid w:val="00981489"/>
    <w:rsid w:val="0098322D"/>
    <w:rsid w:val="009A6373"/>
    <w:rsid w:val="00A01EE2"/>
    <w:rsid w:val="00A0773E"/>
    <w:rsid w:val="00A36A51"/>
    <w:rsid w:val="00A37D73"/>
    <w:rsid w:val="00A40289"/>
    <w:rsid w:val="00A5235D"/>
    <w:rsid w:val="00A77B69"/>
    <w:rsid w:val="00AA5B5D"/>
    <w:rsid w:val="00AA5BFC"/>
    <w:rsid w:val="00AD4FC8"/>
    <w:rsid w:val="00AF629B"/>
    <w:rsid w:val="00B06DB0"/>
    <w:rsid w:val="00B16397"/>
    <w:rsid w:val="00B2000D"/>
    <w:rsid w:val="00B248DD"/>
    <w:rsid w:val="00B42B8A"/>
    <w:rsid w:val="00B72ED9"/>
    <w:rsid w:val="00BA1B4F"/>
    <w:rsid w:val="00BC2844"/>
    <w:rsid w:val="00BD159C"/>
    <w:rsid w:val="00BF33AC"/>
    <w:rsid w:val="00BF477D"/>
    <w:rsid w:val="00C158DB"/>
    <w:rsid w:val="00C34BBD"/>
    <w:rsid w:val="00C4359C"/>
    <w:rsid w:val="00C74B64"/>
    <w:rsid w:val="00C93591"/>
    <w:rsid w:val="00C950D4"/>
    <w:rsid w:val="00CA49A8"/>
    <w:rsid w:val="00CA7C1D"/>
    <w:rsid w:val="00CD0D2D"/>
    <w:rsid w:val="00CE1EE6"/>
    <w:rsid w:val="00CE4299"/>
    <w:rsid w:val="00CF6210"/>
    <w:rsid w:val="00CF7E33"/>
    <w:rsid w:val="00D079A0"/>
    <w:rsid w:val="00D23BDB"/>
    <w:rsid w:val="00D8297E"/>
    <w:rsid w:val="00D8534A"/>
    <w:rsid w:val="00D97318"/>
    <w:rsid w:val="00DA7C44"/>
    <w:rsid w:val="00DD5DBB"/>
    <w:rsid w:val="00E0524B"/>
    <w:rsid w:val="00E07015"/>
    <w:rsid w:val="00E116D5"/>
    <w:rsid w:val="00E15418"/>
    <w:rsid w:val="00E31967"/>
    <w:rsid w:val="00E43DFD"/>
    <w:rsid w:val="00E52611"/>
    <w:rsid w:val="00E7326B"/>
    <w:rsid w:val="00EA0BA9"/>
    <w:rsid w:val="00EA2AF3"/>
    <w:rsid w:val="00EB2146"/>
    <w:rsid w:val="00EB60C3"/>
    <w:rsid w:val="00F30DF2"/>
    <w:rsid w:val="00F33DFC"/>
    <w:rsid w:val="00F37F38"/>
    <w:rsid w:val="00F5179E"/>
    <w:rsid w:val="00F65904"/>
    <w:rsid w:val="00F71695"/>
    <w:rsid w:val="00F840F1"/>
    <w:rsid w:val="00F84B43"/>
    <w:rsid w:val="00FA43AA"/>
    <w:rsid w:val="00FB4B9D"/>
    <w:rsid w:val="00FB7A8D"/>
    <w:rsid w:val="00FC0C5B"/>
    <w:rsid w:val="00FC6491"/>
    <w:rsid w:val="68AD602C"/>
  </w:rsid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lsdException w:name="footer" w:semiHidden="0"/>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uiPriority="0" w:unhideWhenUsed="0" w:qFormat="1"/>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uiPriority="0" w:unhideWhenUsed="0"/>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semiHidden="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8"/>
      <w:szCs w:val="24"/>
      <w:lang w:val="en-US" w:eastAsia="zh-CN" w:bidi="ar-SA"/>
    </w:rPr>
  </w:style>
  <w:style w:type="paragraph" w:styleId="Heading1">
    <w:name w:val="heading 1"/>
    <w:basedOn w:val="Normal"/>
    <w:next w:val="Normal0"/>
    <w:autoRedefine/>
    <w:uiPriority w:val="9"/>
    <w:qFormat/>
    <w:locked/>
    <w:pPr>
      <w:spacing w:before="100" w:beforeAutospacing="1" w:after="100" w:afterAutospacing="1"/>
      <w:jc w:val="left"/>
      <w:outlineLvl w:val="0"/>
    </w:pPr>
    <w:rPr>
      <w:rFonts w:ascii="宋体" w:hAnsi="宋体" w:cs="宋体"/>
      <w:b/>
      <w:bCs/>
      <w:kern w:val="44"/>
      <w:sz w:val="48"/>
      <w:szCs w:val="48"/>
      <w:lang w:bidi="ar"/>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link w:val="a1"/>
    <w:semiHidden/>
    <w:pPr>
      <w:spacing w:after="120"/>
    </w:pPr>
  </w:style>
  <w:style w:type="paragraph" w:styleId="Footer">
    <w:name w:val="footer"/>
    <w:basedOn w:val="Normal"/>
    <w:link w:val="a0"/>
    <w:uiPriority w:val="99"/>
    <w:unhideWhenUsed/>
    <w:pPr>
      <w:tabs>
        <w:tab w:val="center" w:pos="4153"/>
        <w:tab w:val="right" w:pos="8306"/>
      </w:tabs>
      <w:snapToGrid w:val="0"/>
      <w:jc w:val="left"/>
    </w:pPr>
    <w:rPr>
      <w:sz w:val="18"/>
      <w:szCs w:val="18"/>
    </w:rPr>
  </w:style>
  <w:style w:type="paragraph" w:styleId="Header">
    <w:name w:val="header"/>
    <w:basedOn w:val="Normal"/>
    <w:link w:val="a"/>
    <w:uiPriority w:val="99"/>
    <w:unhideWhenUsed/>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unhideWhenUsed/>
    <w:qFormat/>
    <w:pPr>
      <w:spacing w:before="100" w:beforeAutospacing="1" w:after="100" w:afterAutospacing="1"/>
      <w:jc w:val="left"/>
    </w:pPr>
    <w:rPr>
      <w:kern w:val="0"/>
      <w:sz w:val="24"/>
      <w:szCs w:val="20"/>
    </w:rPr>
  </w:style>
  <w:style w:type="character" w:styleId="PageNumber">
    <w:name w:val="page number"/>
    <w:basedOn w:val="DefaultParagraphFont"/>
    <w:semiHidden/>
    <w:qFormat/>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正文文本 字符"/>
    <w:basedOn w:val="DefaultParagraphFont"/>
    <w:link w:val="BodyText"/>
    <w:semiHidden/>
    <w:qFormat/>
    <w:rPr>
      <w:rFonts w:ascii="Times New Roman" w:eastAsia="宋体" w:hAnsi="Times New Roman" w:cs="Times New Roman"/>
      <w:sz w:val="28"/>
      <w:szCs w:val="24"/>
    </w:rPr>
  </w:style>
  <w:style w:type="character" w:customStyle="1" w:styleId="fontstyle01">
    <w:name w:val="fontstyle01"/>
    <w:qFormat/>
    <w:rPr>
      <w:rFonts w:ascii="宋体" w:eastAsia="宋体" w:hAnsi="宋体" w:hint="eastAsia"/>
      <w:color w:val="000000"/>
      <w:sz w:val="24"/>
      <w:szCs w:val="24"/>
    </w:rPr>
  </w:style>
  <w:style w:type="paragraph" w:customStyle="1" w:styleId="Default">
    <w:name w:val="Default"/>
    <w:unhideWhenUsed/>
    <w:qFormat/>
    <w:pPr>
      <w:widowControl w:val="0"/>
      <w:autoSpaceDE w:val="0"/>
      <w:autoSpaceDN w:val="0"/>
      <w:adjustRightInd w:val="0"/>
    </w:pPr>
    <w:rPr>
      <w:rFonts w:ascii="AGaramond" w:eastAsia="AGaramond" w:hAnsi="AGaramond" w:cs="Times New Roman" w:hint="eastAsia"/>
      <w:color w:val="000000"/>
      <w:kern w:val="0"/>
      <w:sz w:val="24"/>
      <w:szCs w:val="20"/>
      <w:lang w:val="en-US" w:eastAsia="zh-CN" w:bidi="ar-SA"/>
    </w:rPr>
  </w:style>
  <w:style w:type="paragraph" w:styleId="CommentText">
    <w:name w:val="annotation text"/>
    <w:basedOn w:val="Normal"/>
    <w:autoRedefine/>
    <w:qFormat/>
    <w:pPr>
      <w:jc w:val="left"/>
    </w:pPr>
    <w:rPr>
      <w:rFonts w:asciiTheme="minorHAnsi" w:eastAsiaTheme="minorEastAsia" w:hAnsiTheme="minorHAnsi" w:cstheme="minorBidi"/>
      <w:sz w:val="21"/>
    </w:rPr>
  </w:style>
  <w:style w:type="paragraph" w:customStyle="1" w:styleId="Normal0">
    <w:name w:val="Normal_0"/>
    <w:autoRedefine/>
    <w:qFormat/>
    <w:pPr>
      <w:widowControl w:val="0"/>
      <w:jc w:val="both"/>
    </w:pPr>
    <w:rPr>
      <w:rFonts w:ascii="Times New Roman" w:eastAsia="宋体" w:hAnsi="Times New Roman" w:cs="Times New Roman"/>
      <w:kern w:val="2"/>
      <w:sz w:val="28"/>
      <w:szCs w:val="28"/>
      <w:lang w:eastAsia="zh-CN"/>
    </w:rPr>
  </w:style>
  <w:style w:type="table" w:styleId="TableGrid">
    <w:name w:val="Table Grid"/>
    <w:basedOn w:val="TableNormal"/>
    <w:autoRedefine/>
    <w:qFormat/>
    <w:locked/>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emf" /><Relationship Id="rId11" Type="http://schemas.openxmlformats.org/officeDocument/2006/relationships/oleObject" Target="embeddings/oleObject3.bin" /><Relationship Id="rId12" Type="http://schemas.openxmlformats.org/officeDocument/2006/relationships/image" Target="media/image5.emf" /><Relationship Id="rId13" Type="http://schemas.openxmlformats.org/officeDocument/2006/relationships/oleObject" Target="embeddings/oleObject4.bin" /><Relationship Id="rId14" Type="http://schemas.openxmlformats.org/officeDocument/2006/relationships/image" Target="media/image6.tif" /><Relationship Id="rId15" Type="http://schemas.openxmlformats.org/officeDocument/2006/relationships/image" Target="media/image7.emf" /><Relationship Id="rId16" Type="http://schemas.openxmlformats.org/officeDocument/2006/relationships/oleObject" Target="embeddings/oleObject5.bin" /><Relationship Id="rId17" Type="http://schemas.openxmlformats.org/officeDocument/2006/relationships/image" Target="media/image8.wmf" /><Relationship Id="rId18" Type="http://schemas.openxmlformats.org/officeDocument/2006/relationships/image" Target="media/image9.emf" /><Relationship Id="rId19" Type="http://schemas.openxmlformats.org/officeDocument/2006/relationships/image" Target="media/image10.png" /><Relationship Id="rId2" Type="http://schemas.openxmlformats.org/officeDocument/2006/relationships/webSettings" Target="webSettings.xml" /><Relationship Id="rId20" Type="http://schemas.openxmlformats.org/officeDocument/2006/relationships/image" Target="media/image11.emf" /><Relationship Id="rId21" Type="http://schemas.openxmlformats.org/officeDocument/2006/relationships/image" Target="media/image12.emf" /><Relationship Id="rId22" Type="http://schemas.openxmlformats.org/officeDocument/2006/relationships/image" Target="media/image13.emf" /><Relationship Id="rId23" Type="http://schemas.openxmlformats.org/officeDocument/2006/relationships/image" Target="media/image14.jpeg" /><Relationship Id="rId24" Type="http://schemas.openxmlformats.org/officeDocument/2006/relationships/image" Target="media/image15.emf" /><Relationship Id="rId25" Type="http://schemas.openxmlformats.org/officeDocument/2006/relationships/oleObject" Target="embeddings/oleObject6.bin" /><Relationship Id="rId26" Type="http://schemas.openxmlformats.org/officeDocument/2006/relationships/image" Target="media/image16.jpeg" /><Relationship Id="rId27" Type="http://schemas.openxmlformats.org/officeDocument/2006/relationships/header" Target="header1.xml" /><Relationship Id="rId28" Type="http://schemas.openxmlformats.org/officeDocument/2006/relationships/footer" Target="footer1.xml" /><Relationship Id="rId29" Type="http://schemas.openxmlformats.org/officeDocument/2006/relationships/footer" Target="footer2.xml" /><Relationship Id="rId3" Type="http://schemas.openxmlformats.org/officeDocument/2006/relationships/fontTable" Target="fontTable.xml" /><Relationship Id="rId30" Type="http://schemas.openxmlformats.org/officeDocument/2006/relationships/footer" Target="footer3.xml" /><Relationship Id="rId31" Type="http://schemas.openxmlformats.org/officeDocument/2006/relationships/header" Target="header2.xml" /><Relationship Id="rId32" Type="http://schemas.openxmlformats.org/officeDocument/2006/relationships/header" Target="header3.xml" /><Relationship Id="rId33" Type="http://schemas.openxmlformats.org/officeDocument/2006/relationships/footer" Target="footer4.xml" /><Relationship Id="rId34" Type="http://schemas.openxmlformats.org/officeDocument/2006/relationships/footer" Target="footer5.xml" /><Relationship Id="rId35" Type="http://schemas.openxmlformats.org/officeDocument/2006/relationships/header" Target="header4.xml" /><Relationship Id="rId36" Type="http://schemas.openxmlformats.org/officeDocument/2006/relationships/footer" Target="footer6.xml" /><Relationship Id="rId37" Type="http://schemas.openxmlformats.org/officeDocument/2006/relationships/header" Target="header5.xml" /><Relationship Id="rId38" Type="http://schemas.openxmlformats.org/officeDocument/2006/relationships/header" Target="header6.xml" /><Relationship Id="rId39" Type="http://schemas.openxmlformats.org/officeDocument/2006/relationships/footer" Target="footer7.xml" /><Relationship Id="rId4" Type="http://schemas.openxmlformats.org/officeDocument/2006/relationships/customXml" Target="../customXml/item1.xml" /><Relationship Id="rId40" Type="http://schemas.openxmlformats.org/officeDocument/2006/relationships/footer" Target="footer8.xml" /><Relationship Id="rId41" Type="http://schemas.openxmlformats.org/officeDocument/2006/relationships/header" Target="header7.xml" /><Relationship Id="rId42" Type="http://schemas.openxmlformats.org/officeDocument/2006/relationships/footer" Target="footer9.xml" /><Relationship Id="rId43" Type="http://schemas.openxmlformats.org/officeDocument/2006/relationships/footer" Target="footer10.xml" /><Relationship Id="rId44" Type="http://schemas.openxmlformats.org/officeDocument/2006/relationships/theme" Target="theme/theme1.xml" /><Relationship Id="rId45" Type="http://schemas.openxmlformats.org/officeDocument/2006/relationships/numbering" Target="numbering.xml" /><Relationship Id="rId46" Type="http://schemas.openxmlformats.org/officeDocument/2006/relationships/styles" Target="styles.xml" /><Relationship Id="rId5" Type="http://schemas.openxmlformats.org/officeDocument/2006/relationships/image" Target="media/image1.emf" /><Relationship Id="rId6" Type="http://schemas.openxmlformats.org/officeDocument/2006/relationships/image" Target="media/image2.emf" /><Relationship Id="rId7" Type="http://schemas.openxmlformats.org/officeDocument/2006/relationships/oleObject" Target="embeddings/oleObject1.bin" /><Relationship Id="rId8" Type="http://schemas.openxmlformats.org/officeDocument/2006/relationships/image" Target="media/image3.emf" /><Relationship Id="rId9" Type="http://schemas.openxmlformats.org/officeDocument/2006/relationships/oleObject" Target="embeddings/oleObject2.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38C9AB-5DCC-47F9-BA63-7261B7DEBFD6}">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12</Pages>
  <Words>2447</Words>
  <Characters>2498</Characters>
  <Application>Microsoft Office Word</Application>
  <DocSecurity>0</DocSecurity>
  <Lines>22</Lines>
  <Paragraphs>6</Paragraphs>
  <ScaleCrop>false</ScaleCrop>
  <Company/>
  <LinksUpToDate>false</LinksUpToDate>
  <CharactersWithSpaces>2605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Administrator</cp:lastModifiedBy>
  <cp:revision>121</cp:revision>
  <dcterms:created xsi:type="dcterms:W3CDTF">2020-02-17T03:25:00Z</dcterms:created>
  <dcterms:modified xsi:type="dcterms:W3CDTF">2025-03-05T09:28:59Z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0085AA1FE0E64D01AD16F80060BFAEF9_12</vt:lpwstr>
  </property>
  <property fmtid="{D5CDD505-2E9C-101B-9397-08002B2CF9AE}" pid="3" name="KSOProductBuildVer">
    <vt:lpwstr>2052-12.1.0.20305</vt:lpwstr>
  </property>
  <property fmtid="{D5CDD505-2E9C-101B-9397-08002B2CF9AE}" pid="4" name="KSOTemplateDocerSaveRecord">
    <vt:lpwstr>eyJoZGlkIjoiZTk1ODg5ZjBhMmYxMDcxNGQ5YTg3ZmFiYTg5MzA5YmMifQ==</vt:lpwstr>
  </property>
</Properties>
</file>