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20" w:before="320" w:line="252" w:lineRule="auto"/>
        <w:jc w:val="center"/>
      </w:pPr>
      <w:r>
        <w:rPr>
          <w:rFonts w:ascii="Malgun Gothic" w:hAnsi="Malgun Gothic" w:eastAsia="Malgun Gothic"/>
          <w:b/>
          <w:color w:val="000000"/>
          <w:sz w:val="44"/>
        </w:rPr>
        <w:t>2026 DATA·AI 분석 경진대회</w:t>
      </w:r>
    </w:p>
    <w:p>
      <w:pPr>
        <w:keepNext w:val="0"/>
        <w:spacing w:after="360" w:before="0" w:line="264" w:lineRule="auto"/>
        <w:jc w:val="center"/>
      </w:pPr>
      <w:r>
        <w:rPr>
          <w:rFonts w:ascii="Malgun Gothic" w:hAnsi="Malgun Gothic" w:eastAsia="Malgun Gothic"/>
          <w:b/>
          <w:color w:val="000000"/>
          <w:sz w:val="36"/>
        </w:rPr>
        <w:t>문제해결 참가신청서 초안</w:t>
      </w:r>
    </w:p>
    <w:p>
      <w:pPr>
        <w:pStyle w:val="Heading1"/>
        <w:keepNext/>
        <w:spacing w:after="100" w:before="200" w:line="276" w:lineRule="auto"/>
      </w:pPr>
      <w:r>
        <w:rPr>
          <w:rFonts w:ascii="Malgun Gothic" w:hAnsi="Malgun Gothic" w:eastAsia="Malgun Gothic"/>
          <w:b/>
          <w:color w:val="000000"/>
          <w:sz w:val="30"/>
        </w:rPr>
        <w:t>참가 정보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1814"/>
            <w:shd w:fill="F3F7FB"/>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문제명</w:t>
            </w:r>
          </w:p>
        </w:tc>
        <w:tc>
          <w:tcPr>
            <w:tcW w:type="dxa" w:w="7483"/>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호우 시 유역환경을 반영한 6시간 최대 하천수위 상승량 예측</w:t>
            </w:r>
          </w:p>
        </w:tc>
      </w:tr>
      <w:tr>
        <w:tc>
          <w:tcPr>
            <w:tcW w:type="dxa" w:w="1814"/>
            <w:shd w:fill="DCE6F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팀명</w:t>
            </w:r>
          </w:p>
        </w:tc>
        <w:tc>
          <w:tcPr>
            <w:tcW w:type="dxa" w:w="7483"/>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[직접 입력]</w:t>
            </w:r>
          </w:p>
        </w:tc>
      </w:tr>
      <w:tr>
        <w:tc>
          <w:tcPr>
            <w:tcW w:type="dxa" w:w="1814"/>
            <w:shd w:fill="F3F7FB"/>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제안 제목</w:t>
            </w:r>
          </w:p>
        </w:tc>
        <w:tc>
          <w:tcPr>
            <w:tcW w:type="dxa" w:w="7483"/>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호우사상 일반화를 위한 누수 차단형 6시간 최대 하천수위 상승량 예측</w:t>
            </w:r>
          </w:p>
        </w:tc>
      </w:tr>
      <w:tr>
        <w:tc>
          <w:tcPr>
            <w:tcW w:type="dxa" w:w="1814"/>
            <w:shd w:fill="DCE6F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대표자</w:t>
            </w:r>
          </w:p>
        </w:tc>
        <w:tc>
          <w:tcPr>
            <w:tcW w:type="dxa" w:w="7483"/>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성명 [직접 입력]  ·  소속 [직접 입력]</w:t>
            </w:r>
          </w:p>
        </w:tc>
      </w:tr>
      <w:tr>
        <w:tc>
          <w:tcPr>
            <w:tcW w:type="dxa" w:w="1814"/>
            <w:shd w:fill="F3F7FB"/>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연락처</w:t>
            </w:r>
          </w:p>
        </w:tc>
        <w:tc>
          <w:tcPr>
            <w:tcW w:type="dxa" w:w="7483"/>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이메일 [직접 입력]  ·  Mobile [직접 입력]</w:t>
            </w:r>
          </w:p>
        </w:tc>
      </w:tr>
      <w:tr>
        <w:tc>
          <w:tcPr>
            <w:tcW w:type="dxa" w:w="1814"/>
            <w:shd w:fill="DCE6F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팀 구성</w:t>
            </w:r>
          </w:p>
        </w:tc>
        <w:tc>
          <w:tcPr>
            <w:tcW w:type="dxa" w:w="7483"/>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팀원 성명·소속·이메일·연락처·서명 [직접 입력]</w:t>
            </w:r>
          </w:p>
        </w:tc>
      </w:tr>
    </w:tbl>
    <w:p>
      <w:pPr>
        <w:pStyle w:val="Heading1"/>
        <w:keepNext/>
        <w:spacing w:after="100" w:before="200" w:line="276" w:lineRule="auto"/>
      </w:pPr>
      <w:r>
        <w:rPr>
          <w:rFonts w:ascii="Malgun Gothic" w:hAnsi="Malgun Gothic" w:eastAsia="Malgun Gothic"/>
          <w:b/>
          <w:color w:val="000000"/>
          <w:sz w:val="30"/>
        </w:rPr>
        <w:t>신청 요약</w:t>
      </w:r>
    </w:p>
    <w:p>
      <w:pPr>
        <w:keepNext w:val="0"/>
        <w:spacing w:after="100" w:before="0" w:line="326" w:lineRule="auto"/>
      </w:pPr>
      <w:r>
        <w:rPr>
          <w:rFonts w:ascii="Malgun Gothic" w:hAnsi="Malgun Gothic" w:eastAsia="Malgun Gothic"/>
          <w:b w:val="0"/>
          <w:color w:val="000000"/>
          <w:sz w:val="21"/>
        </w:rPr>
        <w:t>현재까지 관측된 하천수위와 강우·레이더·유역환경 정보를 결합하여, 앞으로 6시간 동안의 최대 수위상승량을 예측한다. 핵심은 많은 행을 무작위로 나누는 방식이 아니라 서로 다른 호우사상에 일반화되는 모델을 만드는 것이다. 공식 평가와 동일한 Global RMSE를 사용하고, 호우사상 단위 검증과 시점 t 이후 정보 차단을 파이프라인 수준에서 보장한다.</w:t>
      </w:r>
    </w:p>
    <w:p>
      <w:pPr>
        <w:pStyle w:val="Heading1"/>
        <w:keepNext/>
        <w:spacing w:after="100" w:before="200" w:line="276" w:lineRule="auto"/>
      </w:pPr>
      <w:r>
        <w:rPr>
          <w:rFonts w:ascii="Malgun Gothic" w:hAnsi="Malgun Gothic" w:eastAsia="Malgun Gothic"/>
          <w:b/>
          <w:color w:val="000000"/>
          <w:sz w:val="30"/>
        </w:rPr>
        <w:t>개인정보 및 경진대회 규정 확인</w:t>
      </w:r>
    </w:p>
    <w:p>
      <w:pPr>
        <w:pStyle w:val="ListBullet"/>
        <w:keepNext w:val="0"/>
        <w:spacing w:after="60" w:before="0" w:line="307" w:lineRule="auto"/>
      </w:pPr>
      <w:r>
        <w:rPr>
          <w:rFonts w:ascii="Malgun Gothic" w:hAnsi="Malgun Gothic" w:eastAsia="Malgun Gothic"/>
          <w:b w:val="0"/>
          <w:color w:val="000000"/>
          <w:sz w:val="20"/>
        </w:rPr>
        <w:t>개인정보 수집·이용, 5년 보유, 참가자 관리와 결과 안내 목적을 확인한다.</w:t>
      </w:r>
    </w:p>
    <w:p>
      <w:pPr>
        <w:pStyle w:val="ListBullet"/>
        <w:keepNext w:val="0"/>
        <w:spacing w:after="60" w:before="0" w:line="307" w:lineRule="auto"/>
      </w:pPr>
      <w:r>
        <w:rPr>
          <w:rFonts w:ascii="Malgun Gothic" w:hAnsi="Malgun Gothic" w:eastAsia="Malgun Gothic"/>
          <w:b w:val="0"/>
          <w:color w:val="000000"/>
          <w:sz w:val="20"/>
        </w:rPr>
        <w:t>제공 데이터는 승인 목적에만 사용하며 제3자 제공, 재식별, 평가 정답 역추적을 하지 않는다.</w:t>
      </w:r>
    </w:p>
    <w:p>
      <w:pPr>
        <w:pStyle w:val="ListBullet"/>
        <w:keepNext w:val="0"/>
        <w:spacing w:after="60" w:before="0" w:line="307" w:lineRule="auto"/>
      </w:pPr>
      <w:r>
        <w:rPr>
          <w:rFonts w:ascii="Malgun Gothic" w:hAnsi="Malgun Gothic" w:eastAsia="Malgun Gothic"/>
          <w:b w:val="0"/>
          <w:color w:val="000000"/>
          <w:sz w:val="20"/>
        </w:rPr>
        <w:t>대회 종료 후 제공 데이터를 폐기하고, 파생 성과물에는 데이터 출처를 명시한다.</w:t>
      </w:r>
    </w:p>
    <w:p>
      <w:pPr>
        <w:pStyle w:val="ListBullet"/>
        <w:keepNext w:val="0"/>
        <w:spacing w:after="60" w:before="0" w:line="307" w:lineRule="auto"/>
      </w:pPr>
      <w:r>
        <w:rPr>
          <w:rFonts w:ascii="Malgun Gothic" w:hAnsi="Malgun Gothic" w:eastAsia="Malgun Gothic"/>
          <w:b w:val="0"/>
          <w:color w:val="000000"/>
          <w:sz w:val="20"/>
        </w:rPr>
        <w:t>수상 시 최종 예측값, 소스코드와 방법론 문서의 제출·공개 조건을 확인한다.</w:t>
      </w:r>
    </w:p>
    <w:p>
      <w:pPr>
        <w:keepNext w:val="0"/>
        <w:spacing w:after="100" w:before="0" w:line="326" w:lineRule="auto"/>
      </w:pPr>
      <w:r>
        <w:rPr>
          <w:rFonts w:ascii="Malgun Gothic" w:hAnsi="Malgun Gothic" w:eastAsia="Malgun Gothic"/>
          <w:b/>
          <w:color w:val="000000"/>
          <w:sz w:val="21"/>
        </w:rPr>
        <w:t>제출 전 확인:</w:t>
      </w:r>
      <w:r>
        <w:rPr>
          <w:rFonts w:ascii="Malgun Gothic" w:hAnsi="Malgun Gothic" w:eastAsia="Malgun Gothic"/>
          <w:b w:val="0"/>
          <w:color w:val="000000"/>
          <w:sz w:val="21"/>
        </w:rPr>
        <w:t xml:space="preserve"> 공식 HWP 원본의 개인정보 동의와 경진대회 규정 전체를 다시 읽고 참가자 전원이 직접 서명한다.</w:t>
      </w:r>
    </w:p>
    <w:p>
      <w:r>
        <w:br w:type="page"/>
      </w:r>
    </w:p>
    <w:p>
      <w:pPr>
        <w:pStyle w:val="Heading1"/>
        <w:keepNext/>
        <w:spacing w:after="100" w:before="200" w:line="276" w:lineRule="auto"/>
      </w:pPr>
      <w:r>
        <w:rPr>
          <w:rFonts w:ascii="Malgun Gothic" w:hAnsi="Malgun Gothic" w:eastAsia="Malgun Gothic"/>
          <w:b/>
          <w:color w:val="000000"/>
          <w:sz w:val="30"/>
        </w:rPr>
        <w:t>문제해결 제안서</w:t>
      </w:r>
    </w:p>
    <w:p>
      <w:pPr>
        <w:pStyle w:val="Heading2"/>
        <w:keepNext/>
        <w:spacing w:after="100" w:before="140" w:line="276" w:lineRule="auto"/>
      </w:pPr>
      <w:r>
        <w:rPr>
          <w:rFonts w:ascii="Malgun Gothic" w:hAnsi="Malgun Gothic" w:eastAsia="Malgun Gothic"/>
          <w:b/>
          <w:color w:val="000000"/>
          <w:sz w:val="25"/>
        </w:rPr>
        <w:t>제안 개요</w:t>
      </w:r>
    </w:p>
    <w:p>
      <w:pPr>
        <w:keepNext w:val="0"/>
        <w:spacing w:after="100" w:before="0" w:line="326" w:lineRule="auto"/>
      </w:pPr>
      <w:r>
        <w:rPr>
          <w:rFonts w:ascii="Malgun Gothic" w:hAnsi="Malgun Gothic" w:eastAsia="Malgun Gothic"/>
          <w:b w:val="0"/>
          <w:color w:val="000000"/>
          <w:sz w:val="21"/>
        </w:rPr>
        <w:t>호우 시 하천 통제와 주민 안내에는 준비 시간이 필요하다. 본 제안은 관측시점까지 확보된 정보만 사용하여 향후 6시간의 최대 수위상승량을 예측하고, 새로운 호우사상에서도 성능이 유지되는 재현 가능한 모델을 개발한다. 모델은 수위 변화 추세, 강우의 최근성과 집중도, 레이더 신호, 유역의 지형·토지피복 특성을 함께 학습한다.</w:t>
      </w:r>
    </w:p>
    <w:p>
      <w:pPr>
        <w:pStyle w:val="Heading2"/>
        <w:keepNext/>
        <w:spacing w:after="100" w:before="140" w:line="276" w:lineRule="auto"/>
      </w:pPr>
      <w:r>
        <w:rPr>
          <w:rFonts w:ascii="Malgun Gothic" w:hAnsi="Malgun Gothic" w:eastAsia="Malgun Gothic"/>
          <w:b/>
          <w:color w:val="000000"/>
          <w:sz w:val="25"/>
        </w:rPr>
        <w:t>데이터 활용 방안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701"/>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데이터군</w:t>
            </w:r>
          </w:p>
        </w:tc>
        <w:tc>
          <w:tcPr>
            <w:tcW w:type="dxa" w:w="3458"/>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활용 변수</w:t>
            </w:r>
          </w:p>
        </w:tc>
        <w:tc>
          <w:tcPr>
            <w:tcW w:type="dxa" w:w="4139"/>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활용 목적</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하천수위</w:t>
            </w:r>
          </w:p>
        </w:tc>
        <w:tc>
          <w:tcPr>
            <w:tcW w:type="dxa" w:w="345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현재, 1·3·6·12·24시간 전 수위</w:t>
            </w:r>
          </w:p>
        </w:tc>
        <w:tc>
          <w:tcPr>
            <w:tcW w:type="dxa" w:w="4139"/>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상승 속도, 가속도, 장·단기 추세를 구성</w:t>
            </w:r>
          </w:p>
        </w:tc>
      </w:tr>
      <w:tr>
        <w:tc>
          <w:tcPr>
            <w:tcW w:type="dxa" w:w="170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강우·레이더</w:t>
            </w:r>
          </w:p>
        </w:tc>
        <w:tc>
          <w:tcPr>
            <w:tcW w:type="dxa" w:w="345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IMERG, 지상강우, 레이더 평균·상위값·비율</w:t>
            </w:r>
          </w:p>
        </w:tc>
        <w:tc>
          <w:tcPr>
            <w:tcW w:type="dxa" w:w="4139"/>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강우의 최근성, 집중도와 공간적 강도를 표현</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유역환경</w:t>
            </w:r>
          </w:p>
        </w:tc>
        <w:tc>
          <w:tcPr>
            <w:tcW w:type="dxa" w:w="345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집수면적, 상류면적, 고도, 경사, 도시·산림 비율, 하천차수</w:t>
            </w:r>
          </w:p>
        </w:tc>
        <w:tc>
          <w:tcPr>
            <w:tcW w:type="dxa" w:w="4139"/>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동일 강우에 대한 유역별 반응 차이를 설명</w:t>
            </w:r>
          </w:p>
        </w:tc>
      </w:tr>
      <w:tr>
        <w:tc>
          <w:tcPr>
            <w:tcW w:type="dxa" w:w="170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식별·시간</w:t>
            </w:r>
          </w:p>
        </w:tc>
        <w:tc>
          <w:tcPr>
            <w:tcW w:type="dxa" w:w="345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익명 관측소, 합성 timestamp</w:t>
            </w:r>
          </w:p>
        </w:tc>
        <w:tc>
          <w:tcPr>
            <w:tcW w:type="dxa" w:w="4139"/>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범주형 관측소 효과와 호우사상 검증 그룹 구성에만 사용</w:t>
            </w:r>
          </w:p>
        </w:tc>
      </w:tr>
    </w:tbl>
    <w:p>
      <w:pPr>
        <w:pStyle w:val="Heading2"/>
        <w:keepNext/>
        <w:spacing w:after="100" w:before="140" w:line="276" w:lineRule="auto"/>
      </w:pPr>
      <w:r>
        <w:rPr>
          <w:rFonts w:ascii="Malgun Gothic" w:hAnsi="Malgun Gothic" w:eastAsia="Malgun Gothic"/>
          <w:b/>
          <w:color w:val="000000"/>
          <w:sz w:val="25"/>
        </w:rPr>
        <w:t>초기 샘플에서 확인한 사항</w:t>
      </w:r>
    </w:p>
    <w:p>
      <w:pPr>
        <w:keepNext w:val="0"/>
        <w:spacing w:after="100" w:before="0" w:line="326" w:lineRule="auto"/>
      </w:pPr>
      <w:r>
        <w:rPr>
          <w:rFonts w:ascii="Malgun Gothic" w:hAnsi="Malgun Gothic" w:eastAsia="Malgun Gothic"/>
          <w:b w:val="0"/>
          <w:color w:val="000000"/>
          <w:sz w:val="21"/>
        </w:rPr>
        <w:t>제공된 초기 샘플은 296행·26열이며 결측과 중복 row_id가 없었다. target 중앙값은 0.04 m이지만 최대값은 7.07 m로 큰 상승 사례가 드물게 포함돼 있었다. 이는 RMSE가 극단 사례의 오차에 민감할 수 있음을 보여준다. 다만 이 샘플은 최종 749,657행 Train과 식별자·규모가 다르므로, 변수 설계와 위험 파악에만 사용하고 성능 검증에는 사용하지 않는다.</w:t>
      </w:r>
    </w:p>
    <w:p>
      <w:pPr>
        <w:pStyle w:val="Heading2"/>
        <w:keepNext/>
        <w:spacing w:after="100" w:before="140" w:line="276" w:lineRule="auto"/>
      </w:pPr>
      <w:r>
        <w:rPr>
          <w:rFonts w:ascii="Malgun Gothic" w:hAnsi="Malgun Gothic" w:eastAsia="Malgun Gothic"/>
          <w:b/>
          <w:color w:val="000000"/>
          <w:sz w:val="25"/>
        </w:rPr>
        <w:t>검증 원칙</w:t>
      </w:r>
    </w:p>
    <w:p>
      <w:pPr>
        <w:pStyle w:val="ListNumber"/>
        <w:keepNext w:val="0"/>
        <w:spacing w:after="60" w:before="0" w:line="307" w:lineRule="auto"/>
      </w:pPr>
      <w:r>
        <w:rPr>
          <w:rFonts w:ascii="Malgun Gothic" w:hAnsi="Malgun Gothic" w:eastAsia="Malgun Gothic"/>
          <w:b w:val="0"/>
          <w:color w:val="000000"/>
          <w:sz w:val="20"/>
        </w:rPr>
        <w:t>최종 Train의 호우사상 단위를 기준으로 4-fold Group CV를 고정한다.</w:t>
      </w:r>
    </w:p>
    <w:p>
      <w:pPr>
        <w:pStyle w:val="ListNumber"/>
        <w:keepNext w:val="0"/>
        <w:spacing w:after="60" w:before="0" w:line="307" w:lineRule="auto"/>
      </w:pPr>
      <w:r>
        <w:rPr>
          <w:rFonts w:ascii="Malgun Gothic" w:hAnsi="Malgun Gothic" w:eastAsia="Malgun Gothic"/>
          <w:b w:val="0"/>
          <w:color w:val="000000"/>
          <w:sz w:val="20"/>
        </w:rPr>
        <w:t>행 단위 random split과 관측소 단위 random split은 사용하지 않는다.</w:t>
      </w:r>
    </w:p>
    <w:p>
      <w:pPr>
        <w:pStyle w:val="ListNumber"/>
        <w:keepNext w:val="0"/>
        <w:spacing w:after="60" w:before="0" w:line="307" w:lineRule="auto"/>
      </w:pPr>
      <w:r>
        <w:rPr>
          <w:rFonts w:ascii="Malgun Gothic" w:hAnsi="Malgun Gothic" w:eastAsia="Malgun Gothic"/>
          <w:b w:val="0"/>
          <w:color w:val="000000"/>
          <w:sz w:val="20"/>
        </w:rPr>
        <w:t>Test의 같은 관측소 후속 행이나 미래 wl_t를 참조하지 않고 각 행의 시점 t까지 정보만 사용한다.</w:t>
      </w:r>
    </w:p>
    <w:p>
      <w:pPr>
        <w:pStyle w:val="ListNumber"/>
        <w:keepNext w:val="0"/>
        <w:spacing w:after="60" w:before="0" w:line="307" w:lineRule="auto"/>
      </w:pPr>
      <w:r>
        <w:rPr>
          <w:rFonts w:ascii="Malgun Gothic" w:hAnsi="Malgun Gothic" w:eastAsia="Malgun Gothic"/>
          <w:b w:val="0"/>
          <w:color w:val="000000"/>
          <w:sz w:val="20"/>
        </w:rPr>
        <w:t>Global RMSE와 함께 사상별 RMSE, 큰 상승 구간 RMSE, fold 간 편차를 진단한다.</w:t>
      </w:r>
    </w:p>
    <w:p>
      <w:r>
        <w:br w:type="page"/>
      </w:r>
    </w:p>
    <w:p>
      <w:pPr>
        <w:pStyle w:val="Heading1"/>
        <w:keepNext/>
        <w:spacing w:after="100" w:before="200" w:line="276" w:lineRule="auto"/>
      </w:pPr>
      <w:r>
        <w:rPr>
          <w:rFonts w:ascii="Malgun Gothic" w:hAnsi="Malgun Gothic" w:eastAsia="Malgun Gothic"/>
          <w:b/>
          <w:color w:val="000000"/>
          <w:sz w:val="30"/>
        </w:rPr>
        <w:t>분석 방법론</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417"/>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단계</w:t>
            </w:r>
          </w:p>
        </w:tc>
        <w:tc>
          <w:tcPr>
            <w:tcW w:type="dxa" w:w="4706"/>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방법</w:t>
            </w:r>
          </w:p>
        </w:tc>
        <w:tc>
          <w:tcPr>
            <w:tcW w:type="dxa" w:w="3175"/>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판정 기준</w:t>
            </w:r>
          </w:p>
        </w:tc>
      </w:tr>
      <w:tr>
        <w:tc>
          <w:tcPr>
            <w:tcW w:type="dxa" w:w="1417"/>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 데이터 감사</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스키마·결측·범위·중복·시간 간격·관측소별 고정변수 확인</w:t>
            </w:r>
          </w:p>
        </w:tc>
        <w:tc>
          <w:tcPr>
            <w:tcW w:type="dxa" w:w="3175"/>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최종 파일 행·열 수와 hash 기록</w:t>
            </w:r>
          </w:p>
        </w:tc>
      </w:tr>
      <w:tr>
        <w:tc>
          <w:tcPr>
            <w:tcW w:type="dxa" w:w="1417"/>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2 기준선</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0 예측, 과거 수위만 사용, 전체 공식 변수 모델을 순차 실행</w:t>
            </w:r>
          </w:p>
        </w:tc>
        <w:tc>
          <w:tcPr>
            <w:tcW w:type="dxa" w:w="3175"/>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공식 참고성능 0.410·0.275·0.244의 재현 가능성 점검</w:t>
            </w:r>
          </w:p>
        </w:tc>
      </w:tr>
      <w:tr>
        <w:tc>
          <w:tcPr>
            <w:tcW w:type="dxa" w:w="1417"/>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3 특징 생성</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수위 변화율·가속도, 강우 최근성·집중도, 강우-유역 상호작용</w:t>
            </w:r>
          </w:p>
        </w:tc>
        <w:tc>
          <w:tcPr>
            <w:tcW w:type="dxa" w:w="3175"/>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한 실험에서 한 가설만 변경</w:t>
            </w:r>
          </w:p>
        </w:tc>
      </w:tr>
      <w:tr>
        <w:tc>
          <w:tcPr>
            <w:tcW w:type="dxa" w:w="1417"/>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4 모델링</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LightGBM 또는 CatBoost 중심, HistGradientBoosting·선형모델과 비교</w:t>
            </w:r>
          </w:p>
        </w:tc>
        <w:tc>
          <w:tcPr>
            <w:tcW w:type="dxa" w:w="3175"/>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OOF Global RMSE와 사상별 안정성</w:t>
            </w:r>
          </w:p>
        </w:tc>
      </w:tr>
      <w:tr>
        <w:tc>
          <w:tcPr>
            <w:tcW w:type="dxa" w:w="1417"/>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5 앙상블</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OOF 오차 상관이 낮은 모델을 제한적으로 혼합</w:t>
            </w:r>
          </w:p>
        </w:tc>
        <w:tc>
          <w:tcPr>
            <w:tcW w:type="dxa" w:w="3175"/>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OOF에서 개선된 경우에만 채택</w:t>
            </w:r>
          </w:p>
        </w:tc>
      </w:tr>
      <w:tr>
        <w:tc>
          <w:tcPr>
            <w:tcW w:type="dxa" w:w="1417"/>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6 설명·재현</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feature effect, 오류 사례, 실행환경, feature cutoff 검사 기록</w:t>
            </w:r>
          </w:p>
        </w:tc>
        <w:tc>
          <w:tcPr>
            <w:tcW w:type="dxa" w:w="3175"/>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동일 config 재실행과 미래정보 차단 확인</w:t>
            </w:r>
          </w:p>
        </w:tc>
      </w:tr>
    </w:tbl>
    <w:p>
      <w:pPr>
        <w:pStyle w:val="Heading2"/>
        <w:keepNext/>
        <w:spacing w:after="100" w:before="140" w:line="276" w:lineRule="auto"/>
      </w:pPr>
      <w:r>
        <w:rPr>
          <w:rFonts w:ascii="Malgun Gothic" w:hAnsi="Malgun Gothic" w:eastAsia="Malgun Gothic"/>
          <w:b/>
          <w:color w:val="000000"/>
          <w:sz w:val="25"/>
        </w:rPr>
        <w:t>핵심 특징 설계</w:t>
      </w:r>
    </w:p>
    <w:p>
      <w:pPr>
        <w:pStyle w:val="ListBullet"/>
        <w:keepNext w:val="0"/>
        <w:spacing w:after="60" w:before="0" w:line="307" w:lineRule="auto"/>
      </w:pPr>
      <w:r>
        <w:rPr>
          <w:rFonts w:ascii="Malgun Gothic" w:hAnsi="Malgun Gothic" w:eastAsia="Malgun Gothic"/>
          <w:b w:val="0"/>
          <w:color w:val="000000"/>
          <w:sz w:val="20"/>
        </w:rPr>
        <w:t>수위 동역학: 1·3·6·12·24시간 변화량, 시간당 기울기, 단기와 장기 기울기의 차이</w:t>
      </w:r>
    </w:p>
    <w:p>
      <w:pPr>
        <w:pStyle w:val="ListBullet"/>
        <w:keepNext w:val="0"/>
        <w:spacing w:after="60" w:before="0" w:line="307" w:lineRule="auto"/>
      </w:pPr>
      <w:r>
        <w:rPr>
          <w:rFonts w:ascii="Malgun Gothic" w:hAnsi="Malgun Gothic" w:eastAsia="Malgun Gothic"/>
          <w:b w:val="0"/>
          <w:color w:val="000000"/>
          <w:sz w:val="20"/>
        </w:rPr>
        <w:t>강우 상태: 1·6·24시간 누적 강우의 차이·비율, IMERG와 지상강우의 일치도</w:t>
      </w:r>
    </w:p>
    <w:p>
      <w:pPr>
        <w:pStyle w:val="ListBullet"/>
        <w:keepNext w:val="0"/>
        <w:spacing w:after="60" w:before="0" w:line="307" w:lineRule="auto"/>
      </w:pPr>
      <w:r>
        <w:rPr>
          <w:rFonts w:ascii="Malgun Gothic" w:hAnsi="Malgun Gothic" w:eastAsia="Malgun Gothic"/>
          <w:b w:val="0"/>
          <w:color w:val="000000"/>
          <w:sz w:val="20"/>
        </w:rPr>
        <w:t>레이더 결합: 반사도 평균·상위값·강한 반사도 비율과 최근 강우의 상호작용</w:t>
      </w:r>
    </w:p>
    <w:p>
      <w:pPr>
        <w:pStyle w:val="ListBullet"/>
        <w:keepNext w:val="0"/>
        <w:spacing w:after="60" w:before="0" w:line="307" w:lineRule="auto"/>
      </w:pPr>
      <w:r>
        <w:rPr>
          <w:rFonts w:ascii="Malgun Gothic" w:hAnsi="Malgun Gothic" w:eastAsia="Malgun Gothic"/>
          <w:b w:val="0"/>
          <w:color w:val="000000"/>
          <w:sz w:val="20"/>
        </w:rPr>
        <w:t>유역 반응: 강우 × 집수면적·경사·도시율·산림율·하천차수의 상호작용</w:t>
      </w:r>
    </w:p>
    <w:p>
      <w:pPr>
        <w:pStyle w:val="ListBullet"/>
        <w:keepNext w:val="0"/>
        <w:spacing w:after="60" w:before="0" w:line="307" w:lineRule="auto"/>
      </w:pPr>
      <w:r>
        <w:rPr>
          <w:rFonts w:ascii="Malgun Gothic" w:hAnsi="Malgun Gothic" w:eastAsia="Malgun Gothic"/>
          <w:b w:val="0"/>
          <w:color w:val="000000"/>
          <w:sz w:val="20"/>
        </w:rPr>
        <w:t>관측소 효과: station_id는 연속 숫자가 아닌 범주로 처리하고, target 통계는 fold 내부에서만 계산</w:t>
      </w:r>
    </w:p>
    <w:p>
      <w:r>
        <w:br w:type="page"/>
      </w:r>
    </w:p>
    <w:p>
      <w:pPr>
        <w:pStyle w:val="Heading1"/>
        <w:keepNext/>
        <w:spacing w:after="100" w:before="200" w:line="276" w:lineRule="auto"/>
      </w:pPr>
      <w:r>
        <w:rPr>
          <w:rFonts w:ascii="Malgun Gothic" w:hAnsi="Malgun Gothic" w:eastAsia="Malgun Gothic"/>
          <w:b/>
          <w:color w:val="000000"/>
          <w:sz w:val="30"/>
        </w:rPr>
        <w:t>참신한 아이디어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2268"/>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아이디어</w:t>
            </w:r>
          </w:p>
        </w:tc>
        <w:tc>
          <w:tcPr>
            <w:tcW w:type="dxa" w:w="4082"/>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구현</w:t>
            </w:r>
          </w:p>
        </w:tc>
        <w:tc>
          <w:tcPr>
            <w:tcW w:type="dxa" w:w="2948"/>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기대 효과</w:t>
            </w:r>
          </w:p>
        </w:tc>
      </w:tr>
      <w:tr>
        <w:tc>
          <w:tcPr>
            <w:tcW w:type="dxa" w:w="2268"/>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유역 반응 지문</w:t>
            </w:r>
          </w:p>
        </w:tc>
        <w:tc>
          <w:tcPr>
            <w:tcW w:type="dxa" w:w="4082"/>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수위 기울기·강우 집중도·유역 특성의 조합으로 관측소별 반응 상태를 표현</w:t>
            </w:r>
          </w:p>
        </w:tc>
        <w:tc>
          <w:tcPr>
            <w:tcW w:type="dxa" w:w="294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새 호우사상에서도 유역별 민감도 차이를 학습</w:t>
            </w:r>
          </w:p>
        </w:tc>
      </w:tr>
      <w:tr>
        <w:tc>
          <w:tcPr>
            <w:tcW w:type="dxa" w:w="2268"/>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상승량과 위험구간의 다중과제 학습</w:t>
            </w:r>
          </w:p>
        </w:tc>
        <w:tc>
          <w:tcPr>
            <w:tcW w:type="dxa" w:w="4082"/>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연속 상승량 예측과 함께 큰 상승 구간 분류를 보조목표로 학습</w:t>
            </w:r>
          </w:p>
        </w:tc>
        <w:tc>
          <w:tcPr>
            <w:tcW w:type="dxa" w:w="294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희귀 급상승 사례를 놓치는 오류를 줄일 가능성</w:t>
            </w:r>
          </w:p>
        </w:tc>
      </w:tr>
      <w:tr>
        <w:tc>
          <w:tcPr>
            <w:tcW w:type="dxa" w:w="2268"/>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호우사상 난이도 균형 앙상블</w:t>
            </w:r>
          </w:p>
        </w:tc>
        <w:tc>
          <w:tcPr>
            <w:tcW w:type="dxa" w:w="4082"/>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일반 사상·극단 사상에 강한 모델을 OOF 기반으로 혼합</w:t>
            </w:r>
          </w:p>
        </w:tc>
        <w:tc>
          <w:tcPr>
            <w:tcW w:type="dxa" w:w="294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평균 성능을 유지하면서 tail RMSE 안정화</w:t>
            </w:r>
          </w:p>
        </w:tc>
      </w:tr>
      <w:tr>
        <w:tc>
          <w:tcPr>
            <w:tcW w:type="dxa" w:w="2268"/>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사상 단위 불확실성</w:t>
            </w:r>
          </w:p>
        </w:tc>
        <w:tc>
          <w:tcPr>
            <w:tcW w:type="dxa" w:w="4082"/>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Group CV 잔차로 예측구간을 추정해 발표 결과에 함께 제시</w:t>
            </w:r>
          </w:p>
        </w:tc>
        <w:tc>
          <w:tcPr>
            <w:tcW w:type="dxa" w:w="294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정책 담당자가 수치와 불확실성을 함께 판단</w:t>
            </w:r>
          </w:p>
        </w:tc>
      </w:tr>
    </w:tbl>
    <w:p>
      <w:pPr>
        <w:pStyle w:val="Heading1"/>
        <w:keepNext/>
        <w:spacing w:after="100" w:before="200" w:line="276" w:lineRule="auto"/>
      </w:pPr>
      <w:r>
        <w:rPr>
          <w:rFonts w:ascii="Malgun Gothic" w:hAnsi="Malgun Gothic" w:eastAsia="Malgun Gothic"/>
          <w:b/>
          <w:color w:val="000000"/>
          <w:sz w:val="30"/>
        </w:rPr>
        <w:t>위험과 대응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871"/>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위험</w:t>
            </w:r>
          </w:p>
        </w:tc>
        <w:tc>
          <w:tcPr>
            <w:tcW w:type="dxa" w:w="2948"/>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영향</w:t>
            </w:r>
          </w:p>
        </w:tc>
        <w:tc>
          <w:tcPr>
            <w:tcW w:type="dxa" w:w="4479"/>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대응</w:t>
            </w:r>
          </w:p>
        </w:tc>
      </w:tr>
      <w:tr>
        <w:tc>
          <w:tcPr>
            <w:tcW w:type="dxa" w:w="187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미래행 누수</w:t>
            </w:r>
          </w:p>
        </w:tc>
        <w:tc>
          <w:tcPr>
            <w:tcW w:type="dxa" w:w="294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비정상적으로 높은 점수와 실격 위험</w:t>
            </w:r>
          </w:p>
        </w:tc>
        <w:tc>
          <w:tcPr>
            <w:tcW w:type="dxa" w:w="4479"/>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행별 시점 t cutoff 테스트와 feature lineage 저장</w:t>
            </w:r>
          </w:p>
        </w:tc>
      </w:tr>
      <w:tr>
        <w:tc>
          <w:tcPr>
            <w:tcW w:type="dxa" w:w="187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호우사상 편차</w:t>
            </w:r>
          </w:p>
        </w:tc>
        <w:tc>
          <w:tcPr>
            <w:tcW w:type="dxa" w:w="294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CV와 Test 성능 불일치</w:t>
            </w:r>
          </w:p>
        </w:tc>
        <w:tc>
          <w:tcPr>
            <w:tcW w:type="dxa" w:w="4479"/>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Group CV, 사상 강도별 진단, 유망 후보 robustness</w:t>
            </w:r>
          </w:p>
        </w:tc>
      </w:tr>
      <w:tr>
        <w:tc>
          <w:tcPr>
            <w:tcW w:type="dxa" w:w="187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극단값 지배</w:t>
            </w:r>
          </w:p>
        </w:tc>
        <w:tc>
          <w:tcPr>
            <w:tcW w:type="dxa" w:w="294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소수 급상승 사례가 RMSE 악화</w:t>
            </w:r>
          </w:p>
        </w:tc>
        <w:tc>
          <w:tcPr>
            <w:tcW w:type="dxa" w:w="4479"/>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tail RMSE 확인과 OOF 기반 다중과제·앙상블 검증</w:t>
            </w:r>
          </w:p>
        </w:tc>
      </w:tr>
      <w:tr>
        <w:tc>
          <w:tcPr>
            <w:tcW w:type="dxa" w:w="187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익명화</w:t>
            </w:r>
          </w:p>
        </w:tc>
        <w:tc>
          <w:tcPr>
            <w:tcW w:type="dxa" w:w="2948"/>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외부 자료와 정당한 결합이 어려움</w:t>
            </w:r>
          </w:p>
        </w:tc>
        <w:tc>
          <w:tcPr>
            <w:tcW w:type="dxa" w:w="4479"/>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공식 제공 변수 중심 설계, 허용 범위 확인 전 외부 데이터 미사용</w:t>
            </w:r>
          </w:p>
        </w:tc>
      </w:tr>
      <w:tr>
        <w:tc>
          <w:tcPr>
            <w:tcW w:type="dxa" w:w="187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초기 샘플 오해</w:t>
            </w:r>
          </w:p>
        </w:tc>
        <w:tc>
          <w:tcPr>
            <w:tcW w:type="dxa" w:w="2948"/>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잘못된 split과 성능 주장</w:t>
            </w:r>
          </w:p>
        </w:tc>
        <w:tc>
          <w:tcPr>
            <w:tcW w:type="dxa" w:w="4479"/>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최종 Train 확보 전 formal experiment 중단</w:t>
            </w:r>
          </w:p>
        </w:tc>
      </w:tr>
    </w:tbl>
    <w:p>
      <w:r>
        <w:br w:type="page"/>
      </w:r>
    </w:p>
    <w:p>
      <w:pPr>
        <w:pStyle w:val="Heading1"/>
        <w:keepNext/>
        <w:spacing w:after="100" w:before="200" w:line="276" w:lineRule="auto"/>
      </w:pPr>
      <w:r>
        <w:rPr>
          <w:rFonts w:ascii="Malgun Gothic" w:hAnsi="Malgun Gothic" w:eastAsia="Malgun Gothic"/>
          <w:b/>
          <w:color w:val="000000"/>
          <w:sz w:val="30"/>
        </w:rPr>
        <w:t>추진 일정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701"/>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기간</w:t>
            </w:r>
          </w:p>
        </w:tc>
        <w:tc>
          <w:tcPr>
            <w:tcW w:type="dxa" w:w="4706"/>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주요 작업</w:t>
            </w:r>
          </w:p>
        </w:tc>
        <w:tc>
          <w:tcPr>
            <w:tcW w:type="dxa" w:w="2891"/>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완료 기준</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09.24–09.27</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최종 데이터 확보, 공식 Q&amp;A·외부데이터 규정 확인, 파일 hash·schema 감사</w:t>
            </w:r>
          </w:p>
        </w:tc>
        <w:tc>
          <w:tcPr>
            <w:tcW w:type="dxa" w:w="2891"/>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데이터 inventory와 사용 가능 변수 확정</w:t>
            </w:r>
          </w:p>
        </w:tc>
      </w:tr>
      <w:tr>
        <w:tc>
          <w:tcPr>
            <w:tcW w:type="dxa" w:w="170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09.28–10.04</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호우사상 그룹 복원·검증, Primary Validation 고정, 기준선 3종 재현</w:t>
            </w:r>
          </w:p>
        </w:tc>
        <w:tc>
          <w:tcPr>
            <w:tcW w:type="dxa" w:w="2891"/>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누수 없는 4-fold OOF와 baseline 보고서</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10.05–10.18</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수위·강우·유역 특징 실험, 단일 강한 tree model 확정</w:t>
            </w:r>
          </w:p>
        </w:tc>
        <w:tc>
          <w:tcPr>
            <w:tcW w:type="dxa" w:w="2891"/>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가설별 experiment와 Reviewer 판정</w:t>
            </w:r>
          </w:p>
        </w:tc>
      </w:tr>
      <w:tr>
        <w:tc>
          <w:tcPr>
            <w:tcW w:type="dxa" w:w="170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10.19–10.28</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다중과제·tail 대응·앙상블, 유망 후보 robustness 점검</w:t>
            </w:r>
          </w:p>
        </w:tc>
        <w:tc>
          <w:tcPr>
            <w:tcW w:type="dxa" w:w="2891"/>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최종 후보와 안정성 근거 확정</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10.29–11.03</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전체 코드 정리, 재실행 검증, 방법론·오류분석 문서 작성</w:t>
            </w:r>
          </w:p>
        </w:tc>
        <w:tc>
          <w:tcPr>
            <w:tcW w:type="dxa" w:w="2891"/>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독립 환경 재현과 제출물 초안 완료</w:t>
            </w:r>
          </w:p>
        </w:tc>
      </w:tr>
      <w:tr>
        <w:tc>
          <w:tcPr>
            <w:tcW w:type="dxa" w:w="170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11.04–11.06</w:t>
            </w:r>
          </w:p>
        </w:tc>
        <w:tc>
          <w:tcPr>
            <w:tcW w:type="dxa" w:w="4706"/>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최종 예측값 생성, 형식·결측·row_id 검증, 제출</w:t>
            </w:r>
          </w:p>
        </w:tc>
        <w:tc>
          <w:tcPr>
            <w:tcW w:type="dxa" w:w="2891"/>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CSV·코드·문서 제출 완료</w:t>
            </w:r>
          </w:p>
        </w:tc>
      </w:tr>
      <w:tr>
        <w:tc>
          <w:tcPr>
            <w:tcW w:type="dxa" w:w="170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11.09–11.24</w:t>
            </w:r>
          </w:p>
        </w:tc>
        <w:tc>
          <w:tcPr>
            <w:tcW w:type="dxa" w:w="4706"/>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후보 선정 시 발표자료·데모·질의응답 준비</w:t>
            </w:r>
          </w:p>
        </w:tc>
        <w:tc>
          <w:tcPr>
            <w:tcW w:type="dxa" w:w="2891"/>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창의성·우수성·효과성 근거 정리</w:t>
            </w:r>
          </w:p>
        </w:tc>
      </w:tr>
    </w:tbl>
    <w:p>
      <w:pPr>
        <w:pStyle w:val="Heading1"/>
        <w:keepNext/>
        <w:spacing w:after="100" w:before="200" w:line="276" w:lineRule="auto"/>
      </w:pPr>
      <w:r>
        <w:rPr>
          <w:rFonts w:ascii="Malgun Gothic" w:hAnsi="Malgun Gothic" w:eastAsia="Malgun Gothic"/>
          <w:b/>
          <w:color w:val="000000"/>
          <w:sz w:val="30"/>
        </w:rPr>
        <w:t>예상 결과물</w:t>
      </w:r>
    </w:p>
    <w:p>
      <w:pPr>
        <w:pStyle w:val="ListBullet"/>
        <w:keepNext w:val="0"/>
        <w:spacing w:after="60" w:before="0" w:line="307" w:lineRule="auto"/>
      </w:pPr>
      <w:r>
        <w:rPr>
          <w:rFonts w:ascii="Malgun Gothic" w:hAnsi="Malgun Gothic" w:eastAsia="Malgun Gothic"/>
          <w:b w:val="0"/>
          <w:color w:val="000000"/>
          <w:sz w:val="20"/>
        </w:rPr>
        <w:t>평가 데이터의 모든 row_id에 대한 pred_maxrise_6h 제출 CSV</w:t>
      </w:r>
    </w:p>
    <w:p>
      <w:pPr>
        <w:pStyle w:val="ListBullet"/>
        <w:keepNext w:val="0"/>
        <w:spacing w:after="60" w:before="0" w:line="307" w:lineRule="auto"/>
      </w:pPr>
      <w:r>
        <w:rPr>
          <w:rFonts w:ascii="Malgun Gothic" w:hAnsi="Malgun Gothic" w:eastAsia="Malgun Gothic"/>
          <w:b w:val="0"/>
          <w:color w:val="000000"/>
          <w:sz w:val="20"/>
        </w:rPr>
        <w:t>학습·추론·검증을 동일하게 재실행할 수 있는 소스코드와 환경 정보</w:t>
      </w:r>
    </w:p>
    <w:p>
      <w:pPr>
        <w:pStyle w:val="ListBullet"/>
        <w:keepNext w:val="0"/>
        <w:spacing w:after="60" w:before="0" w:line="307" w:lineRule="auto"/>
      </w:pPr>
      <w:r>
        <w:rPr>
          <w:rFonts w:ascii="Malgun Gothic" w:hAnsi="Malgun Gothic" w:eastAsia="Malgun Gothic"/>
          <w:b w:val="0"/>
          <w:color w:val="000000"/>
          <w:sz w:val="20"/>
        </w:rPr>
        <w:t>사용 변수, 전처리, 모델 구조, 호우사상 검증과 누수 방지 방법론 문서</w:t>
      </w:r>
    </w:p>
    <w:p>
      <w:pPr>
        <w:pStyle w:val="ListBullet"/>
        <w:keepNext w:val="0"/>
        <w:spacing w:after="60" w:before="0" w:line="307" w:lineRule="auto"/>
      </w:pPr>
      <w:r>
        <w:rPr>
          <w:rFonts w:ascii="Malgun Gothic" w:hAnsi="Malgun Gothic" w:eastAsia="Malgun Gothic"/>
          <w:b w:val="0"/>
          <w:color w:val="000000"/>
          <w:sz w:val="20"/>
        </w:rPr>
        <w:t>전체·사상별·극단 상승 구간의 OOF 성능 및 오류 분석</w:t>
      </w:r>
    </w:p>
    <w:p>
      <w:pPr>
        <w:pStyle w:val="ListBullet"/>
        <w:keepNext w:val="0"/>
        <w:spacing w:after="60" w:before="0" w:line="307" w:lineRule="auto"/>
      </w:pPr>
      <w:r>
        <w:rPr>
          <w:rFonts w:ascii="Malgun Gothic" w:hAnsi="Malgun Gothic" w:eastAsia="Malgun Gothic"/>
          <w:b w:val="0"/>
          <w:color w:val="000000"/>
          <w:sz w:val="20"/>
        </w:rPr>
        <w:t>강우와 유역환경이 수위상승 예측에 미치는 영향을 설명하는 시각자료</w:t>
      </w:r>
    </w:p>
    <w:p>
      <w:pPr>
        <w:pStyle w:val="ListBullet"/>
        <w:keepNext w:val="0"/>
        <w:spacing w:after="60" w:before="0" w:line="307" w:lineRule="auto"/>
      </w:pPr>
      <w:r>
        <w:rPr>
          <w:rFonts w:ascii="Malgun Gothic" w:hAnsi="Malgun Gothic" w:eastAsia="Malgun Gothic"/>
          <w:b w:val="0"/>
          <w:color w:val="000000"/>
          <w:sz w:val="20"/>
        </w:rPr>
        <w:t>운영 적용 시 예측 주기, 불확실성, 경보 의사결정의 한계를 설명하는 발표자료</w:t>
      </w:r>
    </w:p>
    <w:p>
      <w:r>
        <w:br w:type="page"/>
      </w:r>
    </w:p>
    <w:p>
      <w:pPr>
        <w:pStyle w:val="Heading1"/>
        <w:keepNext/>
        <w:spacing w:after="100" w:before="200" w:line="276" w:lineRule="auto"/>
      </w:pPr>
      <w:r>
        <w:rPr>
          <w:rFonts w:ascii="Malgun Gothic" w:hAnsi="Malgun Gothic" w:eastAsia="Malgun Gothic"/>
          <w:b/>
          <w:color w:val="000000"/>
          <w:sz w:val="30"/>
        </w:rPr>
        <w:t>역할 계획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871"/>
            <w:vAlign w:val="center"/>
            <w:tcMar>
              <w:top w:w="110" w:type="dxa"/>
              <w:start w:w="120" w:type="dxa"/>
              <w:bottom w:w="110" w:type="dxa"/>
              <w:end w:w="120" w:type="dxa"/>
            </w:tcMar>
            <w:shd w:fill="17365D"/>
          </w:tcPr>
          <w:p>
            <w:pPr>
              <w:keepNext w:val="0"/>
              <w:spacing w:after="0" w:before="0" w:line="276" w:lineRule="auto"/>
              <w:jc w:val="center"/>
            </w:pPr>
            <w:r>
              <w:rPr>
                <w:rFonts w:ascii="Malgun Gothic" w:hAnsi="Malgun Gothic" w:eastAsia="Malgun Gothic"/>
                <w:b/>
                <w:color w:val="FFFFFF"/>
                <w:sz w:val="18"/>
              </w:rPr>
            </w:r>
            <w:r>
              <w:rPr>
                <w:rFonts w:ascii="Malgun Gothic" w:hAnsi="Malgun Gothic" w:eastAsia="Malgun Gothic"/>
                <w:b/>
                <w:color w:val="FFFFFF"/>
                <w:sz w:val="18"/>
              </w:rPr>
              <w:t>역할</w:t>
            </w:r>
          </w:p>
        </w:tc>
        <w:tc>
          <w:tcPr>
            <w:tcW w:type="dxa" w:w="2154"/>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담당자</w:t>
            </w:r>
          </w:p>
        </w:tc>
        <w:tc>
          <w:tcPr>
            <w:tcW w:type="dxa" w:w="5272"/>
            <w:vAlign w:val="center"/>
            <w:tcMar>
              <w:top w:w="110" w:type="dxa"/>
              <w:start w:w="120" w:type="dxa"/>
              <w:bottom w:w="110" w:type="dxa"/>
              <w:end w:w="120" w:type="dxa"/>
            </w:tcMar>
            <w:shd w:fill="17365D"/>
          </w:tcPr>
          <w:p>
            <w:pPr>
              <w:keepNext w:val="0"/>
              <w:spacing w:after="0" w:before="0" w:line="276" w:lineRule="auto"/>
              <w:jc w:val="left"/>
            </w:pPr>
            <w:r>
              <w:rPr>
                <w:rFonts w:ascii="Malgun Gothic" w:hAnsi="Malgun Gothic" w:eastAsia="Malgun Gothic"/>
                <w:b/>
                <w:color w:val="FFFFFF"/>
                <w:sz w:val="18"/>
              </w:rPr>
            </w:r>
            <w:r>
              <w:rPr>
                <w:rFonts w:ascii="Malgun Gothic" w:hAnsi="Malgun Gothic" w:eastAsia="Malgun Gothic"/>
                <w:b/>
                <w:color w:val="FFFFFF"/>
                <w:sz w:val="18"/>
              </w:rPr>
              <w:t>주요 책임</w:t>
            </w:r>
          </w:p>
        </w:tc>
      </w:tr>
      <w:tr>
        <w:tc>
          <w:tcPr>
            <w:tcW w:type="dxa" w:w="187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팀장·통합</w:t>
            </w:r>
          </w:p>
        </w:tc>
        <w:tc>
          <w:tcPr>
            <w:tcW w:type="dxa" w:w="2154"/>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[직접 입력]</w:t>
            </w:r>
          </w:p>
        </w:tc>
        <w:tc>
          <w:tcPr>
            <w:tcW w:type="dxa" w:w="5272"/>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일정·가설·제출물 관리, 최종 의사결정</w:t>
            </w:r>
          </w:p>
        </w:tc>
      </w:tr>
      <w:tr>
        <w:tc>
          <w:tcPr>
            <w:tcW w:type="dxa" w:w="187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데이터·검증</w:t>
            </w:r>
          </w:p>
        </w:tc>
        <w:tc>
          <w:tcPr>
            <w:tcW w:type="dxa" w:w="2154"/>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[직접 입력]</w:t>
            </w:r>
          </w:p>
        </w:tc>
        <w:tc>
          <w:tcPr>
            <w:tcW w:type="dxa" w:w="5272"/>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데이터 감사, event group, 누수 검사, OOF 관리</w:t>
            </w:r>
          </w:p>
        </w:tc>
      </w:tr>
      <w:tr>
        <w:tc>
          <w:tcPr>
            <w:tcW w:type="dxa" w:w="1871"/>
            <w:vAlign w:val="center"/>
            <w:tcMar>
              <w:top w:w="110" w:type="dxa"/>
              <w:start w:w="120" w:type="dxa"/>
              <w:bottom w:w="110" w:type="dxa"/>
              <w:end w:w="120" w:type="dxa"/>
            </w:tcMar>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모델·특징</w:t>
            </w:r>
          </w:p>
        </w:tc>
        <w:tc>
          <w:tcPr>
            <w:tcW w:type="dxa" w:w="2154"/>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[직접 입력]</w:t>
            </w:r>
          </w:p>
        </w:tc>
        <w:tc>
          <w:tcPr>
            <w:tcW w:type="dxa" w:w="5272"/>
            <w:vAlign w:val="center"/>
            <w:tcMar>
              <w:top w:w="110" w:type="dxa"/>
              <w:start w:w="120" w:type="dxa"/>
              <w:bottom w:w="110" w:type="dxa"/>
              <w:end w:w="120" w:type="dxa"/>
            </w:tcMar>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특징 설계, 모델 실험, 앙상블</w:t>
            </w:r>
          </w:p>
        </w:tc>
      </w:tr>
      <w:tr>
        <w:tc>
          <w:tcPr>
            <w:tcW w:type="dxa" w:w="1871"/>
            <w:vAlign w:val="center"/>
            <w:tcMar>
              <w:top w:w="110" w:type="dxa"/>
              <w:start w:w="120" w:type="dxa"/>
              <w:bottom w:w="110" w:type="dxa"/>
              <w:end w:w="120" w:type="dxa"/>
            </w:tcMar>
            <w:shd w:fill="F3F7FB"/>
          </w:tcPr>
          <w:p>
            <w:pPr>
              <w:keepNext w:val="0"/>
              <w:spacing w:after="0" w:before="0" w:line="276" w:lineRule="auto"/>
              <w:jc w:val="center"/>
            </w:pPr>
            <w:r>
              <w:rPr>
                <w:rFonts w:ascii="Malgun Gothic" w:hAnsi="Malgun Gothic" w:eastAsia="Malgun Gothic"/>
                <w:b w:val="0"/>
                <w:color w:val="000000"/>
                <w:sz w:val="18"/>
              </w:rPr>
            </w:r>
            <w:r>
              <w:rPr>
                <w:rFonts w:ascii="Malgun Gothic" w:hAnsi="Malgun Gothic" w:eastAsia="Malgun Gothic"/>
                <w:b w:val="0"/>
                <w:color w:val="000000"/>
                <w:sz w:val="18"/>
              </w:rPr>
              <w:t>해석·발표</w:t>
            </w:r>
          </w:p>
        </w:tc>
        <w:tc>
          <w:tcPr>
            <w:tcW w:type="dxa" w:w="2154"/>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[직접 입력]</w:t>
            </w:r>
          </w:p>
        </w:tc>
        <w:tc>
          <w:tcPr>
            <w:tcW w:type="dxa" w:w="5272"/>
            <w:vAlign w:val="center"/>
            <w:tcMar>
              <w:top w:w="110" w:type="dxa"/>
              <w:start w:w="120" w:type="dxa"/>
              <w:bottom w:w="110" w:type="dxa"/>
              <w:end w:w="120" w:type="dxa"/>
            </w:tcMar>
            <w:shd w:fill="F3F7FB"/>
          </w:tcPr>
          <w:p>
            <w:pPr>
              <w:keepNext w:val="0"/>
              <w:spacing w:after="0" w:before="0" w:line="276" w:lineRule="auto"/>
              <w:jc w:val="left"/>
            </w:pPr>
            <w:r>
              <w:rPr>
                <w:rFonts w:ascii="Malgun Gothic" w:hAnsi="Malgun Gothic" w:eastAsia="Malgun Gothic"/>
                <w:b w:val="0"/>
                <w:color w:val="000000"/>
                <w:sz w:val="18"/>
              </w:rPr>
            </w:r>
            <w:r>
              <w:rPr>
                <w:rFonts w:ascii="Malgun Gothic" w:hAnsi="Malgun Gothic" w:eastAsia="Malgun Gothic"/>
                <w:b w:val="0"/>
                <w:color w:val="000000"/>
                <w:sz w:val="18"/>
              </w:rPr>
              <w:t>오류 분석, 활용 시나리오, 문서·발표자료</w:t>
            </w:r>
          </w:p>
        </w:tc>
      </w:tr>
    </w:tbl>
    <w:p>
      <w:pPr>
        <w:pStyle w:val="Heading1"/>
        <w:keepNext/>
        <w:spacing w:after="100" w:before="200" w:line="276" w:lineRule="auto"/>
      </w:pPr>
      <w:r>
        <w:rPr>
          <w:rFonts w:ascii="Malgun Gothic" w:hAnsi="Malgun Gothic" w:eastAsia="Malgun Gothic"/>
          <w:b/>
          <w:color w:val="000000"/>
          <w:sz w:val="30"/>
        </w:rPr>
        <w:t>제출 전 확인사항</w:t>
      </w:r>
    </w:p>
    <w:p>
      <w:pPr>
        <w:keepNext w:val="0"/>
        <w:spacing w:after="100" w:before="0" w:line="326" w:lineRule="auto"/>
      </w:pPr>
      <w:r>
        <w:rPr>
          <w:rFonts w:ascii="Malgun Gothic" w:hAnsi="Malgun Gothic" w:eastAsia="Malgun Gothic"/>
          <w:b w:val="0"/>
          <w:color w:val="000000"/>
          <w:sz w:val="21"/>
        </w:rPr>
        <w:t>□ 참가자 전원의 성명·소속·이메일·연락처·서명을 입력했다.</w:t>
      </w:r>
    </w:p>
    <w:p>
      <w:pPr>
        <w:keepNext w:val="0"/>
        <w:spacing w:after="100" w:before="0" w:line="326" w:lineRule="auto"/>
      </w:pPr>
      <w:r>
        <w:rPr>
          <w:rFonts w:ascii="Malgun Gothic" w:hAnsi="Malgun Gothic" w:eastAsia="Malgun Gothic"/>
          <w:b w:val="0"/>
          <w:color w:val="000000"/>
          <w:sz w:val="21"/>
        </w:rPr>
        <w:t>□ 공식 HWP 원본의 개인정보 동의와 경진대회 규정을 확인했다.</w:t>
      </w:r>
    </w:p>
    <w:p>
      <w:pPr>
        <w:keepNext w:val="0"/>
        <w:spacing w:after="100" w:before="0" w:line="326" w:lineRule="auto"/>
      </w:pPr>
      <w:r>
        <w:rPr>
          <w:rFonts w:ascii="Malgun Gothic" w:hAnsi="Malgun Gothic" w:eastAsia="Malgun Gothic"/>
          <w:b w:val="0"/>
          <w:color w:val="000000"/>
          <w:sz w:val="21"/>
        </w:rPr>
        <w:t>□ 최신 Q&amp;A에서 Test 미래행 참조 금지와 데이터 재배포 여부를 확인했다.</w:t>
      </w:r>
    </w:p>
    <w:p>
      <w:pPr>
        <w:keepNext w:val="0"/>
        <w:spacing w:after="100" w:before="0" w:line="326" w:lineRule="auto"/>
      </w:pPr>
      <w:r>
        <w:rPr>
          <w:rFonts w:ascii="Malgun Gothic" w:hAnsi="Malgun Gothic" w:eastAsia="Malgun Gothic"/>
          <w:b w:val="0"/>
          <w:color w:val="000000"/>
          <w:sz w:val="21"/>
        </w:rPr>
        <w:t>□ 최종 Train/Test/Data Dictionary 기준으로 모든 수치와 방법론을 갱신했다.</w:t>
      </w:r>
    </w:p>
    <w:p>
      <w:pPr>
        <w:keepNext w:val="0"/>
        <w:spacing w:after="100" w:before="0" w:line="326" w:lineRule="auto"/>
      </w:pPr>
      <w:r>
        <w:rPr>
          <w:rFonts w:ascii="Malgun Gothic" w:hAnsi="Malgun Gothic" w:eastAsia="Malgun Gothic"/>
          <w:b w:val="0"/>
          <w:color w:val="000000"/>
          <w:sz w:val="21"/>
        </w:rPr>
        <w:t>□ 예측 CSV의 row_id·행 수·열 이름·결측·인코딩을 sample_submission과 대조했다.</w:t>
      </w:r>
    </w:p>
    <w:p>
      <w:pPr>
        <w:keepNext w:val="0"/>
        <w:spacing w:after="100" w:before="0" w:line="326" w:lineRule="auto"/>
      </w:pPr>
      <w:r>
        <w:rPr>
          <w:rFonts w:ascii="Malgun Gothic" w:hAnsi="Malgun Gothic" w:eastAsia="Malgun Gothic"/>
          <w:b w:val="0"/>
          <w:color w:val="000000"/>
          <w:sz w:val="21"/>
        </w:rPr>
        <w:t>□ 학습 및 추론 전체 코드가 새 환경에서 재실행된다.</w:t>
      </w:r>
    </w:p>
    <w:p>
      <w:pPr>
        <w:keepNext w:val="0"/>
        <w:spacing w:after="100" w:before="0" w:line="326" w:lineRule="auto"/>
      </w:pPr>
      <w:r>
        <w:rPr>
          <w:rFonts w:ascii="Malgun Gothic" w:hAnsi="Malgun Gothic" w:eastAsia="Malgun Gothic"/>
          <w:b w:val="0"/>
          <w:color w:val="000000"/>
          <w:sz w:val="21"/>
        </w:rPr>
        <w:t>□ 외부 데이터·도구의 저작권과 사용 허용 범위를 확인했다.</w:t>
      </w:r>
    </w:p>
    <w:p>
      <w:pPr>
        <w:keepNext w:val="0"/>
        <w:spacing w:after="100" w:before="0" w:line="326" w:lineRule="auto"/>
      </w:pPr>
      <w:r>
        <w:rPr>
          <w:rFonts w:ascii="Malgun Gothic" w:hAnsi="Malgun Gothic" w:eastAsia="Malgun Gothic"/>
          <w:b w:val="0"/>
          <w:color w:val="000000"/>
          <w:sz w:val="21"/>
        </w:rPr>
        <w:t>□ 수상 시 코드·문서 공개와 대회 종료 후 데이터 폐기 조건을 팀이 확인했다.</w:t>
      </w:r>
    </w:p>
    <w:p>
      <w:pPr>
        <w:pStyle w:val="Heading1"/>
        <w:keepNext/>
        <w:spacing w:after="100" w:before="200" w:line="276" w:lineRule="auto"/>
      </w:pPr>
      <w:r>
        <w:rPr>
          <w:rFonts w:ascii="Malgun Gothic" w:hAnsi="Malgun Gothic" w:eastAsia="Malgun Gothic"/>
          <w:b/>
          <w:color w:val="000000"/>
          <w:sz w:val="30"/>
        </w:rPr>
        <w:t>참고 기준</w:t>
      </w:r>
    </w:p>
    <w:p>
      <w:pPr>
        <w:keepNext w:val="0"/>
        <w:spacing w:after="100" w:before="0" w:line="326" w:lineRule="auto"/>
      </w:pPr>
      <w:r>
        <w:rPr>
          <w:rFonts w:ascii="Malgun Gothic" w:hAnsi="Malgun Gothic" w:eastAsia="Malgun Gothic"/>
          <w:b w:val="0"/>
          <w:color w:val="000000"/>
          <w:sz w:val="21"/>
        </w:rPr>
        <w:t>공식 문제 페이지: https://aida.kisti.re.kr/competition/main/problem/PROB_000000000004603/detail.do</w:t>
      </w:r>
    </w:p>
    <w:p>
      <w:pPr>
        <w:keepNext w:val="0"/>
        <w:spacing w:after="100" w:before="0" w:line="326" w:lineRule="auto"/>
      </w:pPr>
      <w:r>
        <w:rPr>
          <w:rFonts w:ascii="Malgun Gothic" w:hAnsi="Malgun Gothic" w:eastAsia="Malgun Gothic"/>
          <w:b w:val="0"/>
          <w:color w:val="000000"/>
          <w:sz w:val="21"/>
        </w:rPr>
        <w:t>작성 기준일: 2026-09-24. 공식 공지와 Q&amp;A가 변경되면 최신 내용을 우선한다.</w:t>
      </w:r>
    </w:p>
    <w:p>
      <w:pPr>
        <w:keepNext w:val="0"/>
        <w:spacing w:after="100" w:before="0" w:line="326" w:lineRule="auto"/>
      </w:pPr>
      <w:r>
        <w:rPr>
          <w:rFonts w:ascii="Malgun Gothic" w:hAnsi="Malgun Gothic" w:eastAsia="Malgun Gothic"/>
          <w:b/>
          <w:color w:val="000000"/>
          <w:sz w:val="21"/>
        </w:rPr>
        <w:t>본 문서는 참가신청서 작성 초안이다.</w:t>
      </w:r>
      <w:r>
        <w:rPr>
          <w:rFonts w:ascii="Malgun Gothic" w:hAnsi="Malgun Gothic" w:eastAsia="Malgun Gothic"/>
          <w:b w:val="0"/>
          <w:color w:val="000000"/>
          <w:sz w:val="21"/>
        </w:rPr>
        <w:t xml:space="preserve"> 개인정보와 서명은 제출자가 직접 입력하고, 최종 문안은 공식 HWP 양식으로 옮겨 확인한다.</w:t>
      </w:r>
    </w:p>
    <w:sectPr w:rsidR="00FC693F" w:rsidRPr="0006063C" w:rsidSect="00034616">
      <w:headerReference w:type="default" r:id="rId9"/>
      <w:footerReference w:type="default" r:id="rId10"/>
      <w:pgSz w:w="12240" w:h="15840"/>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66666"/>
        <w:sz w:val="17"/>
      </w:rPr>
      <w:t xml:space="preserve">2026 DATA·AI 분석 경진대회  |  </w:t>
    </w:r>
    <w:r>
      <w:rPr>
        <w:rFonts w:ascii="Malgun Gothic" w:hAnsi="Malgun Gothic" w:eastAsia="Malgun Gothic"/>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after="0" w:before="0" w:line="240" w:lineRule="auto"/>
      <w:jc w:val="right"/>
    </w:pPr>
    <w:r>
      <w:rPr>
        <w:rFonts w:ascii="Malgun Gothic" w:hAnsi="Malgun Gothic" w:eastAsia="Malgun Gothic"/>
        <w:b w:val="0"/>
        <w:color w:val="666666"/>
        <w:sz w:val="17"/>
      </w:rPr>
      <w:t>문제해결 제안서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하천수위 예측 대회 참가신청서 초안</dc:title>
  <dc:subject>6시간 최대 하천수위 상승량 예측 문제해결 제안서</dc:subject>
  <dc:creator>python-docx</dc:creator>
  <cp:keywords/>
  <dc:description>개인정보 및 서명은 제출자가 직접 입력해야 하는 작성 초안</dc:description>
  <cp:lastModifiedBy/>
  <cp:revision>1</cp:revision>
  <dcterms:created xsi:type="dcterms:W3CDTF">2013-12-23T23:15:00Z</dcterms:created>
  <dcterms:modified xsi:type="dcterms:W3CDTF">2013-12-23T23:15:00Z</dcterms:modified>
  <cp:category/>
</cp:coreProperties>
</file>