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맑은 고딕" w:hAnsi="맑은 고딕" w:eastAsia="맑은 고딕"/>
          <w:b/>
          <w:sz w:val="28"/>
        </w:rPr>
        <w:t>2026 DATA·AI 분석 경진대회</w:t>
      </w:r>
    </w:p>
    <w:p>
      <w:pPr>
        <w:spacing w:after="240"/>
        <w:jc w:val="center"/>
      </w:pPr>
      <w:r>
        <w:rPr>
          <w:rFonts w:ascii="맑은 고딕" w:hAnsi="맑은 고딕" w:eastAsia="맑은 고딕"/>
          <w:b/>
          <w:sz w:val="40"/>
        </w:rPr>
        <w:t>참가신청서 및 공모계획서(초안)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701"/>
            <w:vAlign w:val="center"/>
            <w:shd w:fill="E8F0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팀명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[작성 필요]</w:t>
            </w:r>
          </w:p>
        </w:tc>
        <w:tc>
          <w:tcPr>
            <w:tcW w:type="dxa" w:w="1701"/>
            <w:vAlign w:val="center"/>
            <w:shd w:fill="E8F0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대표자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[작성 필요]</w:t>
            </w:r>
          </w:p>
        </w:tc>
      </w:tr>
      <w:tr>
        <w:tc>
          <w:tcPr>
            <w:tcW w:type="dxa" w:w="1701"/>
            <w:vAlign w:val="center"/>
            <w:shd w:fill="E8F0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소속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[작성 필요]</w:t>
            </w:r>
          </w:p>
        </w:tc>
        <w:tc>
          <w:tcPr>
            <w:tcW w:type="dxa" w:w="1701"/>
            <w:vAlign w:val="center"/>
            <w:shd w:fill="E8F0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연락처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[작성 필요]</w:t>
            </w:r>
          </w:p>
        </w:tc>
      </w:tr>
      <w:tr>
        <w:tc>
          <w:tcPr>
            <w:tcW w:type="dxa" w:w="1701"/>
            <w:vAlign w:val="center"/>
            <w:shd w:fill="E8F0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전자우편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[작성 필요]</w:t>
            </w:r>
          </w:p>
        </w:tc>
        <w:tc>
          <w:tcPr>
            <w:tcW w:type="dxa" w:w="1701"/>
            <w:vAlign w:val="center"/>
            <w:shd w:fill="E8F0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팀원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[작성 필요: 성명·소속·역할]</w:t>
            </w:r>
          </w:p>
        </w:tc>
      </w:tr>
      <w:tr>
        <w:tc>
          <w:tcPr>
            <w:tcW w:type="dxa" w:w="1701"/>
            <w:vAlign w:val="center"/>
            <w:shd w:fill="E8F0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신청 과제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수질·수문·기상 융합 기반 댐·하천 유해남조류(녹조) 7일 예측 AI 모델 개발</w:t>
            </w:r>
          </w:p>
        </w:tc>
        <w:tc>
          <w:tcPr>
            <w:tcW w:type="dxa" w:w="1701"/>
            <w:vAlign w:val="center"/>
            <w:shd w:fill="E8F0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AI 문제해결형</w:t>
            </w:r>
          </w:p>
        </w:tc>
      </w:tr>
      <w:tr>
        <w:tc>
          <w:tcPr>
            <w:tcW w:type="dxa" w:w="1701"/>
            <w:vAlign w:val="center"/>
            <w:shd w:fill="E8F0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제출물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예측 결과 파일, 재현 가능한 분석 코드·설정, 방법론 설명</w:t>
            </w:r>
          </w:p>
        </w:tc>
        <w:tc>
          <w:tcPr>
            <w:tcW w:type="dxa" w:w="1701"/>
            <w:vAlign w:val="center"/>
            <w:shd w:fill="E8F0F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[작성 필요]</w:t>
            </w:r>
          </w:p>
        </w:tc>
      </w:tr>
    </w:tbl>
    <w:p>
      <w:pPr>
        <w:pStyle w:val="Heading1"/>
        <w:spacing w:before="280" w:after="100"/>
      </w:pPr>
      <w:r>
        <w:rPr>
          <w:rFonts w:ascii="맑은 고딕" w:hAnsi="맑은 고딕" w:eastAsia="맑은 고딕"/>
          <w:color w:val="1B5484"/>
        </w:rPr>
        <w:t>1. 신청 취지와 문제 정의</w:t>
      </w:r>
    </w:p>
    <w:p>
      <w:pPr>
        <w:spacing w:line="307" w:lineRule="auto" w:after="80"/>
      </w:pPr>
      <w:r>
        <w:rPr>
          <w:rFonts w:ascii="맑은 고딕" w:hAnsi="맑은 고딕" w:eastAsia="맑은 고딕"/>
          <w:sz w:val="20"/>
        </w:rPr>
        <w:t>본 팀은 유해남조류 세포수(cells/mL)를 기준일 이후 7일 시점에 예측하여, 취·정수장 운영자와 수질관리자가 선제적으로 대응할 수 있도록 돕는 AI 모델을 제안한다. 핵심은 단순한 농도 회귀가 아니라, 수질·수문·기상 변화가 누적되어 급증으로 이어지는 과정을 시간 순서에 맞게 반영하는 것이다.</w:t>
      </w:r>
    </w:p>
    <w:p>
      <w:pPr>
        <w:spacing w:line="307" w:lineRule="auto" w:after="80"/>
      </w:pPr>
      <w:r>
        <w:rPr>
          <w:rFonts w:ascii="맑은 고딕" w:hAnsi="맑은 고딕" w:eastAsia="맑은 고딕"/>
          <w:sz w:val="20"/>
        </w:rPr>
        <w:t>공고의 5개 대상 지점(해평, 강정·고령, 칠서, 물금·매리, 대청호 회남)을 공통 모델로 학습하되, 지점별 수계 특성은 station_id 임베딩/범주형 변수와 지점별 보정으로 분리한다. 예측값은 log10(cells+1) 공간에서 안정적으로 학습한 뒤 원 단위 세포수로 복원한다.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color w:val="1B5484"/>
        </w:rPr>
        <w:t>2. 제공 샘플에서 확인한 문제 특성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7"/>
        <w:gridCol w:w="3457"/>
        <w:gridCol w:w="3457"/>
      </w:tblGrid>
      <w:tr>
        <w:tc>
          <w:tcPr>
            <w:tcW w:type="dxa" w:w="1587"/>
            <w:vAlign w:val="center"/>
            <w:shd w:fill="1B548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3402"/>
            <w:vAlign w:val="center"/>
            <w:shd w:fill="1B548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샘플 관측</w:t>
            </w:r>
          </w:p>
        </w:tc>
        <w:tc>
          <w:tcPr>
            <w:tcW w:type="dxa" w:w="4535"/>
            <w:vAlign w:val="center"/>
            <w:shd w:fill="1B548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 설계 의미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대상 변동성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조류 샘플 87행에서 0~489,500 cells/mL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평균값 중심 모델만으로는 급증 구간을 놓칠 수 있어 로그 변환과 상승 국면 모델이 필요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목표일 간격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채점 조합 75건 중 정확히 7일은 51건, 나머지는 4~10일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관측일 자체가 불규칙하므로 base_date와 target_date의 실제 간격을 명시적 변수로 관리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지점 이질성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station_id 5개 지점의 수문·기상 환경이 상이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데이터의 공통 패턴과 지점별 보정을 함께 학습</w:t>
            </w:r>
          </w:p>
        </w:tc>
      </w:tr>
    </w:tbl>
    <w:p>
      <w:pPr>
        <w:spacing w:line="307" w:lineRule="auto" w:after="80"/>
      </w:pPr>
      <w:r>
        <w:rPr>
          <w:rFonts w:ascii="맑은 고딕" w:hAnsi="맑은 고딕" w:eastAsia="맑은 고딕"/>
          <w:sz w:val="20"/>
        </w:rPr>
        <w:t>위 수치는 제공된 샘플 파일을 탐색한 결과이며, 본 학습에서는 전체 제공 데이터의 결측·시점·단위를 다시 검증한 뒤 동일한 규칙으로 피처를 생성한다.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color w:val="1B5484"/>
        </w:rPr>
        <w:t>3. 제안 모델: ‘관측시점 인식형 수문 메모리 앙상블’</w:t>
      </w:r>
    </w:p>
    <w:p>
      <w:pPr>
        <w:pStyle w:val="ListBullet"/>
        <w:spacing w:line="283" w:lineRule="auto" w:after="40"/>
      </w:pPr>
      <w:r>
        <w:rPr>
          <w:rFonts w:ascii="맑은 고딕" w:hAnsi="맑은 고딕" w:eastAsia="맑은 고딕"/>
          <w:sz w:val="19"/>
        </w:rPr>
        <w:t>시점 안전 데이터셋: 기준일 시점에 실제로 알 수 있는 값만 결합한다. 미래 관측값, 목표일 이후 값, 사후 보정값은 피처에서 제외하고 데이터별 발표시점을 관리한다.</w:t>
      </w:r>
    </w:p>
    <w:p>
      <w:pPr>
        <w:pStyle w:val="ListBullet"/>
        <w:spacing w:line="283" w:lineRule="auto" w:after="40"/>
      </w:pPr>
      <w:r>
        <w:rPr>
          <w:rFonts w:ascii="맑은 고딕" w:hAnsi="맑은 고딕" w:eastAsia="맑은 고딕"/>
          <w:sz w:val="19"/>
        </w:rPr>
        <w:t>수문 메모리 피처: 수온·pH·전기전도도·탁도·영양염·조류 군집과 함께 강수·기온·일사량·저수량·방류량의 1/3/7/14/28일 누적·변화율을 구성한다. 짧은 강우 충격과 체류시간에 가까운 누적 효과를 함께 포착한다.</w:t>
      </w:r>
    </w:p>
    <w:p>
      <w:pPr>
        <w:pStyle w:val="ListBullet"/>
        <w:spacing w:line="283" w:lineRule="auto" w:after="40"/>
      </w:pPr>
      <w:r>
        <w:rPr>
          <w:rFonts w:ascii="맑은 고딕" w:hAnsi="맑은 고딕" w:eastAsia="맑은 고딕"/>
          <w:sz w:val="19"/>
        </w:rPr>
        <w:t>두 단계 예측: (1) 7일 내 급증 가능성/경보 초과 위험을 분류하고, (2) 정상·상승 국면별 회귀 모델을 가중 결합한다. 최종 제출은 공고 양식의 세포수 회귀값으로 제공하며, 분류 결과는 운영 해석용 보조 산출물로만 사용한다.</w:t>
      </w:r>
    </w:p>
    <w:p>
      <w:pPr>
        <w:pStyle w:val="ListBullet"/>
        <w:spacing w:line="283" w:lineRule="auto" w:after="40"/>
      </w:pPr>
      <w:r>
        <w:rPr>
          <w:rFonts w:ascii="맑은 고딕" w:hAnsi="맑은 고딕" w:eastAsia="맑은 고딕"/>
          <w:sz w:val="19"/>
        </w:rPr>
        <w:t>신뢰구간 동시 제공: 분위수 회귀 또는 conformal prediction으로 예측구간을 산출해, 단일 숫자뿐 아니라 ‘주의가 필요한 불확실성’을 제시한다. 이는 평가 규칙을 바꾸지 않는 의사결정 보조 기능이다.</w:t>
      </w:r>
    </w:p>
    <w:p>
      <w:pPr>
        <w:pStyle w:val="ListBullet"/>
        <w:spacing w:line="283" w:lineRule="auto" w:after="40"/>
      </w:pPr>
      <w:r>
        <w:rPr>
          <w:rFonts w:ascii="맑은 고딕" w:hAnsi="맑은 고딕" w:eastAsia="맑은 고딕"/>
          <w:sz w:val="19"/>
        </w:rPr>
        <w:t>설명 가능한 결과: SHAP 등으로 지점·날짜별 주요 요인을 제시해, 수질관리자가 왜 위험 신호가 나왔는지 확인할 수 있게 한다.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color w:val="1B5484"/>
        </w:rPr>
        <w:t>4. 선행연구의 한계와 해결 전략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7"/>
        <w:gridCol w:w="3457"/>
        <w:gridCol w:w="3457"/>
      </w:tblGrid>
      <w:tr>
        <w:tc>
          <w:tcPr>
            <w:tcW w:type="dxa" w:w="2268"/>
            <w:vAlign w:val="center"/>
            <w:shd w:fill="1B548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연구</w:t>
            </w:r>
          </w:p>
        </w:tc>
        <w:tc>
          <w:tcPr>
            <w:tcW w:type="dxa" w:w="3572"/>
            <w:vAlign w:val="center"/>
            <w:shd w:fill="1B548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한계·주의점</w:t>
            </w:r>
          </w:p>
        </w:tc>
        <w:tc>
          <w:tcPr>
            <w:tcW w:type="dxa" w:w="3685"/>
            <w:vAlign w:val="center"/>
            <w:shd w:fill="1B548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본 팀의 보완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Song et al. (2023), 낙동강 유해남조류 ML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시점 예측과 무작위 8:2 분할 중심이라, 미래 7일 예측의 시간 일반화 성능을 과대평가할 위험이 있다.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학습은 과거로만 제한하고 2024년을 고정 검증 연도로 둔다. 모든 lag·rolling 피처는 기준일 이전 정보만 사용한다.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Kim et al. (2023), hybrid DL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1일보다 7·14일 예측에서 성능이 크게 낮아졌고, 장기 예측은 관측 빈도·시간 변동성에 민감하다.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복잡한 딥러닝을 기본값으로 두지 않고, 결측 인지형 트리 앙상블을 기준선으로 한다. DL은 2024년 검증에서 추가 이득이 있을 때만 잔차 보정에 사용한다.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Lee et al. (2021), 저수지 조기경보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집중 모니터링 자료가 필요한 경보 중심 접근은 다른 지점·불규칙 관측에 바로 이식하기 어렵다.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세포수 회귀를 주 과제로 유지하고, 경보 위험은 회귀값·예측구간에서 파생한다. 지점별 결측 패턴과 실제 목표일 간격을 모델 입력에 포함한다.</w:t>
            </w:r>
          </w:p>
        </w:tc>
      </w:tr>
    </w:tbl>
    <w:p>
      <w:pPr>
        <w:pStyle w:val="Heading1"/>
        <w:spacing w:before="280" w:after="100"/>
      </w:pPr>
      <w:r>
        <w:rPr>
          <w:rFonts w:ascii="맑은 고딕" w:hAnsi="맑은 고딕" w:eastAsia="맑은 고딕"/>
          <w:color w:val="1B5484"/>
        </w:rPr>
        <w:t>5. 검증 및 실행 계획</w:t>
      </w:r>
    </w:p>
    <w:p>
      <w:pPr>
        <w:spacing w:line="307" w:lineRule="auto" w:after="80"/>
      </w:pPr>
      <w:r>
        <w:rPr>
          <w:rFonts w:ascii="맑은 고딕" w:hAnsi="맑은 고딕" w:eastAsia="맑은 고딕"/>
          <w:sz w:val="20"/>
        </w:rPr>
        <w:t>평가는 공고 안내에 맞춰 2023년까지를 학습 구간, 2024년을 검증 구간으로 고정하고, 이후 숨김 평가 연도에 일반화되는지를 확인한다. 성능은 log10(cells+1) 기준 RMSE·MAE와 원 단위 R²/NSE를 함께 보며, 단순 지속모형(직전 관측값) 및 계절 기준선보다 개선되는지 먼저 검증한다.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B548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457"/>
            <w:vAlign w:val="center"/>
            <w:shd w:fill="1B548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작업</w:t>
            </w:r>
          </w:p>
        </w:tc>
        <w:tc>
          <w:tcPr>
            <w:tcW w:type="dxa" w:w="3457"/>
            <w:vAlign w:val="center"/>
            <w:shd w:fill="1B5484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1. 데이터 점검</w:t>
            </w:r>
          </w:p>
        </w:tc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단위·결측·관측시점·지점 매핑 확인, 누수 방지 데이터 사전 작성</w:t>
            </w:r>
          </w:p>
        </w:tc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품질표·피처 명세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2. 기준선</w:t>
            </w:r>
          </w:p>
        </w:tc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지속모형·계절 기준선·LightGBM/CatBoost 계열 비교</w:t>
            </w:r>
          </w:p>
        </w:tc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고정 검증 성능표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 개선</w:t>
            </w:r>
          </w:p>
        </w:tc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수문 메모리·상승 국면·불확실성 피처를 하나씩 추가</w:t>
            </w:r>
          </w:p>
        </w:tc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실험 등록부·재현 설정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 제출</w:t>
            </w:r>
          </w:p>
        </w:tc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최적 고정 모델로 예측 CSV 생성, 범위·날짜·지점 검증</w:t>
            </w:r>
          </w:p>
        </w:tc>
        <w:tc>
          <w:tcPr>
            <w:tcW w:type="dxa" w:w="34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제출 파일·방법론 요약</w:t>
            </w:r>
          </w:p>
        </w:tc>
      </w:tr>
    </w:tbl>
    <w:p>
      <w:pPr>
        <w:pStyle w:val="Heading1"/>
        <w:spacing w:before="280" w:after="100"/>
      </w:pPr>
      <w:r>
        <w:rPr>
          <w:rFonts w:ascii="맑은 고딕" w:hAnsi="맑은 고딕" w:eastAsia="맑은 고딕"/>
          <w:color w:val="1B5484"/>
        </w:rPr>
        <w:t>6. 기대효과 및 추가 참신 아이디어</w:t>
      </w:r>
    </w:p>
    <w:p>
      <w:pPr>
        <w:spacing w:line="307" w:lineRule="auto" w:after="80"/>
      </w:pPr>
      <w:r>
        <w:rPr>
          <w:rFonts w:ascii="맑은 고딕" w:hAnsi="맑은 고딕" w:eastAsia="맑은 고딕"/>
          <w:sz w:val="20"/>
        </w:rPr>
        <w:t>기대효과는 7일 전 위험 신호를 수치와 불확실성으로 함께 제공하여 원수 관리, 조류경보 준비, 현장 추가 채수 우선순위 설정을 돕는 것이다. 과제의 핵심 평가지표는 세포수 예측 성능으로 유지하되, 현장 활용성을 높이는 보조 지표를 분리해 제시한다.</w:t>
      </w:r>
    </w:p>
    <w:p>
      <w:pPr>
        <w:pStyle w:val="ListBullet"/>
        <w:spacing w:line="283" w:lineRule="auto" w:after="40"/>
      </w:pPr>
      <w:r>
        <w:rPr>
          <w:rFonts w:ascii="맑은 고딕" w:hAnsi="맑은 고딕" w:eastAsia="맑은 고딕"/>
          <w:sz w:val="19"/>
        </w:rPr>
        <w:t>능동 관측 제안: 예측구간이 넓고 경보 초과 확률이 높은 날짜·지점을 우선 채수 후보로 표시한다. 같은 관측 예산에서 정보 가치가 큰 지점을 먼저 관측하게 하는 아이디어다.</w:t>
      </w:r>
    </w:p>
    <w:p>
      <w:pPr>
        <w:pStyle w:val="ListBullet"/>
        <w:spacing w:line="283" w:lineRule="auto" w:after="40"/>
      </w:pPr>
      <w:r>
        <w:rPr>
          <w:rFonts w:ascii="맑은 고딕" w:hAnsi="맑은 고딕" w:eastAsia="맑은 고딕"/>
          <w:sz w:val="19"/>
        </w:rPr>
        <w:t>반사실적 시나리오: ‘향후 3일 강우량이 평년보다 높을 때’처럼 관측 가능한 기상 예보를 대입해 위험 변화 방향을 제시한다. 공식 채점용 예측과 분리하여, 운영 시나리오 기능으로 검증한다.</w:t>
      </w:r>
    </w:p>
    <w:p>
      <w:pPr>
        <w:pStyle w:val="ListBullet"/>
        <w:spacing w:line="283" w:lineRule="auto" w:after="40"/>
      </w:pPr>
      <w:r>
        <w:rPr>
          <w:rFonts w:ascii="맑은 고딕" w:hAnsi="맑은 고딕" w:eastAsia="맑은 고딕"/>
          <w:sz w:val="19"/>
        </w:rPr>
        <w:t>데이터 드리프트 감시: 계절·지점별 피처 분포가 학습기간과 달라지면 경고를 내고 예측 신뢰도를 낮춘다. 재학습 필요성을 조기에 알리는 안전장치다.</w:t>
      </w:r>
    </w:p>
    <w:p>
      <w:pPr>
        <w:pStyle w:val="Heading1"/>
        <w:spacing w:before="280" w:after="100"/>
      </w:pPr>
      <w:r>
        <w:rPr>
          <w:rFonts w:ascii="맑은 고딕" w:hAnsi="맑은 고딕" w:eastAsia="맑은 고딕"/>
          <w:color w:val="1B5484"/>
        </w:rPr>
        <w:t>7. 참고문헌 및 공고 근거</w:t>
      </w:r>
    </w:p>
    <w:p>
      <w:pPr>
        <w:pStyle w:val="ListNumber"/>
        <w:spacing w:after="40" w:line="269" w:lineRule="auto"/>
      </w:pPr>
      <w:r>
        <w:rPr>
          <w:rFonts w:ascii="맑은 고딕" w:hAnsi="맑은 고딕" w:eastAsia="맑은 고딕"/>
          <w:sz w:val="17"/>
        </w:rPr>
        <w:t>한국과학기술정보연구원(KISTI), 2026 DATA·AI 분석 경진대회 문제 상세: ‘수질·수문·기상 융합 기반 댐·하천 유해남조류(녹조) 7일 예측 AI 모델 개발’. https://aida.kisti.re.kr/competition/main/problem/PROB_000000000004602/detail.do</w:t>
      </w:r>
    </w:p>
    <w:p>
      <w:pPr>
        <w:pStyle w:val="ListNumber"/>
        <w:spacing w:after="40" w:line="269" w:lineRule="auto"/>
      </w:pPr>
      <w:r>
        <w:rPr>
          <w:rFonts w:ascii="맑은 고딕" w:hAnsi="맑은 고딕" w:eastAsia="맑은 고딕"/>
          <w:sz w:val="17"/>
        </w:rPr>
        <w:t>Song, H. H. et al. (2023). A Study on the Predicting Harmful Cyanobacteria Algal Blooms Using Machine Learning Technology – The Nakdong River Case. Journal of Korean Institute of Intelligent Systems, 33(1), 29–34. https://doi.org/10.5391/JKIIS.2023.33.1.29</w:t>
      </w:r>
    </w:p>
    <w:p>
      <w:pPr>
        <w:pStyle w:val="ListNumber"/>
        <w:spacing w:after="40" w:line="269" w:lineRule="auto"/>
      </w:pPr>
      <w:r>
        <w:rPr>
          <w:rFonts w:ascii="맑은 고딕" w:hAnsi="맑은 고딕" w:eastAsia="맑은 고딕"/>
          <w:sz w:val="17"/>
        </w:rPr>
        <w:t>Kim, H., Shin, S., &amp; Cha, Y. (2023). Incorporation of feature engineering and attention mechanisms into hybrid deep learning models for forecasting cyanobacterial harmful algal blooms. Journal of Cleaner Production, 414, 137564. https://doi.org/10.1016/j.jclepro.2023.137564</w:t>
      </w:r>
    </w:p>
    <w:p>
      <w:pPr>
        <w:pStyle w:val="ListNumber"/>
        <w:spacing w:after="40" w:line="269" w:lineRule="auto"/>
      </w:pPr>
      <w:r>
        <w:rPr>
          <w:rFonts w:ascii="맑은 고딕" w:hAnsi="맑은 고딕" w:eastAsia="맑은 고딕"/>
          <w:sz w:val="17"/>
        </w:rPr>
        <w:t>Lee, S. et al. (2021). A machine learning approach for early warning of cyanobacterial bloom outbreaks in a freshwater reservoir. Journal of Environmental Management, 288, 112415. https://doi.org/10.1016/j.jenvman.2021.112415</w:t>
      </w:r>
    </w:p>
    <w:p>
      <w:pPr>
        <w:spacing w:before="140"/>
        <w:jc w:val="right"/>
      </w:pPr>
      <w:r>
        <w:rPr>
          <w:rFonts w:ascii="맑은 고딕" w:hAnsi="맑은 고딕" w:eastAsia="맑은 고딕"/>
          <w:sz w:val="20"/>
        </w:rPr>
        <w:t>대표자: [작성 필요]  (서명 또는 인)</w:t>
      </w:r>
    </w:p>
    <w:sectPr w:rsidR="00FC693F" w:rsidRPr="0006063C" w:rsidSect="00034616"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