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jc w:val="center"/>
        <w:spacing w:line="360" w:lineRule="auto"/>
      </w:pPr>
      <w:r>
        <w:rPr>
          <w:rFonts w:ascii="Times New Roman" w:hAnsi="Times New Roman" w:eastAsia="微软雅黑"/>
          <w:b/>
          <w:sz w:val="32"/>
          <w:szCs w:val="32"/>
        </w:rPr>
        <w:t xml:space="preserve">可解释 AI 实时网络入侵检测与安全分析平台</w:t>
      </w:r>
    </w:p>
    <w:p>
      <w:pPr>
        <w:jc w:val="center"/>
        <w:spacing w:line="300" w:lineRule="auto"/>
      </w:pPr>
      <w:r>
        <w:rPr>
          <w:rFonts w:ascii="Times New Roman" w:hAnsi="Times New Roman" w:eastAsia="微软雅黑"/>
          <w:sz w:val="24"/>
          <w:szCs w:val="24"/>
        </w:rPr>
        <w:t xml:space="preserve">项目摘要</w:t>
      </w:r>
    </w:p>
    <w:p>
      <w:pPr>
        <w:spacing w:line="120" w:lineRule="auto"/>
      </w:pPr>
    </w:p>
    <w:p>
      <w:pPr>
        <w:spacing w:line="400" w:lineRule="auto"/>
      </w:pPr>
      <w:r>
        <w:rPr>
          <w:rFonts w:ascii="Times New Roman" w:hAnsi="Times New Roman" w:eastAsia="宋体"/>
          <w:sz w:val="24"/>
          <w:szCs w:val="24"/>
        </w:rPr>
        <w:t xml:space="preserve">传统入侵检测系统依赖人工规则，存在覆盖不全、误报率高的问题，且决策不可解释，安全分析师难以信任告警。平台基于 CICIDS2017 完成数据清洗、特征分析与多模型对比，选用 XGBoost 构建实时检测引擎，集成 SHAP 特征归因实现可解释检测，并以类 SOC 控制台完成告警运营。</w:t>
      </w:r>
    </w:p>
    <w:p>
      <w:pPr>
        <w:spacing w:line="400" w:lineRule="auto"/>
      </w:pPr>
      <w:r>
        <w:rPr>
          <w:rFonts w:ascii="Times New Roman" w:hAnsi="Times New Roman" w:eastAsia="宋体"/>
          <w:sz w:val="24"/>
          <w:szCs w:val="24"/>
        </w:rPr>
        <w:t xml:space="preserve">在 6 万条统一测试集上，二分类 F1 达 0.9974，多分类 Macro-F1 达 0.8461；Transformer 二分类 F1 仅为 0.9357，误报率显著更低。SHAP 在每次告警中展示 Top-5 影响特征，将黑盒决策转化为可验证证据，兼顾高精度与可解释性。</w:t>
      </w:r>
    </w:p>
    <w:p>
      <w:pPr>
        <w:spacing w:line="400" w:lineRule="auto"/>
      </w:pPr>
      <w:r>
        <w:rPr>
          <w:rFonts w:ascii="Times New Roman" w:hAnsi="Times New Roman" w:eastAsia="宋体"/>
          <w:sz w:val="24"/>
          <w:szCs w:val="24"/>
        </w:rPr>
        <w:t xml:space="preserve">系统支持实时流量检测、告警生命周期管理、风险分级与 CSV 导出，可 Docker 一键部署，形成“可检测、可解释、可运营”的端到端安全分析能力。</w:t>
      </w:r>
    </w:p>
    <w:p>
      <w:pPr>
        <w:spacing w:line="120" w:lineRule="auto"/>
      </w:pPr>
    </w:p>
    <w:p>
      <w:pPr>
        <w:jc w:val="center"/>
      </w:pPr>
      <w:r>
        <w:drawing>
          <wp:inline distT="0" distB="0" distL="0" distR="0">
            <wp:extent cx="4297680" cy="3023808"/>
            <wp:effectExtent l="0" t="0" r="0" b="0"/>
            <wp:docPr id="1" name="SHAP告警详情截图"/>
            <wp:cNvGraphicFramePr/>
            <a:graphic>
              <a:graphicData uri="http://schemas.openxmlformats.org/drawingml/2006/picture">
                <pic:pic>
                  <pic:nvPicPr>
                    <pic:cNvPr id="1" name="detail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02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line="240" w:lineRule="auto"/>
      </w:pPr>
      <w:r>
        <w:rPr>
          <w:rFonts w:ascii="Times New Roman" w:hAnsi="Times New Roman" w:eastAsia="微软雅黑"/>
          <w:sz w:val="21"/>
          <w:szCs w:val="21"/>
        </w:rPr>
        <w:t xml:space="preserve">系统截图：告警详情（含 SHAP Top-5 特征归因）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</w:rPr>
    </w:rPrDefault>
  </w:docDefaults>
  <w:style w:type="paragraph" w:default="1" w:styleId="Normal">
    <w:name w:val="Normal"/>
    <w:qFormat/>
    <w:pPr>
      <w:spacing w:line="360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image1.png"/>
</Relationships>
</file>