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E4C" w:rsidRDefault="00426E4C" w:rsidP="008329A8">
      <w:pPr>
        <w:jc w:val="center"/>
        <w:rPr>
          <w:b/>
          <w:bCs/>
          <w:lang w:val="en-US"/>
        </w:rPr>
      </w:pPr>
      <w:r w:rsidRPr="008329A8">
        <w:rPr>
          <w:b/>
          <w:bCs/>
        </w:rPr>
        <w:t>U</w:t>
      </w:r>
      <w:r w:rsidRPr="008329A8">
        <w:rPr>
          <w:rFonts w:hint="eastAsia"/>
          <w:b/>
          <w:bCs/>
        </w:rPr>
        <w:t>ser</w:t>
      </w:r>
      <w:r w:rsidRPr="008329A8">
        <w:rPr>
          <w:b/>
          <w:bCs/>
          <w:lang w:val="en-US"/>
        </w:rPr>
        <w:t xml:space="preserve"> manual </w:t>
      </w:r>
      <w:r w:rsidR="008329A8">
        <w:rPr>
          <w:b/>
          <w:bCs/>
          <w:lang w:val="en-US"/>
        </w:rPr>
        <w:t xml:space="preserve">for the </w:t>
      </w:r>
      <w:r w:rsidR="008329A8" w:rsidRPr="008329A8">
        <w:rPr>
          <w:b/>
          <w:bCs/>
          <w:lang w:val="en-US"/>
        </w:rPr>
        <w:t>A2E_App</w:t>
      </w:r>
    </w:p>
    <w:p w:rsidR="003F5FEF" w:rsidRPr="003F5FEF" w:rsidRDefault="003F5FEF" w:rsidP="008329A8">
      <w:pPr>
        <w:jc w:val="center"/>
        <w:rPr>
          <w:lang w:val="en-US"/>
        </w:rPr>
      </w:pPr>
      <w:proofErr w:type="spellStart"/>
      <w:r w:rsidRPr="003F5FEF">
        <w:rPr>
          <w:lang w:val="en-US"/>
        </w:rPr>
        <w:t>Yuntao</w:t>
      </w:r>
      <w:proofErr w:type="spellEnd"/>
      <w:r w:rsidRPr="003F5FEF">
        <w:rPr>
          <w:lang w:val="en-US"/>
        </w:rPr>
        <w:t xml:space="preserve"> Tian</w:t>
      </w:r>
    </w:p>
    <w:p w:rsidR="003F5FEF" w:rsidRPr="003F5FEF" w:rsidRDefault="003F5FEF" w:rsidP="008329A8">
      <w:pPr>
        <w:jc w:val="center"/>
        <w:rPr>
          <w:lang w:val="en-US"/>
        </w:rPr>
      </w:pPr>
      <w:r w:rsidRPr="003F5FEF">
        <w:rPr>
          <w:lang w:val="en-US"/>
        </w:rPr>
        <w:t>August 3, 2023</w:t>
      </w:r>
    </w:p>
    <w:p w:rsidR="003F5FEF" w:rsidRPr="008329A8" w:rsidRDefault="003F5FEF" w:rsidP="008329A8">
      <w:pPr>
        <w:jc w:val="center"/>
        <w:rPr>
          <w:b/>
          <w:bCs/>
          <w:lang w:val="en-US"/>
        </w:rPr>
      </w:pPr>
    </w:p>
    <w:p w:rsidR="0066782D" w:rsidRPr="0066782D" w:rsidRDefault="0066782D" w:rsidP="0066782D">
      <w:pPr>
        <w:pStyle w:val="ListParagraph"/>
        <w:numPr>
          <w:ilvl w:val="0"/>
          <w:numId w:val="1"/>
        </w:numPr>
        <w:rPr>
          <w:lang w:val="en-US"/>
        </w:rPr>
      </w:pPr>
      <w:r>
        <w:rPr>
          <w:lang w:val="en-US"/>
        </w:rPr>
        <w:t>Running the app</w:t>
      </w:r>
    </w:p>
    <w:p w:rsidR="00426E4C" w:rsidRDefault="00426E4C" w:rsidP="0066782D">
      <w:pPr>
        <w:ind w:firstLine="720"/>
        <w:rPr>
          <w:lang w:val="en-US"/>
        </w:rPr>
      </w:pPr>
      <w:r>
        <w:rPr>
          <w:lang w:val="en-US"/>
        </w:rPr>
        <w:t xml:space="preserve">Run the app by </w:t>
      </w:r>
      <w:r w:rsidR="00AA656A">
        <w:rPr>
          <w:lang w:val="en-US"/>
        </w:rPr>
        <w:t xml:space="preserve">right-clicking </w:t>
      </w:r>
      <w:r>
        <w:rPr>
          <w:lang w:val="en-US"/>
        </w:rPr>
        <w:t>the script “</w:t>
      </w:r>
      <w:r w:rsidRPr="00426E4C">
        <w:rPr>
          <w:lang w:val="en-US"/>
        </w:rPr>
        <w:t>A2E_App.mlapp</w:t>
      </w:r>
      <w:r>
        <w:rPr>
          <w:lang w:val="en-US"/>
        </w:rPr>
        <w:t>”</w:t>
      </w:r>
      <w:r w:rsidR="00AA656A">
        <w:rPr>
          <w:lang w:val="en-US"/>
        </w:rPr>
        <w:t xml:space="preserve"> script and select ‘run’.</w:t>
      </w:r>
    </w:p>
    <w:p w:rsidR="0066782D" w:rsidRDefault="0066782D" w:rsidP="0066782D">
      <w:pPr>
        <w:rPr>
          <w:lang w:val="en-US"/>
        </w:rPr>
      </w:pPr>
      <w:r>
        <w:rPr>
          <w:lang w:val="en-US"/>
        </w:rPr>
        <w:tab/>
      </w:r>
    </w:p>
    <w:p w:rsidR="0066782D" w:rsidRPr="0066782D" w:rsidRDefault="0066782D" w:rsidP="0066782D">
      <w:pPr>
        <w:pStyle w:val="ListParagraph"/>
        <w:numPr>
          <w:ilvl w:val="0"/>
          <w:numId w:val="1"/>
        </w:numPr>
        <w:rPr>
          <w:lang w:val="en-US"/>
        </w:rPr>
      </w:pPr>
      <w:r>
        <w:rPr>
          <w:lang w:val="en-US"/>
        </w:rPr>
        <w:t>Input DEM and age data</w:t>
      </w:r>
    </w:p>
    <w:p w:rsidR="0066782D" w:rsidRDefault="00426E4C" w:rsidP="0066782D">
      <w:pPr>
        <w:ind w:firstLine="720"/>
        <w:rPr>
          <w:lang w:val="en-US"/>
        </w:rPr>
      </w:pPr>
      <w:r>
        <w:rPr>
          <w:lang w:val="en-US"/>
        </w:rPr>
        <w:t xml:space="preserve">The modeling requires the following inputs: </w:t>
      </w:r>
      <w:r w:rsidR="0066782D">
        <w:rPr>
          <w:lang w:val="en-US"/>
        </w:rPr>
        <w:t xml:space="preserve">a </w:t>
      </w:r>
      <w:r>
        <w:rPr>
          <w:lang w:val="en-US"/>
        </w:rPr>
        <w:t xml:space="preserve">DEM </w:t>
      </w:r>
      <w:r w:rsidR="0066782D">
        <w:rPr>
          <w:lang w:val="en-US"/>
        </w:rPr>
        <w:t xml:space="preserve">file </w:t>
      </w:r>
      <w:r>
        <w:rPr>
          <w:lang w:val="en-US"/>
        </w:rPr>
        <w:t xml:space="preserve">that covers a larger area than the samples, the </w:t>
      </w:r>
      <w:proofErr w:type="spellStart"/>
      <w:r>
        <w:rPr>
          <w:lang w:val="en-US"/>
        </w:rPr>
        <w:t>thermochronologic</w:t>
      </w:r>
      <w:proofErr w:type="spellEnd"/>
      <w:r>
        <w:rPr>
          <w:lang w:val="en-US"/>
        </w:rPr>
        <w:t xml:space="preserve"> age data </w:t>
      </w:r>
      <w:r w:rsidR="0066782D">
        <w:rPr>
          <w:lang w:val="en-US"/>
        </w:rPr>
        <w:t>(</w:t>
      </w:r>
      <w:r>
        <w:rPr>
          <w:lang w:val="en-US"/>
        </w:rPr>
        <w:t xml:space="preserve">that </w:t>
      </w:r>
      <w:r w:rsidR="0066782D">
        <w:rPr>
          <w:lang w:val="en-US"/>
        </w:rPr>
        <w:t xml:space="preserve">must </w:t>
      </w:r>
      <w:r>
        <w:rPr>
          <w:lang w:val="en-US"/>
        </w:rPr>
        <w:t xml:space="preserve">include sample latitude, longitude, </w:t>
      </w:r>
      <w:r w:rsidR="0066782D">
        <w:rPr>
          <w:lang w:val="en-US"/>
        </w:rPr>
        <w:t>elevation, age, error). Notes all elevation data should be in meters. These two input data files can be loaded by clicking the first to buttons. Once uploaded, the DEM and age</w:t>
      </w:r>
      <w:r w:rsidR="00286B4C">
        <w:rPr>
          <w:lang w:val="en-US"/>
        </w:rPr>
        <w:t xml:space="preserve">-elevation </w:t>
      </w:r>
      <w:r w:rsidR="002D15FE">
        <w:rPr>
          <w:lang w:val="en-US"/>
        </w:rPr>
        <w:t>relationship</w:t>
      </w:r>
      <w:r w:rsidR="0066782D">
        <w:rPr>
          <w:lang w:val="en-US"/>
        </w:rPr>
        <w:t xml:space="preserve"> will be plotted in the panels to the left</w:t>
      </w:r>
      <w:r w:rsidR="00055302">
        <w:rPr>
          <w:lang w:val="en-US"/>
        </w:rPr>
        <w:t xml:space="preserve"> (Figure 1)</w:t>
      </w:r>
      <w:r w:rsidR="0066782D">
        <w:rPr>
          <w:lang w:val="en-US"/>
        </w:rPr>
        <w:t xml:space="preserve">. </w:t>
      </w:r>
    </w:p>
    <w:p w:rsidR="0096495E" w:rsidRPr="0096495E" w:rsidRDefault="0096495E" w:rsidP="0066782D">
      <w:pPr>
        <w:ind w:firstLine="720"/>
        <w:rPr>
          <w:lang w:val="en-US"/>
        </w:rPr>
      </w:pPr>
      <w:r>
        <w:rPr>
          <w:lang w:val="en-US"/>
        </w:rPr>
        <w:t>T</w:t>
      </w:r>
      <w:r>
        <w:rPr>
          <w:rFonts w:hint="eastAsia"/>
          <w:lang w:val="en-US"/>
        </w:rPr>
        <w:t>he</w:t>
      </w:r>
      <w:r>
        <w:rPr>
          <w:lang w:val="en-US"/>
        </w:rPr>
        <w:t xml:space="preserve"> example data folder “</w:t>
      </w:r>
      <w:r w:rsidRPr="0096495E">
        <w:rPr>
          <w:lang w:val="en-US"/>
        </w:rPr>
        <w:t>Fitzgerald1995</w:t>
      </w:r>
      <w:r>
        <w:rPr>
          <w:lang w:val="en-US"/>
        </w:rPr>
        <w:t>” contains the DEM input “</w:t>
      </w:r>
      <w:r w:rsidRPr="0096495E">
        <w:rPr>
          <w:lang w:val="en-US"/>
        </w:rPr>
        <w:t>DEM_Fitzgerald1995.csv</w:t>
      </w:r>
      <w:r>
        <w:rPr>
          <w:lang w:val="en-US"/>
        </w:rPr>
        <w:t xml:space="preserve">”, which has three columns of </w:t>
      </w:r>
      <w:proofErr w:type="spellStart"/>
      <w:r>
        <w:rPr>
          <w:lang w:val="en-US"/>
        </w:rPr>
        <w:t>xyz</w:t>
      </w:r>
      <w:proofErr w:type="spellEnd"/>
      <w:r>
        <w:rPr>
          <w:lang w:val="en-US"/>
        </w:rPr>
        <w:t xml:space="preserve">. This DEM is generated from the SRTM10 data set. The </w:t>
      </w:r>
      <w:r w:rsidR="00E51C7A">
        <w:rPr>
          <w:lang w:val="en-US"/>
        </w:rPr>
        <w:t>“</w:t>
      </w:r>
      <w:r w:rsidR="00E51C7A" w:rsidRPr="00E51C7A">
        <w:rPr>
          <w:lang w:val="en-US"/>
        </w:rPr>
        <w:t>DATA_Fitzgerald1995.csv</w:t>
      </w:r>
      <w:r w:rsidR="00E51C7A">
        <w:rPr>
          <w:lang w:val="en-US"/>
        </w:rPr>
        <w:t>” is the example input age data.</w:t>
      </w:r>
    </w:p>
    <w:p w:rsidR="0066782D" w:rsidRDefault="0066782D" w:rsidP="00C34ED0">
      <w:pPr>
        <w:jc w:val="center"/>
        <w:rPr>
          <w:lang w:val="en-US"/>
        </w:rPr>
      </w:pPr>
      <w:r w:rsidRPr="0066782D">
        <w:rPr>
          <w:noProof/>
          <w:lang w:val="en-US"/>
        </w:rPr>
        <w:drawing>
          <wp:inline distT="0" distB="0" distL="0" distR="0" wp14:anchorId="3DABB28F" wp14:editId="6401E96A">
            <wp:extent cx="4845061" cy="5080000"/>
            <wp:effectExtent l="0" t="0" r="6350" b="0"/>
            <wp:docPr id="105569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92079" name=""/>
                    <pic:cNvPicPr/>
                  </pic:nvPicPr>
                  <pic:blipFill>
                    <a:blip r:embed="rId5"/>
                    <a:stretch>
                      <a:fillRect/>
                    </a:stretch>
                  </pic:blipFill>
                  <pic:spPr>
                    <a:xfrm>
                      <a:off x="0" y="0"/>
                      <a:ext cx="4908955" cy="5146992"/>
                    </a:xfrm>
                    <a:prstGeom prst="rect">
                      <a:avLst/>
                    </a:prstGeom>
                  </pic:spPr>
                </pic:pic>
              </a:graphicData>
            </a:graphic>
          </wp:inline>
        </w:drawing>
      </w:r>
    </w:p>
    <w:p w:rsidR="0066782D" w:rsidRDefault="0066782D" w:rsidP="00C34ED0">
      <w:pPr>
        <w:jc w:val="center"/>
        <w:rPr>
          <w:lang w:val="en-US"/>
        </w:rPr>
      </w:pPr>
      <w:r>
        <w:rPr>
          <w:lang w:val="en-US"/>
        </w:rPr>
        <w:t>Figure 1. A screen shot of the app after uploading the DEM and age data.</w:t>
      </w:r>
    </w:p>
    <w:p w:rsidR="0066782D" w:rsidRDefault="0066782D">
      <w:pPr>
        <w:rPr>
          <w:lang w:val="en-US"/>
        </w:rPr>
      </w:pPr>
    </w:p>
    <w:p w:rsidR="0066782D" w:rsidRDefault="0066782D" w:rsidP="0066782D">
      <w:pPr>
        <w:pStyle w:val="ListParagraph"/>
        <w:numPr>
          <w:ilvl w:val="0"/>
          <w:numId w:val="1"/>
        </w:numPr>
        <w:rPr>
          <w:lang w:val="en-US"/>
        </w:rPr>
      </w:pPr>
      <w:r>
        <w:rPr>
          <w:lang w:val="en-US"/>
        </w:rPr>
        <w:t>Selecting the output folder</w:t>
      </w:r>
    </w:p>
    <w:p w:rsidR="0066782D" w:rsidRPr="0066782D" w:rsidRDefault="0066782D" w:rsidP="00920FF3">
      <w:pPr>
        <w:ind w:firstLine="720"/>
        <w:rPr>
          <w:lang w:val="en-US"/>
        </w:rPr>
      </w:pPr>
      <w:r w:rsidRPr="0066782D">
        <w:rPr>
          <w:lang w:val="en-US"/>
        </w:rPr>
        <w:t xml:space="preserve">Selecting </w:t>
      </w:r>
      <w:r>
        <w:rPr>
          <w:lang w:val="en-US"/>
        </w:rPr>
        <w:t>a directory for saving all</w:t>
      </w:r>
      <w:r w:rsidRPr="0066782D">
        <w:rPr>
          <w:lang w:val="en-US"/>
        </w:rPr>
        <w:t xml:space="preserve"> </w:t>
      </w:r>
      <w:r>
        <w:rPr>
          <w:lang w:val="en-US"/>
        </w:rPr>
        <w:t xml:space="preserve">model </w:t>
      </w:r>
      <w:r w:rsidRPr="0066782D">
        <w:rPr>
          <w:lang w:val="en-US"/>
        </w:rPr>
        <w:t>output</w:t>
      </w:r>
      <w:r>
        <w:rPr>
          <w:lang w:val="en-US"/>
        </w:rPr>
        <w:t>s</w:t>
      </w:r>
      <w:r w:rsidRPr="0066782D">
        <w:rPr>
          <w:lang w:val="en-US"/>
        </w:rPr>
        <w:t xml:space="preserve"> </w:t>
      </w:r>
      <w:r>
        <w:rPr>
          <w:lang w:val="en-US"/>
        </w:rPr>
        <w:t xml:space="preserve">by clicking the </w:t>
      </w:r>
      <w:r w:rsidR="00920FF3">
        <w:rPr>
          <w:lang w:val="en-US"/>
        </w:rPr>
        <w:t>‘Select output folder’ button.</w:t>
      </w:r>
      <w:r w:rsidR="00703435">
        <w:rPr>
          <w:lang w:val="en-US"/>
        </w:rPr>
        <w:t xml:space="preserve"> The selected directory will be printed in the space to the left of the button. Note that after </w:t>
      </w:r>
      <w:r w:rsidR="00BD1482">
        <w:rPr>
          <w:lang w:val="en-US"/>
        </w:rPr>
        <w:t>selecting the age input data and output folder, the program can plot the outputs of previous run. This can be useful for reviewing previous models.</w:t>
      </w:r>
    </w:p>
    <w:p w:rsidR="0066782D" w:rsidRDefault="0066782D" w:rsidP="0066782D">
      <w:pPr>
        <w:ind w:left="720"/>
        <w:rPr>
          <w:lang w:val="en-US"/>
        </w:rPr>
      </w:pPr>
    </w:p>
    <w:p w:rsidR="00920FF3" w:rsidRDefault="00920FF3" w:rsidP="00920FF3">
      <w:pPr>
        <w:pStyle w:val="ListParagraph"/>
        <w:numPr>
          <w:ilvl w:val="0"/>
          <w:numId w:val="1"/>
        </w:numPr>
        <w:rPr>
          <w:lang w:val="en-US"/>
        </w:rPr>
      </w:pPr>
      <w:r>
        <w:rPr>
          <w:lang w:val="en-US"/>
        </w:rPr>
        <w:t xml:space="preserve">Model geothermal constraints </w:t>
      </w:r>
    </w:p>
    <w:p w:rsidR="00920FF3" w:rsidRPr="00920FF3" w:rsidRDefault="00920FF3" w:rsidP="00920FF3">
      <w:pPr>
        <w:ind w:firstLine="720"/>
        <w:rPr>
          <w:lang w:val="en-US"/>
        </w:rPr>
      </w:pPr>
      <w:r>
        <w:rPr>
          <w:lang w:val="en-US"/>
        </w:rPr>
        <w:t>The modern geothermal gradient is the only constraint for the geothermal field. It can be defined by inputting a value in the space to the left of the text “</w:t>
      </w:r>
      <w:r w:rsidRPr="00920FF3">
        <w:rPr>
          <w:lang w:val="en-US"/>
        </w:rPr>
        <w:t>Modern geothermal</w:t>
      </w:r>
      <w:r>
        <w:rPr>
          <w:lang w:val="en-US"/>
        </w:rPr>
        <w:t xml:space="preserve"> </w:t>
      </w:r>
      <w:r w:rsidRPr="00920FF3">
        <w:rPr>
          <w:lang w:val="en-US"/>
        </w:rPr>
        <w:t>gradient (</w:t>
      </w:r>
      <w:proofErr w:type="spellStart"/>
      <w:r w:rsidRPr="00920FF3">
        <w:rPr>
          <w:lang w:val="en-US"/>
        </w:rPr>
        <w:t>oC</w:t>
      </w:r>
      <w:proofErr w:type="spellEnd"/>
      <w:r w:rsidRPr="00920FF3">
        <w:rPr>
          <w:lang w:val="en-US"/>
        </w:rPr>
        <w:t>/km):</w:t>
      </w:r>
      <w:r>
        <w:rPr>
          <w:lang w:val="en-US"/>
        </w:rPr>
        <w:t>”</w:t>
      </w:r>
      <w:r w:rsidR="00BD1482">
        <w:rPr>
          <w:lang w:val="en-US"/>
        </w:rPr>
        <w:t xml:space="preserve"> In general, given a certain age-elevation input, a high m</w:t>
      </w:r>
      <w:r w:rsidR="00BD1482" w:rsidRPr="00920FF3">
        <w:rPr>
          <w:lang w:val="en-US"/>
        </w:rPr>
        <w:t>odern geothermal</w:t>
      </w:r>
      <w:r w:rsidR="00BD1482">
        <w:rPr>
          <w:lang w:val="en-US"/>
        </w:rPr>
        <w:t xml:space="preserve"> </w:t>
      </w:r>
      <w:r w:rsidR="00BD1482" w:rsidRPr="00920FF3">
        <w:rPr>
          <w:lang w:val="en-US"/>
        </w:rPr>
        <w:t>gradient</w:t>
      </w:r>
      <w:r w:rsidR="00BD1482">
        <w:rPr>
          <w:lang w:val="en-US"/>
        </w:rPr>
        <w:t xml:space="preserve"> would </w:t>
      </w:r>
      <w:r w:rsidR="00E554F2">
        <w:rPr>
          <w:lang w:val="en-US"/>
        </w:rPr>
        <w:t xml:space="preserve">result in systematically lower exhumation. But the pattern of the exhumation history would not change. </w:t>
      </w:r>
    </w:p>
    <w:p w:rsidR="00920FF3" w:rsidRDefault="00920FF3" w:rsidP="00920FF3">
      <w:pPr>
        <w:ind w:left="720"/>
        <w:rPr>
          <w:lang w:val="en-US"/>
        </w:rPr>
      </w:pPr>
    </w:p>
    <w:p w:rsidR="00920FF3" w:rsidRDefault="00920FF3" w:rsidP="00920FF3">
      <w:pPr>
        <w:pStyle w:val="ListParagraph"/>
        <w:numPr>
          <w:ilvl w:val="0"/>
          <w:numId w:val="1"/>
        </w:numPr>
        <w:rPr>
          <w:lang w:val="en-US"/>
        </w:rPr>
      </w:pPr>
      <w:r>
        <w:rPr>
          <w:lang w:val="en-US"/>
        </w:rPr>
        <w:t>Model setups</w:t>
      </w:r>
    </w:p>
    <w:p w:rsidR="00920FF3" w:rsidRDefault="003F2F17" w:rsidP="00920FF3">
      <w:pPr>
        <w:ind w:firstLine="720"/>
        <w:rPr>
          <w:lang w:val="en-US"/>
        </w:rPr>
      </w:pPr>
      <w:r>
        <w:rPr>
          <w:lang w:val="en-US"/>
        </w:rPr>
        <w:t>The i</w:t>
      </w:r>
      <w:r w:rsidR="00920FF3">
        <w:rPr>
          <w:lang w:val="en-US"/>
        </w:rPr>
        <w:t xml:space="preserve">nitial geothermal gradient </w:t>
      </w:r>
      <w:r>
        <w:rPr>
          <w:lang w:val="en-US"/>
        </w:rPr>
        <w:t xml:space="preserve">(G0) </w:t>
      </w:r>
      <w:r w:rsidR="00920FF3">
        <w:rPr>
          <w:lang w:val="en-US"/>
        </w:rPr>
        <w:t>can be either searched by the model, if selecting ‘Auto’ in the corresponding drop-down window</w:t>
      </w:r>
      <w:r w:rsidR="00F418AF">
        <w:rPr>
          <w:lang w:val="en-US"/>
        </w:rPr>
        <w:t xml:space="preserve"> (Figure 2)</w:t>
      </w:r>
      <w:r w:rsidR="00920FF3">
        <w:rPr>
          <w:lang w:val="en-US"/>
        </w:rPr>
        <w:t xml:space="preserve">. </w:t>
      </w:r>
      <w:r>
        <w:rPr>
          <w:lang w:val="en-US"/>
        </w:rPr>
        <w:t xml:space="preserve">If so, the model will run a set of models using different G0 values (changing between 0.6 – 1.2 times of the modern value) to find the one that provide the best fit to the observed age data. </w:t>
      </w:r>
      <w:r w:rsidR="00920FF3">
        <w:rPr>
          <w:lang w:val="en-US"/>
        </w:rPr>
        <w:t xml:space="preserve">The other option is </w:t>
      </w:r>
      <w:r>
        <w:rPr>
          <w:lang w:val="en-US"/>
        </w:rPr>
        <w:t>to select ‘Manual’ in the drop-down window (the default option), and input a specific value.</w:t>
      </w:r>
    </w:p>
    <w:p w:rsidR="003F2F17" w:rsidRDefault="003F2F17" w:rsidP="003F2F17">
      <w:pPr>
        <w:ind w:firstLine="720"/>
        <w:rPr>
          <w:lang w:val="en-US"/>
        </w:rPr>
      </w:pPr>
      <w:r>
        <w:rPr>
          <w:lang w:val="en-US"/>
        </w:rPr>
        <w:t>Similar to the options for G0, the a priori exhumation rate (e0 +/- sigma0) can also be searched by the model, if selecting ‘Auto’ in the corresponding drop-down window. If so, the model will run a set of models using different G0 values (changing between 0.</w:t>
      </w:r>
      <w:r w:rsidR="00D47F37">
        <w:rPr>
          <w:lang w:val="en-US"/>
        </w:rPr>
        <w:t>3</w:t>
      </w:r>
      <w:r>
        <w:rPr>
          <w:lang w:val="en-US"/>
        </w:rPr>
        <w:t xml:space="preserve"> – 1.</w:t>
      </w:r>
      <w:r w:rsidR="00D47F37">
        <w:rPr>
          <w:lang w:val="en-US"/>
        </w:rPr>
        <w:t>5</w:t>
      </w:r>
      <w:r>
        <w:rPr>
          <w:lang w:val="en-US"/>
        </w:rPr>
        <w:t xml:space="preserve"> times of the value</w:t>
      </w:r>
      <w:r w:rsidR="00D47F37">
        <w:rPr>
          <w:lang w:val="en-US"/>
        </w:rPr>
        <w:t xml:space="preserve"> determined from the nominal closure temperature and modern geothermal gradient</w:t>
      </w:r>
      <w:r>
        <w:rPr>
          <w:lang w:val="en-US"/>
        </w:rPr>
        <w:t>) to find the one that provide the best fit to the observed age data</w:t>
      </w:r>
      <w:r w:rsidR="00D47F37">
        <w:rPr>
          <w:lang w:val="en-US"/>
        </w:rPr>
        <w:t xml:space="preserve"> and modern geothermal gradient</w:t>
      </w:r>
      <w:r>
        <w:rPr>
          <w:lang w:val="en-US"/>
        </w:rPr>
        <w:t>. The other option is to select ‘Manual’ in the drop-down window (the default option), and input a specific value.</w:t>
      </w:r>
    </w:p>
    <w:p w:rsidR="00D47F37" w:rsidRDefault="00D47F37" w:rsidP="003F2F17">
      <w:pPr>
        <w:ind w:firstLine="720"/>
        <w:rPr>
          <w:lang w:val="en-US"/>
        </w:rPr>
      </w:pPr>
      <w:r>
        <w:rPr>
          <w:lang w:val="en-US"/>
        </w:rPr>
        <w:t>In a similar manner, the mean elevation (m) and the corresponding temperature (</w:t>
      </w:r>
      <w:proofErr w:type="spellStart"/>
      <w:r>
        <w:rPr>
          <w:lang w:val="en-US"/>
        </w:rPr>
        <w:t>oC</w:t>
      </w:r>
      <w:proofErr w:type="spellEnd"/>
      <w:r>
        <w:rPr>
          <w:lang w:val="en-US"/>
        </w:rPr>
        <w:t xml:space="preserve">) can be either set as ‘Auto’ or ‘Manual’. If set as Auto, the mean elevation will be calculated as the mean of the DEM, and the </w:t>
      </w:r>
      <w:r w:rsidR="00F418AF" w:rsidRPr="00F418AF">
        <w:rPr>
          <w:lang w:val="en-US"/>
        </w:rPr>
        <w:t>Temperature at the mean elevation (</w:t>
      </w:r>
      <w:proofErr w:type="spellStart"/>
      <w:r w:rsidR="00F418AF" w:rsidRPr="00F418AF">
        <w:rPr>
          <w:lang w:val="en-US"/>
        </w:rPr>
        <w:t>oC</w:t>
      </w:r>
      <w:proofErr w:type="spellEnd"/>
      <w:r w:rsidR="00F418AF" w:rsidRPr="00F418AF">
        <w:rPr>
          <w:lang w:val="en-US"/>
        </w:rPr>
        <w:t>)</w:t>
      </w:r>
      <w:r w:rsidR="00F418AF">
        <w:rPr>
          <w:lang w:val="en-US"/>
        </w:rPr>
        <w:t xml:space="preserve"> will be calculated as 25-lapse_rate*</w:t>
      </w:r>
      <w:proofErr w:type="spellStart"/>
      <w:r w:rsidR="00F418AF">
        <w:rPr>
          <w:lang w:val="en-US"/>
        </w:rPr>
        <w:t>mean_elevation</w:t>
      </w:r>
      <w:proofErr w:type="spellEnd"/>
      <w:r w:rsidR="00F418AF">
        <w:rPr>
          <w:lang w:val="en-US"/>
        </w:rPr>
        <w:t xml:space="preserve">. Otherwise, manual inputs are required. </w:t>
      </w:r>
    </w:p>
    <w:p w:rsidR="00F418AF" w:rsidRDefault="00F418AF" w:rsidP="00F418AF">
      <w:pPr>
        <w:jc w:val="center"/>
        <w:rPr>
          <w:lang w:val="en-US"/>
        </w:rPr>
      </w:pPr>
      <w:r w:rsidRPr="00F418AF">
        <w:rPr>
          <w:noProof/>
          <w:lang w:val="en-US"/>
        </w:rPr>
        <w:drawing>
          <wp:inline distT="0" distB="0" distL="0" distR="0" wp14:anchorId="3D164CD1" wp14:editId="2A1B7188">
            <wp:extent cx="2646066" cy="2006600"/>
            <wp:effectExtent l="0" t="0" r="0" b="0"/>
            <wp:docPr id="19251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39431" name=""/>
                    <pic:cNvPicPr/>
                  </pic:nvPicPr>
                  <pic:blipFill>
                    <a:blip r:embed="rId6"/>
                    <a:stretch>
                      <a:fillRect/>
                    </a:stretch>
                  </pic:blipFill>
                  <pic:spPr>
                    <a:xfrm>
                      <a:off x="0" y="0"/>
                      <a:ext cx="2681009" cy="2033099"/>
                    </a:xfrm>
                    <a:prstGeom prst="rect">
                      <a:avLst/>
                    </a:prstGeom>
                  </pic:spPr>
                </pic:pic>
              </a:graphicData>
            </a:graphic>
          </wp:inline>
        </w:drawing>
      </w:r>
    </w:p>
    <w:p w:rsidR="00F418AF" w:rsidRDefault="00F418AF" w:rsidP="00F418AF">
      <w:pPr>
        <w:jc w:val="center"/>
        <w:rPr>
          <w:lang w:val="en-US"/>
        </w:rPr>
      </w:pPr>
      <w:r>
        <w:rPr>
          <w:lang w:val="en-US"/>
        </w:rPr>
        <w:t>Figure 2. Options for automatically and manually set up the initial geothermal gradient, the a priori exhumation rate, the mean elevation (m) and the corresponding surface temperature (</w:t>
      </w:r>
      <w:proofErr w:type="spellStart"/>
      <w:r>
        <w:rPr>
          <w:lang w:val="en-US"/>
        </w:rPr>
        <w:t>oC</w:t>
      </w:r>
      <w:proofErr w:type="spellEnd"/>
      <w:r>
        <w:rPr>
          <w:lang w:val="en-US"/>
        </w:rPr>
        <w:t>).</w:t>
      </w:r>
    </w:p>
    <w:p w:rsidR="00F418AF" w:rsidRDefault="00F418AF" w:rsidP="00F418AF">
      <w:pPr>
        <w:ind w:firstLine="720"/>
        <w:jc w:val="center"/>
        <w:rPr>
          <w:lang w:val="en-US"/>
        </w:rPr>
      </w:pPr>
    </w:p>
    <w:p w:rsidR="003F2F17" w:rsidRDefault="00F418AF" w:rsidP="00F418AF">
      <w:pPr>
        <w:pStyle w:val="ListParagraph"/>
        <w:numPr>
          <w:ilvl w:val="0"/>
          <w:numId w:val="1"/>
        </w:numPr>
        <w:rPr>
          <w:lang w:val="en-US"/>
        </w:rPr>
      </w:pPr>
      <w:r>
        <w:rPr>
          <w:lang w:val="en-US"/>
        </w:rPr>
        <w:t>Other setups</w:t>
      </w:r>
    </w:p>
    <w:p w:rsidR="00F418AF" w:rsidRDefault="00F418AF" w:rsidP="001B32B9">
      <w:pPr>
        <w:ind w:firstLine="720"/>
        <w:rPr>
          <w:lang w:val="en-US"/>
        </w:rPr>
      </w:pPr>
      <w:r>
        <w:rPr>
          <w:lang w:val="en-US"/>
        </w:rPr>
        <w:t xml:space="preserve">Other setups are </w:t>
      </w:r>
      <w:r w:rsidR="001B32B9">
        <w:rPr>
          <w:lang w:val="en-US"/>
        </w:rPr>
        <w:t>straightforward</w:t>
      </w:r>
      <w:r>
        <w:rPr>
          <w:lang w:val="en-US"/>
        </w:rPr>
        <w:t>.</w:t>
      </w:r>
      <w:r w:rsidR="001B32B9">
        <w:rPr>
          <w:lang w:val="en-US"/>
        </w:rPr>
        <w:t xml:space="preserve"> ‘</w:t>
      </w:r>
      <w:r w:rsidR="001B32B9" w:rsidRPr="001B32B9">
        <w:rPr>
          <w:lang w:val="en-US"/>
        </w:rPr>
        <w:t>Model block thickness (km)</w:t>
      </w:r>
      <w:r w:rsidR="001B32B9">
        <w:rPr>
          <w:lang w:val="en-US"/>
        </w:rPr>
        <w:t>’ is the thickness of the model block, where the closure depths will be determined. The ‘</w:t>
      </w:r>
      <w:r w:rsidR="001B32B9" w:rsidRPr="001B32B9">
        <w:rPr>
          <w:lang w:val="en-US"/>
        </w:rPr>
        <w:t>Depth interval (</w:t>
      </w:r>
      <w:proofErr w:type="spellStart"/>
      <w:r w:rsidR="001B32B9" w:rsidRPr="001B32B9">
        <w:rPr>
          <w:lang w:val="en-US"/>
        </w:rPr>
        <w:t>dz</w:t>
      </w:r>
      <w:proofErr w:type="spellEnd"/>
      <w:r w:rsidR="001B32B9" w:rsidRPr="001B32B9">
        <w:rPr>
          <w:lang w:val="en-US"/>
        </w:rPr>
        <w:t>)</w:t>
      </w:r>
      <w:r w:rsidR="001B32B9">
        <w:rPr>
          <w:lang w:val="en-US"/>
        </w:rPr>
        <w:t xml:space="preserve">’ is used for numerically calculating the 1D geothermal field. A smaller value (&lt;1 km) provides a better model precision, but will significantly influence the speed of the modeling. A value between 0.2 – 1.0 </w:t>
      </w:r>
      <w:r w:rsidR="00A03289">
        <w:rPr>
          <w:lang w:val="en-US"/>
        </w:rPr>
        <w:t xml:space="preserve">is </w:t>
      </w:r>
      <w:r w:rsidR="001B32B9">
        <w:rPr>
          <w:lang w:val="en-US"/>
        </w:rPr>
        <w:t>reasonable</w:t>
      </w:r>
      <w:r w:rsidR="00A03289">
        <w:rPr>
          <w:lang w:val="en-US"/>
        </w:rPr>
        <w:t>, in terms of model speed and precision</w:t>
      </w:r>
      <w:r w:rsidR="001B32B9">
        <w:rPr>
          <w:lang w:val="en-US"/>
        </w:rPr>
        <w:t>.</w:t>
      </w:r>
    </w:p>
    <w:p w:rsidR="00A03289" w:rsidRDefault="00A03289" w:rsidP="001B32B9">
      <w:pPr>
        <w:ind w:firstLine="720"/>
        <w:rPr>
          <w:lang w:val="en-US"/>
        </w:rPr>
      </w:pPr>
      <w:r>
        <w:rPr>
          <w:lang w:val="en-US"/>
        </w:rPr>
        <w:t>‘</w:t>
      </w:r>
      <w:r w:rsidRPr="00A03289">
        <w:rPr>
          <w:lang w:val="en-US"/>
        </w:rPr>
        <w:t>Model starting time (Ma</w:t>
      </w:r>
      <w:r>
        <w:rPr>
          <w:lang w:val="en-US"/>
        </w:rPr>
        <w:t xml:space="preserve">)’ is the onset time for determining the exhumation history, with a specific ‘time </w:t>
      </w:r>
      <w:proofErr w:type="spellStart"/>
      <w:r>
        <w:rPr>
          <w:lang w:val="en-US"/>
        </w:rPr>
        <w:t>inverval</w:t>
      </w:r>
      <w:proofErr w:type="spellEnd"/>
      <w:r>
        <w:rPr>
          <w:lang w:val="en-US"/>
        </w:rPr>
        <w:t xml:space="preserve"> size (Ma)’.</w:t>
      </w:r>
    </w:p>
    <w:p w:rsidR="00A03289" w:rsidRDefault="00122E3F" w:rsidP="001B32B9">
      <w:pPr>
        <w:ind w:firstLine="720"/>
        <w:rPr>
          <w:rFonts w:ascii="Times New Roman" w:hAnsi="Times New Roman" w:cs="Times New Roman"/>
        </w:rPr>
      </w:pPr>
      <w:r>
        <w:rPr>
          <w:rFonts w:ascii="Times New Roman" w:hAnsi="Times New Roman" w:cs="Times New Roman"/>
          <w:lang w:val="en-US"/>
        </w:rPr>
        <w:t>T</w:t>
      </w:r>
      <w:r w:rsidRPr="006F4939">
        <w:rPr>
          <w:rFonts w:ascii="Times New Roman" w:hAnsi="Times New Roman" w:cs="Times New Roman"/>
        </w:rPr>
        <w:t xml:space="preserve">he closure depth is a non-linear function of rock cooling and exhumation. Therefore, the problem of interest is non-linear, which can be addressed by iterative numerical modelling methods. In this work, the solution of exhumation is approximated by coupling and iterating the linear inversion and closure depth modeling. As shown in </w:t>
      </w:r>
      <w:r w:rsidRPr="006F4939">
        <w:rPr>
          <w:rFonts w:ascii="Times New Roman" w:hAnsi="Times New Roman" w:cs="Times New Roman"/>
        </w:rPr>
        <w:fldChar w:fldCharType="begin"/>
      </w:r>
      <w:r w:rsidRPr="006F4939">
        <w:rPr>
          <w:rFonts w:ascii="Times New Roman" w:hAnsi="Times New Roman" w:cs="Times New Roman"/>
        </w:rPr>
        <w:instrText xml:space="preserve"> ADDIN EN.CITE &lt;EndNote&gt;&lt;Cite AuthorYear="1"&gt;&lt;Author&gt;Tarantola&lt;/Author&gt;&lt;Year&gt;2005&lt;/Year&gt;&lt;RecNum&gt;1757&lt;/RecNum&gt;&lt;DisplayText&gt;Tarantola (2005)&lt;/DisplayText&gt;&lt;record&gt;&lt;rec-number&gt;1757&lt;/rec-number&gt;&lt;foreign-keys&gt;&lt;key app="EN" db-id="wzrfsf5trv2958edex5xszsnazzdsadzt5xs" timestamp="1670850176"&gt;1757&lt;/key&gt;&lt;/foreign-keys&gt;&lt;ref-type name="Book"&gt;6&lt;/ref-type&gt;&lt;contributors&gt;&lt;authors&gt;&lt;author&gt;Tarantola, Albert&lt;/author&gt;&lt;/authors&gt;&lt;/contributors&gt;&lt;titles&gt;&lt;title&gt;Inverse Problem Theory and Methods for Model Parameter Estimation&lt;/title&gt;&lt;/titles&gt;&lt;section&gt;358&lt;/section&gt;&lt;dates&gt;&lt;year&gt;2005&lt;/year&gt;&lt;/dates&gt;&lt;pub-location&gt;Philadelphia&lt;/pub-location&gt;&lt;publisher&gt;SIAM&lt;/publisher&gt;&lt;urls&gt;&lt;/urls&gt;&lt;/record&gt;&lt;/Cite&gt;&lt;/EndNote&gt;</w:instrText>
      </w:r>
      <w:r w:rsidRPr="006F4939">
        <w:rPr>
          <w:rFonts w:ascii="Times New Roman" w:hAnsi="Times New Roman" w:cs="Times New Roman"/>
        </w:rPr>
        <w:fldChar w:fldCharType="separate"/>
      </w:r>
      <w:r w:rsidRPr="006F4939">
        <w:rPr>
          <w:rFonts w:ascii="Times New Roman" w:hAnsi="Times New Roman" w:cs="Times New Roman"/>
        </w:rPr>
        <w:t>Tarantola (2005)</w:t>
      </w:r>
      <w:r w:rsidRPr="006F4939">
        <w:rPr>
          <w:rFonts w:ascii="Times New Roman" w:hAnsi="Times New Roman" w:cs="Times New Roman"/>
        </w:rPr>
        <w:fldChar w:fldCharType="end"/>
      </w:r>
      <w:r w:rsidRPr="006F4939">
        <w:rPr>
          <w:rFonts w:ascii="Times New Roman" w:hAnsi="Times New Roman" w:cs="Times New Roman"/>
        </w:rPr>
        <w:t xml:space="preserve"> and Fox et al. (2014), the algorithm converges in a few</w:t>
      </w:r>
      <w:r>
        <w:rPr>
          <w:rFonts w:ascii="Times New Roman" w:hAnsi="Times New Roman" w:cs="Times New Roman"/>
          <w:lang w:val="en-US"/>
        </w:rPr>
        <w:t xml:space="preserve"> (3-5)</w:t>
      </w:r>
      <w:r w:rsidRPr="006F4939">
        <w:rPr>
          <w:rFonts w:ascii="Times New Roman" w:hAnsi="Times New Roman" w:cs="Times New Roman"/>
        </w:rPr>
        <w:t xml:space="preserve"> iterations</w:t>
      </w:r>
      <w:r>
        <w:rPr>
          <w:rFonts w:ascii="Times New Roman" w:hAnsi="Times New Roman" w:cs="Times New Roman"/>
          <w:lang w:val="en-US"/>
        </w:rPr>
        <w:t xml:space="preserve"> </w:t>
      </w:r>
      <w:r w:rsidRPr="006F4939">
        <w:rPr>
          <w:rFonts w:ascii="Times New Roman" w:hAnsi="Times New Roman" w:cs="Times New Roman"/>
        </w:rPr>
        <w:t>and produces stable outputs.</w:t>
      </w:r>
    </w:p>
    <w:p w:rsidR="00122E3F" w:rsidRDefault="00FD630E" w:rsidP="001B32B9">
      <w:pPr>
        <w:ind w:firstLine="720"/>
        <w:rPr>
          <w:rFonts w:ascii="Times New Roman" w:hAnsi="Times New Roman" w:cs="Times New Roman"/>
          <w:lang w:val="en-US"/>
        </w:rPr>
      </w:pPr>
      <w:r>
        <w:rPr>
          <w:rFonts w:ascii="Times New Roman" w:hAnsi="Times New Roman" w:cs="Times New Roman"/>
          <w:lang w:val="en-US"/>
        </w:rPr>
        <w:t>Atmospheric ‘</w:t>
      </w:r>
      <w:r w:rsidR="00122E3F">
        <w:rPr>
          <w:rFonts w:ascii="Times New Roman" w:hAnsi="Times New Roman" w:cs="Times New Roman"/>
          <w:lang w:val="en-US"/>
        </w:rPr>
        <w:t>Lapse</w:t>
      </w:r>
      <w:r>
        <w:rPr>
          <w:rFonts w:ascii="Times New Roman" w:hAnsi="Times New Roman" w:cs="Times New Roman"/>
          <w:lang w:val="en-US"/>
        </w:rPr>
        <w:t xml:space="preserve"> rate’ and </w:t>
      </w:r>
      <w:r w:rsidR="000C69CA">
        <w:rPr>
          <w:rFonts w:ascii="Times New Roman" w:hAnsi="Times New Roman" w:cs="Times New Roman"/>
          <w:lang w:val="en-US"/>
        </w:rPr>
        <w:t>‘</w:t>
      </w:r>
      <w:r w:rsidR="000C69CA" w:rsidRPr="000C69CA">
        <w:rPr>
          <w:rFonts w:ascii="Times New Roman" w:hAnsi="Times New Roman" w:cs="Times New Roman"/>
          <w:lang w:val="en-US"/>
        </w:rPr>
        <w:t>Thermal diffusivity (km2/</w:t>
      </w:r>
      <w:proofErr w:type="spellStart"/>
      <w:r w:rsidR="000C69CA" w:rsidRPr="000C69CA">
        <w:rPr>
          <w:rFonts w:ascii="Times New Roman" w:hAnsi="Times New Roman" w:cs="Times New Roman"/>
          <w:lang w:val="en-US"/>
        </w:rPr>
        <w:t>Myr</w:t>
      </w:r>
      <w:proofErr w:type="spellEnd"/>
      <w:r w:rsidR="000C69CA" w:rsidRPr="000C69CA">
        <w:rPr>
          <w:rFonts w:ascii="Times New Roman" w:hAnsi="Times New Roman" w:cs="Times New Roman"/>
          <w:lang w:val="en-US"/>
        </w:rPr>
        <w:t>)</w:t>
      </w:r>
      <w:r w:rsidR="000C69CA">
        <w:rPr>
          <w:rFonts w:ascii="Times New Roman" w:hAnsi="Times New Roman" w:cs="Times New Roman"/>
          <w:lang w:val="en-US"/>
        </w:rPr>
        <w:t xml:space="preserve">’ of the model block are </w:t>
      </w:r>
      <w:r w:rsidR="000077BC">
        <w:rPr>
          <w:rFonts w:ascii="Times New Roman" w:hAnsi="Times New Roman" w:cs="Times New Roman"/>
          <w:lang w:val="en-US"/>
        </w:rPr>
        <w:t xml:space="preserve">common parameters for modeling the geothermal field. </w:t>
      </w:r>
    </w:p>
    <w:p w:rsidR="000077BC" w:rsidRDefault="000077BC" w:rsidP="001B32B9">
      <w:pPr>
        <w:ind w:firstLine="720"/>
        <w:rPr>
          <w:rFonts w:ascii="Times New Roman" w:hAnsi="Times New Roman" w:cs="Times New Roman"/>
          <w:lang w:val="en-US"/>
        </w:rPr>
      </w:pPr>
    </w:p>
    <w:p w:rsidR="000077BC" w:rsidRDefault="000077BC" w:rsidP="00400EAE">
      <w:pPr>
        <w:pStyle w:val="ListParagraph"/>
        <w:numPr>
          <w:ilvl w:val="0"/>
          <w:numId w:val="1"/>
        </w:numPr>
        <w:rPr>
          <w:rFonts w:ascii="Times New Roman" w:hAnsi="Times New Roman" w:cs="Times New Roman"/>
          <w:lang w:val="en-US"/>
        </w:rPr>
      </w:pPr>
      <w:r>
        <w:rPr>
          <w:rFonts w:ascii="Times New Roman" w:hAnsi="Times New Roman" w:cs="Times New Roman"/>
          <w:lang w:val="en-US"/>
        </w:rPr>
        <w:t>Run the model by clicking “</w:t>
      </w:r>
      <w:r w:rsidRPr="000077BC">
        <w:rPr>
          <w:rFonts w:ascii="Times New Roman" w:hAnsi="Times New Roman" w:cs="Times New Roman"/>
          <w:lang w:val="en-US"/>
        </w:rPr>
        <w:t>Click to RUN the model</w:t>
      </w:r>
      <w:r>
        <w:rPr>
          <w:rFonts w:ascii="Times New Roman" w:hAnsi="Times New Roman" w:cs="Times New Roman"/>
          <w:lang w:val="en-US"/>
        </w:rPr>
        <w:t>”</w:t>
      </w:r>
    </w:p>
    <w:p w:rsidR="006465C2" w:rsidRPr="000077BC" w:rsidRDefault="006465C2" w:rsidP="006465C2">
      <w:pPr>
        <w:pStyle w:val="ListParagraph"/>
        <w:ind w:left="1080"/>
        <w:rPr>
          <w:rFonts w:ascii="Times New Roman" w:hAnsi="Times New Roman" w:cs="Times New Roman"/>
          <w:lang w:val="en-US"/>
        </w:rPr>
      </w:pPr>
    </w:p>
    <w:p w:rsidR="00400EAE" w:rsidRDefault="000077BC" w:rsidP="00400EAE">
      <w:pPr>
        <w:pStyle w:val="ListParagraph"/>
        <w:numPr>
          <w:ilvl w:val="0"/>
          <w:numId w:val="1"/>
        </w:numPr>
        <w:rPr>
          <w:lang w:val="en-US"/>
        </w:rPr>
      </w:pPr>
      <w:r>
        <w:rPr>
          <w:lang w:val="en-US"/>
        </w:rPr>
        <w:t>Any previous plot can be closed by clicking “</w:t>
      </w:r>
      <w:r w:rsidRPr="000077BC">
        <w:rPr>
          <w:lang w:val="en-US"/>
        </w:rPr>
        <w:t>Close all previous plots</w:t>
      </w:r>
      <w:r>
        <w:rPr>
          <w:lang w:val="en-US"/>
        </w:rPr>
        <w:t>”</w:t>
      </w:r>
    </w:p>
    <w:p w:rsidR="00400EAE" w:rsidRPr="00400EAE" w:rsidRDefault="00400EAE" w:rsidP="00400EAE">
      <w:pPr>
        <w:pStyle w:val="ListParagraph"/>
        <w:rPr>
          <w:lang w:val="en-US"/>
        </w:rPr>
      </w:pPr>
    </w:p>
    <w:p w:rsidR="00C53710" w:rsidRPr="00400EAE" w:rsidRDefault="000077BC" w:rsidP="00400EAE">
      <w:pPr>
        <w:pStyle w:val="ListParagraph"/>
        <w:numPr>
          <w:ilvl w:val="0"/>
          <w:numId w:val="1"/>
        </w:numPr>
        <w:ind w:left="0" w:firstLine="720"/>
        <w:rPr>
          <w:lang w:val="en-US"/>
        </w:rPr>
      </w:pPr>
      <w:r w:rsidRPr="00400EAE">
        <w:rPr>
          <w:lang w:val="en-US"/>
        </w:rPr>
        <w:t xml:space="preserve">After running the model, the results can be displayed by clicking “Plot </w:t>
      </w:r>
      <w:proofErr w:type="gramStart"/>
      <w:r w:rsidRPr="00400EAE">
        <w:rPr>
          <w:lang w:val="en-US"/>
        </w:rPr>
        <w:t xml:space="preserve">the </w:t>
      </w:r>
      <w:r w:rsidRPr="00400EAE">
        <w:rPr>
          <w:i/>
          <w:iCs/>
          <w:lang w:val="en-US"/>
        </w:rPr>
        <w:t>a</w:t>
      </w:r>
      <w:proofErr w:type="gramEnd"/>
      <w:r w:rsidRPr="00400EAE">
        <w:rPr>
          <w:i/>
          <w:iCs/>
          <w:lang w:val="en-US"/>
        </w:rPr>
        <w:t xml:space="preserve"> posterior </w:t>
      </w:r>
      <w:r w:rsidRPr="00400EAE">
        <w:rPr>
          <w:lang w:val="en-US"/>
        </w:rPr>
        <w:t xml:space="preserve">results”, which will generate a set of subplots showing the comparison of ages, exhumation history, </w:t>
      </w:r>
      <w:r w:rsidR="00DB3C71" w:rsidRPr="00400EAE">
        <w:rPr>
          <w:lang w:val="en-US"/>
        </w:rPr>
        <w:t xml:space="preserve">model resolution and correlations. </w:t>
      </w:r>
      <w:r w:rsidR="00C53710" w:rsidRPr="00400EAE">
        <w:rPr>
          <w:lang w:val="en-US"/>
        </w:rPr>
        <w:t xml:space="preserve">If the initial geothermal gradient (G0) and the a priori exhumation rate were set as “Auto”, multiple models will be run. But the figure generated by “Plot </w:t>
      </w:r>
      <w:proofErr w:type="gramStart"/>
      <w:r w:rsidR="00C53710" w:rsidRPr="00400EAE">
        <w:rPr>
          <w:lang w:val="en-US"/>
        </w:rPr>
        <w:t xml:space="preserve">the </w:t>
      </w:r>
      <w:r w:rsidR="00C53710" w:rsidRPr="00400EAE">
        <w:rPr>
          <w:i/>
          <w:iCs/>
          <w:lang w:val="en-US"/>
        </w:rPr>
        <w:t>a</w:t>
      </w:r>
      <w:proofErr w:type="gramEnd"/>
      <w:r w:rsidR="00C53710" w:rsidRPr="00400EAE">
        <w:rPr>
          <w:i/>
          <w:iCs/>
          <w:lang w:val="en-US"/>
        </w:rPr>
        <w:t xml:space="preserve"> posterior</w:t>
      </w:r>
      <w:r w:rsidR="00C53710" w:rsidRPr="00400EAE">
        <w:rPr>
          <w:lang w:val="en-US"/>
        </w:rPr>
        <w:t xml:space="preserve"> results” </w:t>
      </w:r>
      <w:r w:rsidR="00E30571" w:rsidRPr="00400EAE">
        <w:rPr>
          <w:lang w:val="en-US"/>
        </w:rPr>
        <w:t xml:space="preserve">would only plot the one that provide the best fit to the observed ages and modern geothermal gradient. </w:t>
      </w:r>
    </w:p>
    <w:p w:rsidR="006465C2" w:rsidRPr="006465C2" w:rsidRDefault="006465C2" w:rsidP="006465C2">
      <w:pPr>
        <w:ind w:firstLine="709"/>
        <w:rPr>
          <w:lang w:val="en-US"/>
        </w:rPr>
      </w:pPr>
    </w:p>
    <w:p w:rsidR="00BB6411" w:rsidRDefault="00BB6411" w:rsidP="006465C2">
      <w:pPr>
        <w:pStyle w:val="ListParagraph"/>
        <w:numPr>
          <w:ilvl w:val="0"/>
          <w:numId w:val="1"/>
        </w:numPr>
        <w:ind w:left="0" w:firstLine="709"/>
        <w:rPr>
          <w:lang w:val="en-US"/>
        </w:rPr>
      </w:pPr>
      <w:r>
        <w:rPr>
          <w:lang w:val="en-US"/>
        </w:rPr>
        <w:t>After plotting, the figure can be exported as vector (.pdf, .eps) and bitmap (.jpg, .</w:t>
      </w:r>
      <w:proofErr w:type="spellStart"/>
      <w:r>
        <w:rPr>
          <w:lang w:val="en-US"/>
        </w:rPr>
        <w:t>png</w:t>
      </w:r>
      <w:proofErr w:type="spellEnd"/>
      <w:r>
        <w:rPr>
          <w:lang w:val="en-US"/>
        </w:rPr>
        <w:t>) files</w:t>
      </w:r>
      <w:r w:rsidR="009D3646">
        <w:rPr>
          <w:lang w:val="en-US"/>
        </w:rPr>
        <w:t xml:space="preserve"> by clicking ‘File’ and then ‘Save as’ from the top line of the plot window</w:t>
      </w:r>
      <w:r>
        <w:rPr>
          <w:lang w:val="en-US"/>
        </w:rPr>
        <w:t xml:space="preserve">. </w:t>
      </w:r>
    </w:p>
    <w:p w:rsidR="006465C2" w:rsidRDefault="006465C2" w:rsidP="006465C2">
      <w:pPr>
        <w:pStyle w:val="ListParagraph"/>
        <w:ind w:firstLine="709"/>
        <w:rPr>
          <w:lang w:val="en-US"/>
        </w:rPr>
      </w:pPr>
    </w:p>
    <w:p w:rsidR="006465C2" w:rsidRDefault="006465C2" w:rsidP="006465C2">
      <w:pPr>
        <w:pStyle w:val="ListParagraph"/>
        <w:numPr>
          <w:ilvl w:val="0"/>
          <w:numId w:val="1"/>
        </w:numPr>
        <w:ind w:left="0" w:firstLine="709"/>
        <w:rPr>
          <w:lang w:val="en-US"/>
        </w:rPr>
      </w:pPr>
      <w:r>
        <w:rPr>
          <w:lang w:val="en-US"/>
        </w:rPr>
        <w:t xml:space="preserve">Exiting the app by close the app window. </w:t>
      </w:r>
    </w:p>
    <w:p w:rsidR="00685D39" w:rsidRPr="00685D39" w:rsidRDefault="00685D39" w:rsidP="00685D39">
      <w:pPr>
        <w:rPr>
          <w:lang w:val="en-US"/>
        </w:rPr>
      </w:pPr>
    </w:p>
    <w:p w:rsidR="00E30852" w:rsidRDefault="00C34ED0" w:rsidP="00C34ED0">
      <w:pPr>
        <w:jc w:val="center"/>
        <w:rPr>
          <w:lang w:val="en-US"/>
        </w:rPr>
      </w:pPr>
      <w:r w:rsidRPr="00C34ED0">
        <w:rPr>
          <w:noProof/>
          <w:lang w:val="en-US"/>
        </w:rPr>
        <w:lastRenderedPageBreak/>
        <w:drawing>
          <wp:inline distT="0" distB="0" distL="0" distR="0" wp14:anchorId="1ACC24FE" wp14:editId="2279F1A6">
            <wp:extent cx="3547533" cy="4838959"/>
            <wp:effectExtent l="0" t="0" r="0" b="0"/>
            <wp:docPr id="1668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109" name=""/>
                    <pic:cNvPicPr/>
                  </pic:nvPicPr>
                  <pic:blipFill>
                    <a:blip r:embed="rId7"/>
                    <a:stretch>
                      <a:fillRect/>
                    </a:stretch>
                  </pic:blipFill>
                  <pic:spPr>
                    <a:xfrm>
                      <a:off x="0" y="0"/>
                      <a:ext cx="3568191" cy="4867138"/>
                    </a:xfrm>
                    <a:prstGeom prst="rect">
                      <a:avLst/>
                    </a:prstGeom>
                  </pic:spPr>
                </pic:pic>
              </a:graphicData>
            </a:graphic>
          </wp:inline>
        </w:drawing>
      </w:r>
    </w:p>
    <w:p w:rsidR="00C53710" w:rsidRPr="00E30852" w:rsidRDefault="00C53710" w:rsidP="00C34ED0">
      <w:pPr>
        <w:jc w:val="center"/>
        <w:rPr>
          <w:lang w:val="en-US"/>
        </w:rPr>
      </w:pPr>
      <w:r>
        <w:rPr>
          <w:lang w:val="en-US"/>
        </w:rPr>
        <w:t xml:space="preserve">Figure 3. </w:t>
      </w:r>
      <w:r w:rsidR="00C34ED0">
        <w:rPr>
          <w:lang w:val="en-US"/>
        </w:rPr>
        <w:t xml:space="preserve">A screen shot of subplots of </w:t>
      </w:r>
      <w:r>
        <w:rPr>
          <w:rFonts w:hint="eastAsia"/>
          <w:lang w:val="en-US"/>
        </w:rPr>
        <w:t>m</w:t>
      </w:r>
      <w:r>
        <w:rPr>
          <w:lang w:val="en-US"/>
        </w:rPr>
        <w:t>odel outputs.</w:t>
      </w:r>
      <w:r w:rsidR="001607E5" w:rsidRPr="001607E5">
        <w:rPr>
          <w:rFonts w:ascii="Times New Roman" w:hAnsi="Times New Roman" w:cs="Times New Roman"/>
        </w:rPr>
        <w:t xml:space="preserve"> </w:t>
      </w:r>
      <w:r w:rsidR="001607E5">
        <w:rPr>
          <w:rFonts w:ascii="Times New Roman" w:hAnsi="Times New Roman" w:cs="Times New Roman"/>
          <w:lang w:val="en-US"/>
        </w:rPr>
        <w:t>Upper left</w:t>
      </w:r>
      <w:r w:rsidR="001607E5">
        <w:rPr>
          <w:rFonts w:ascii="Times New Roman" w:hAnsi="Times New Roman" w:cs="Times New Roman"/>
        </w:rPr>
        <w:t xml:space="preserve">: Comparison between the observed (in black) and predicted (in blue) AER. </w:t>
      </w:r>
      <w:r w:rsidR="00853260">
        <w:rPr>
          <w:rFonts w:ascii="Times New Roman" w:hAnsi="Times New Roman" w:cs="Times New Roman"/>
          <w:lang w:val="en-US"/>
        </w:rPr>
        <w:t>Upper right</w:t>
      </w:r>
      <w:r w:rsidR="001607E5">
        <w:rPr>
          <w:rFonts w:ascii="Times New Roman" w:hAnsi="Times New Roman" w:cs="Times New Roman"/>
        </w:rPr>
        <w:t xml:space="preserve">: plots of observed and modeled ages. </w:t>
      </w:r>
      <w:r w:rsidR="00853260">
        <w:rPr>
          <w:rFonts w:ascii="Times New Roman" w:hAnsi="Times New Roman" w:cs="Times New Roman"/>
          <w:lang w:val="en-US"/>
        </w:rPr>
        <w:t>Middle left</w:t>
      </w:r>
      <w:r w:rsidR="001607E5">
        <w:rPr>
          <w:rFonts w:ascii="Times New Roman" w:hAnsi="Times New Roman" w:cs="Times New Roman"/>
        </w:rPr>
        <w:t xml:space="preserve">:  Histories of exhumation and geothermal gradients. The blue thick and thin lines are the mean and one standard deviation of the inverted exhumation history. The red dash and solid lines are the history of the geothermal gradients, predicted by the </w:t>
      </w:r>
      <w:r w:rsidR="001607E5">
        <w:rPr>
          <w:rFonts w:ascii="Times New Roman" w:hAnsi="Times New Roman" w:cs="Times New Roman"/>
          <w:i/>
          <w:iCs/>
        </w:rPr>
        <w:t>a priori</w:t>
      </w:r>
      <w:r w:rsidR="001607E5">
        <w:rPr>
          <w:rFonts w:ascii="Times New Roman" w:hAnsi="Times New Roman" w:cs="Times New Roman"/>
        </w:rPr>
        <w:t xml:space="preserve"> and </w:t>
      </w:r>
      <w:r w:rsidR="001607E5">
        <w:rPr>
          <w:rFonts w:ascii="Times New Roman" w:hAnsi="Times New Roman" w:cs="Times New Roman"/>
          <w:i/>
        </w:rPr>
        <w:t>a posterior</w:t>
      </w:r>
      <w:r w:rsidR="001607E5">
        <w:rPr>
          <w:rFonts w:ascii="Times New Roman" w:hAnsi="Times New Roman" w:cs="Times New Roman"/>
        </w:rPr>
        <w:t xml:space="preserve"> models, respectively. </w:t>
      </w:r>
      <w:r w:rsidR="00853260">
        <w:rPr>
          <w:rFonts w:ascii="Times New Roman" w:hAnsi="Times New Roman" w:cs="Times New Roman"/>
          <w:lang w:val="en-US"/>
        </w:rPr>
        <w:t>Middle right and lower left</w:t>
      </w:r>
      <w:r w:rsidR="001607E5">
        <w:rPr>
          <w:rFonts w:ascii="Times New Roman" w:hAnsi="Times New Roman" w:cs="Times New Roman"/>
        </w:rPr>
        <w:t>: Plots of the resolution and correlation matrix.</w:t>
      </w:r>
    </w:p>
    <w:sectPr w:rsidR="00C53710" w:rsidRPr="00E30852" w:rsidSect="000E06D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0158"/>
    <w:multiLevelType w:val="hybridMultilevel"/>
    <w:tmpl w:val="A334841C"/>
    <w:lvl w:ilvl="0" w:tplc="B6E03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31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4C"/>
    <w:rsid w:val="000077BC"/>
    <w:rsid w:val="00014682"/>
    <w:rsid w:val="00015EFD"/>
    <w:rsid w:val="00055302"/>
    <w:rsid w:val="00055DFC"/>
    <w:rsid w:val="0008504E"/>
    <w:rsid w:val="0009718D"/>
    <w:rsid w:val="000A39C3"/>
    <w:rsid w:val="000A421E"/>
    <w:rsid w:val="000B55A7"/>
    <w:rsid w:val="000B70EE"/>
    <w:rsid w:val="000C0225"/>
    <w:rsid w:val="000C69CA"/>
    <w:rsid w:val="000D1E18"/>
    <w:rsid w:val="000D66B6"/>
    <w:rsid w:val="000E06D5"/>
    <w:rsid w:val="000F49CA"/>
    <w:rsid w:val="000F7605"/>
    <w:rsid w:val="0010500D"/>
    <w:rsid w:val="00122E3F"/>
    <w:rsid w:val="00131506"/>
    <w:rsid w:val="001607E5"/>
    <w:rsid w:val="001935BB"/>
    <w:rsid w:val="0019388C"/>
    <w:rsid w:val="001B32B9"/>
    <w:rsid w:val="001C0741"/>
    <w:rsid w:val="00220010"/>
    <w:rsid w:val="00241365"/>
    <w:rsid w:val="00244395"/>
    <w:rsid w:val="002444E9"/>
    <w:rsid w:val="00253D07"/>
    <w:rsid w:val="00262548"/>
    <w:rsid w:val="00284A1F"/>
    <w:rsid w:val="00286B4C"/>
    <w:rsid w:val="002A02DD"/>
    <w:rsid w:val="002D15FE"/>
    <w:rsid w:val="00347268"/>
    <w:rsid w:val="003800B5"/>
    <w:rsid w:val="003834B3"/>
    <w:rsid w:val="003A3A9A"/>
    <w:rsid w:val="003B12CC"/>
    <w:rsid w:val="003B211E"/>
    <w:rsid w:val="003B650C"/>
    <w:rsid w:val="003C2497"/>
    <w:rsid w:val="003C3FCE"/>
    <w:rsid w:val="003F2F17"/>
    <w:rsid w:val="003F5FEF"/>
    <w:rsid w:val="00400EAE"/>
    <w:rsid w:val="00413257"/>
    <w:rsid w:val="00423E80"/>
    <w:rsid w:val="00426E4C"/>
    <w:rsid w:val="00435B6A"/>
    <w:rsid w:val="0048379F"/>
    <w:rsid w:val="004901A0"/>
    <w:rsid w:val="00490836"/>
    <w:rsid w:val="00494B69"/>
    <w:rsid w:val="0050186D"/>
    <w:rsid w:val="005160B1"/>
    <w:rsid w:val="00543E2F"/>
    <w:rsid w:val="00547CB6"/>
    <w:rsid w:val="0056052C"/>
    <w:rsid w:val="00580D07"/>
    <w:rsid w:val="005B0EC1"/>
    <w:rsid w:val="005B1812"/>
    <w:rsid w:val="005C3F85"/>
    <w:rsid w:val="00622545"/>
    <w:rsid w:val="006465C2"/>
    <w:rsid w:val="00666EB7"/>
    <w:rsid w:val="0066782D"/>
    <w:rsid w:val="0068461D"/>
    <w:rsid w:val="00685D39"/>
    <w:rsid w:val="006A2F7F"/>
    <w:rsid w:val="006A3B76"/>
    <w:rsid w:val="006B1057"/>
    <w:rsid w:val="006C33F3"/>
    <w:rsid w:val="00703435"/>
    <w:rsid w:val="007278E1"/>
    <w:rsid w:val="00733943"/>
    <w:rsid w:val="00741884"/>
    <w:rsid w:val="00750B2B"/>
    <w:rsid w:val="007614BE"/>
    <w:rsid w:val="00765998"/>
    <w:rsid w:val="00775A67"/>
    <w:rsid w:val="00781268"/>
    <w:rsid w:val="00792BBA"/>
    <w:rsid w:val="007A7552"/>
    <w:rsid w:val="007D7CC4"/>
    <w:rsid w:val="007F1F16"/>
    <w:rsid w:val="008329A8"/>
    <w:rsid w:val="00840E80"/>
    <w:rsid w:val="008472B8"/>
    <w:rsid w:val="00853260"/>
    <w:rsid w:val="008A4000"/>
    <w:rsid w:val="008D382E"/>
    <w:rsid w:val="008D425C"/>
    <w:rsid w:val="00900D08"/>
    <w:rsid w:val="00920FF3"/>
    <w:rsid w:val="0095223D"/>
    <w:rsid w:val="0096495E"/>
    <w:rsid w:val="0097001B"/>
    <w:rsid w:val="00984BA3"/>
    <w:rsid w:val="009858D0"/>
    <w:rsid w:val="009A5698"/>
    <w:rsid w:val="009A7183"/>
    <w:rsid w:val="009D3646"/>
    <w:rsid w:val="00A03289"/>
    <w:rsid w:val="00A04AE0"/>
    <w:rsid w:val="00A25FCB"/>
    <w:rsid w:val="00A31D08"/>
    <w:rsid w:val="00A65D94"/>
    <w:rsid w:val="00A67E5C"/>
    <w:rsid w:val="00A92370"/>
    <w:rsid w:val="00AA096F"/>
    <w:rsid w:val="00AA656A"/>
    <w:rsid w:val="00AD1D84"/>
    <w:rsid w:val="00AD5F51"/>
    <w:rsid w:val="00AE11B7"/>
    <w:rsid w:val="00AE5D98"/>
    <w:rsid w:val="00B02218"/>
    <w:rsid w:val="00B03865"/>
    <w:rsid w:val="00B052D5"/>
    <w:rsid w:val="00BB6411"/>
    <w:rsid w:val="00BD0D33"/>
    <w:rsid w:val="00BD1482"/>
    <w:rsid w:val="00C11C90"/>
    <w:rsid w:val="00C16DC6"/>
    <w:rsid w:val="00C34ED0"/>
    <w:rsid w:val="00C53710"/>
    <w:rsid w:val="00C87716"/>
    <w:rsid w:val="00CC4472"/>
    <w:rsid w:val="00CC5B82"/>
    <w:rsid w:val="00CE67C1"/>
    <w:rsid w:val="00D05472"/>
    <w:rsid w:val="00D32485"/>
    <w:rsid w:val="00D3647E"/>
    <w:rsid w:val="00D442DA"/>
    <w:rsid w:val="00D45823"/>
    <w:rsid w:val="00D47F37"/>
    <w:rsid w:val="00D54DA7"/>
    <w:rsid w:val="00D54F29"/>
    <w:rsid w:val="00D63F29"/>
    <w:rsid w:val="00D718A6"/>
    <w:rsid w:val="00D83A49"/>
    <w:rsid w:val="00D924A3"/>
    <w:rsid w:val="00DB0613"/>
    <w:rsid w:val="00DB3C71"/>
    <w:rsid w:val="00DC1DCA"/>
    <w:rsid w:val="00E2464C"/>
    <w:rsid w:val="00E30571"/>
    <w:rsid w:val="00E30852"/>
    <w:rsid w:val="00E51C7A"/>
    <w:rsid w:val="00E554F2"/>
    <w:rsid w:val="00E954E4"/>
    <w:rsid w:val="00E95EED"/>
    <w:rsid w:val="00E95FCD"/>
    <w:rsid w:val="00EA334D"/>
    <w:rsid w:val="00EB2985"/>
    <w:rsid w:val="00EC0713"/>
    <w:rsid w:val="00EC3247"/>
    <w:rsid w:val="00F14A80"/>
    <w:rsid w:val="00F343FC"/>
    <w:rsid w:val="00F418AF"/>
    <w:rsid w:val="00F55F66"/>
    <w:rsid w:val="00F72203"/>
    <w:rsid w:val="00F969F5"/>
    <w:rsid w:val="00FB7E9F"/>
    <w:rsid w:val="00FD630E"/>
    <w:rsid w:val="00FF5B3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29B8C"/>
  <w15:chartTrackingRefBased/>
  <w15:docId w15:val="{61E06DC6-31D2-9141-A5FD-3CE5F1AF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2D"/>
    <w:pPr>
      <w:ind w:left="720"/>
      <w:contextualSpacing/>
    </w:pPr>
  </w:style>
  <w:style w:type="paragraph" w:styleId="Date">
    <w:name w:val="Date"/>
    <w:basedOn w:val="Normal"/>
    <w:next w:val="Normal"/>
    <w:link w:val="DateChar"/>
    <w:uiPriority w:val="99"/>
    <w:semiHidden/>
    <w:unhideWhenUsed/>
    <w:rsid w:val="003F5FEF"/>
  </w:style>
  <w:style w:type="character" w:customStyle="1" w:styleId="DateChar">
    <w:name w:val="Date Char"/>
    <w:basedOn w:val="DefaultParagraphFont"/>
    <w:link w:val="Date"/>
    <w:uiPriority w:val="99"/>
    <w:semiHidden/>
    <w:rsid w:val="003F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Yuntao Tian</dc:creator>
  <cp:keywords/>
  <dc:description/>
  <cp:lastModifiedBy>Yuntao Tian</cp:lastModifiedBy>
  <cp:revision>53</cp:revision>
  <dcterms:created xsi:type="dcterms:W3CDTF">2023-08-03T08:42:00Z</dcterms:created>
  <dcterms:modified xsi:type="dcterms:W3CDTF">2023-08-04T01:35:00Z</dcterms:modified>
</cp:coreProperties>
</file>