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694" w:rsidRDefault="00014694" w:rsidP="0001469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7CC89C" wp14:editId="1528FD0A">
            <wp:extent cx="3200400" cy="609600"/>
            <wp:effectExtent l="0" t="0" r="0" b="0"/>
            <wp:docPr id="3" name="Picture 3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94" w:rsidRPr="00BF1BF9" w:rsidRDefault="00EC7B91" w:rsidP="00014694">
      <w:pPr>
        <w:spacing w:before="100" w:beforeAutospacing="1" w:after="100" w:afterAutospacing="1"/>
        <w:jc w:val="center"/>
        <w:rPr>
          <w:rFonts w:ascii="Myriad Pro" w:hAnsi="Myriad Pro"/>
          <w:i/>
          <w:sz w:val="22"/>
        </w:rPr>
      </w:pPr>
      <w:r>
        <w:rPr>
          <w:rFonts w:hint="eastAsia"/>
          <w:kern w:val="0"/>
          <w:sz w:val="22"/>
        </w:rPr>
        <w:t xml:space="preserve">Journal of </w:t>
      </w:r>
      <w:r w:rsidR="00014694">
        <w:rPr>
          <w:kern w:val="0"/>
          <w:sz w:val="22"/>
        </w:rPr>
        <w:t>Geophysical Research</w:t>
      </w:r>
      <w:r>
        <w:rPr>
          <w:rFonts w:hint="eastAsia"/>
          <w:kern w:val="0"/>
          <w:sz w:val="22"/>
        </w:rPr>
        <w:t>: Solid Earth</w:t>
      </w:r>
    </w:p>
    <w:p w:rsidR="00014694" w:rsidRPr="00CE6EAA" w:rsidRDefault="00014694" w:rsidP="00014694">
      <w:pPr>
        <w:spacing w:before="100" w:beforeAutospacing="1" w:after="100" w:afterAutospacing="1"/>
        <w:jc w:val="center"/>
        <w:rPr>
          <w:rFonts w:ascii="Myriad Pro" w:hAnsi="Myriad Pro"/>
          <w:sz w:val="22"/>
        </w:rPr>
      </w:pPr>
      <w:r w:rsidRPr="00CE6EAA">
        <w:rPr>
          <w:rFonts w:ascii="Myriad Pro" w:hAnsi="Myriad Pro"/>
          <w:sz w:val="22"/>
        </w:rPr>
        <w:t>Supporting Information for</w:t>
      </w:r>
    </w:p>
    <w:p w:rsidR="005E5D7F" w:rsidRDefault="005E5D7F" w:rsidP="005E5D7F">
      <w:pPr>
        <w:widowControl/>
        <w:adjustRightInd w:val="0"/>
        <w:snapToGrid w:val="0"/>
        <w:spacing w:line="360" w:lineRule="auto"/>
        <w:jc w:val="center"/>
        <w:rPr>
          <w:rFonts w:ascii="Times New Roman"/>
          <w:b/>
          <w:color w:val="000000" w:themeColor="text1"/>
          <w:sz w:val="24"/>
          <w:szCs w:val="24"/>
        </w:rPr>
      </w:pPr>
      <w:r w:rsidRPr="00B37609">
        <w:rPr>
          <w:rFonts w:ascii="Times New Roman"/>
          <w:b/>
          <w:color w:val="000000" w:themeColor="text1"/>
          <w:sz w:val="24"/>
          <w:szCs w:val="24"/>
        </w:rPr>
        <w:t>Late Miocene</w:t>
      </w:r>
      <w:r>
        <w:rPr>
          <w:rFonts w:ascii="Times New Roman"/>
          <w:b/>
          <w:color w:val="000000" w:themeColor="text1"/>
          <w:sz w:val="24"/>
          <w:szCs w:val="24"/>
        </w:rPr>
        <w:t xml:space="preserve"> hinterland crustal shortening in the </w:t>
      </w:r>
      <w:r w:rsidRPr="00B37609">
        <w:rPr>
          <w:rFonts w:ascii="Times New Roman"/>
          <w:b/>
          <w:color w:val="000000" w:themeColor="text1"/>
          <w:sz w:val="24"/>
          <w:szCs w:val="24"/>
        </w:rPr>
        <w:t xml:space="preserve">Longmen Shan </w:t>
      </w:r>
      <w:r>
        <w:rPr>
          <w:rFonts w:ascii="Times New Roman"/>
          <w:b/>
          <w:color w:val="000000" w:themeColor="text1"/>
          <w:sz w:val="24"/>
          <w:szCs w:val="24"/>
        </w:rPr>
        <w:t xml:space="preserve">thrust belt, the </w:t>
      </w:r>
      <w:r w:rsidRPr="00B37609">
        <w:rPr>
          <w:rFonts w:ascii="Times New Roman"/>
          <w:b/>
          <w:color w:val="000000" w:themeColor="text1"/>
          <w:sz w:val="24"/>
          <w:szCs w:val="24"/>
        </w:rPr>
        <w:t>eastern margin of the Tibetan Plateau</w:t>
      </w:r>
    </w:p>
    <w:p w:rsidR="00014694" w:rsidRPr="00062367" w:rsidRDefault="00014694" w:rsidP="005E5D7F">
      <w:pPr>
        <w:widowControl/>
        <w:adjustRightInd w:val="0"/>
        <w:snapToGrid w:val="0"/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014694" w:rsidRPr="00062367" w:rsidRDefault="00014694" w:rsidP="00014694">
      <w:pPr>
        <w:widowControl/>
        <w:adjustRightInd w:val="0"/>
        <w:snapToGrid w:val="0"/>
        <w:spacing w:line="360" w:lineRule="auto"/>
        <w:jc w:val="center"/>
        <w:outlineLvl w:val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proofErr w:type="spellStart"/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Xiaoming</w:t>
      </w:r>
      <w:proofErr w:type="spellEnd"/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Shen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1</w:t>
      </w:r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 Yuntao Tian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2</w:t>
      </w:r>
      <w:r w:rsidR="00640CFF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,</w:t>
      </w:r>
      <w:r w:rsidR="00640CFF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3</w:t>
      </w:r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="00A33E63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Guihong</w:t>
      </w:r>
      <w:proofErr w:type="spellEnd"/>
      <w:r w:rsidR="00A33E63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Zhang</w:t>
      </w:r>
      <w:r w:rsidR="00A33E63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40CFF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2</w:t>
      </w:r>
      <w:r w:rsidR="00640CFF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,</w:t>
      </w:r>
      <w:r w:rsidR="00640CFF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3</w:t>
      </w:r>
      <w:r w:rsidR="00A33E63"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Shimin</w:t>
      </w:r>
      <w:proofErr w:type="spellEnd"/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Zhang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1</w:t>
      </w:r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And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rew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Carter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40CFF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4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 Barry Kohn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40CFF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5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Pieter </w:t>
      </w:r>
      <w:proofErr w:type="spell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Vermeesch</w:t>
      </w:r>
      <w:proofErr w:type="spellEnd"/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40CFF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6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Rui Liu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1</w:t>
      </w:r>
      <w:r w:rsidRPr="000623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 Wei Li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  <w:vertAlign w:val="superscript"/>
        </w:rPr>
        <w:t>1</w:t>
      </w:r>
    </w:p>
    <w:p w:rsidR="00014694" w:rsidRPr="009B62E6" w:rsidRDefault="00014694" w:rsidP="00014694">
      <w:pPr>
        <w:spacing w:line="360" w:lineRule="auto"/>
        <w:jc w:val="center"/>
        <w:rPr>
          <w:color w:val="000000" w:themeColor="text1"/>
          <w:sz w:val="24"/>
        </w:rPr>
      </w:pPr>
    </w:p>
    <w:p w:rsidR="00014694" w:rsidRPr="00194114" w:rsidRDefault="00014694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1 </w:t>
      </w:r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 Laboratory of Crustal Dynamics, Institute of Crustal Dynamics, China Earthquake Administration, Beijing 100085, China</w:t>
      </w:r>
    </w:p>
    <w:p w:rsidR="00640CFF" w:rsidRDefault="00014694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2 </w:t>
      </w:r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Guangdong Provincial Key Laboratory of Geodynamics and Geohazards, School of Earth Sciences and Engineering, Sun </w:t>
      </w:r>
      <w:proofErr w:type="spellStart"/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Yat-sen</w:t>
      </w:r>
      <w:proofErr w:type="spellEnd"/>
      <w:r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University, Guangzhou 510275, China</w:t>
      </w:r>
    </w:p>
    <w:p w:rsidR="00014694" w:rsidRPr="00194114" w:rsidRDefault="00640CFF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 w:rsidRPr="00640CF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3</w:t>
      </w:r>
      <w:r w:rsidRPr="00640CF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Southern Marine Science and Engineering Guangdong Laboratory, Zhuhai 519082, China</w:t>
      </w:r>
    </w:p>
    <w:p w:rsidR="00014694" w:rsidRPr="00194114" w:rsidRDefault="00640CFF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4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Department of Earth and Planetary Sciences, Birkbeck, University of London, London WC1E 7HX, UK</w:t>
      </w:r>
    </w:p>
    <w:p w:rsidR="00014694" w:rsidRPr="00194114" w:rsidRDefault="00640CFF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5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School of Earth Sciences, The University of Melbourne, Melbourne, Victoria 3010, Australia</w:t>
      </w:r>
    </w:p>
    <w:p w:rsidR="00014694" w:rsidRDefault="00640CFF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6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 xml:space="preserve"> </w:t>
      </w:r>
      <w:r w:rsidR="00014694" w:rsidRPr="001941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Department of Earth Sciences, University College London, London WC1E 6BT, UK</w:t>
      </w:r>
    </w:p>
    <w:p w:rsidR="00640CFF" w:rsidRPr="00194114" w:rsidRDefault="00640CFF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014694" w:rsidRPr="00194114" w:rsidRDefault="00014694" w:rsidP="00014694">
      <w:pPr>
        <w:spacing w:line="360" w:lineRule="auto"/>
        <w:rPr>
          <w:rFonts w:ascii="Times New Roman" w:hAnsi="Times New Roman" w:cs="Times New Roman"/>
          <w:b/>
        </w:rPr>
      </w:pPr>
      <w:r w:rsidRPr="00194114">
        <w:rPr>
          <w:rFonts w:ascii="Times New Roman" w:hAnsi="Times New Roman" w:cs="Times New Roman"/>
          <w:b/>
        </w:rPr>
        <w:t xml:space="preserve">Contents of this file </w:t>
      </w:r>
    </w:p>
    <w:p w:rsidR="00014694" w:rsidRPr="00194114" w:rsidRDefault="00014694" w:rsidP="00194114">
      <w:pPr>
        <w:spacing w:line="360" w:lineRule="auto"/>
        <w:rPr>
          <w:rFonts w:ascii="Times New Roman" w:hAnsi="Times New Roman" w:cs="Times New Roman"/>
          <w:sz w:val="22"/>
        </w:rPr>
      </w:pPr>
    </w:p>
    <w:p w:rsidR="00014694" w:rsidRPr="00194114" w:rsidRDefault="00014694" w:rsidP="00014694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194114">
        <w:rPr>
          <w:rFonts w:ascii="Times New Roman" w:hAnsi="Times New Roman" w:cs="Times New Roman"/>
          <w:sz w:val="22"/>
        </w:rPr>
        <w:t xml:space="preserve">Figure S1. Relationship of </w:t>
      </w:r>
      <w:proofErr w:type="spellStart"/>
      <w:r w:rsidRPr="00194114">
        <w:rPr>
          <w:rFonts w:ascii="Times New Roman" w:hAnsi="Times New Roman" w:cs="Times New Roman"/>
          <w:sz w:val="22"/>
        </w:rPr>
        <w:t>eU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versus </w:t>
      </w:r>
      <w:proofErr w:type="spellStart"/>
      <w:r w:rsidRPr="00194114">
        <w:rPr>
          <w:rFonts w:ascii="Times New Roman" w:hAnsi="Times New Roman" w:cs="Times New Roman"/>
          <w:sz w:val="22"/>
        </w:rPr>
        <w:t>ZHe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194114">
        <w:rPr>
          <w:rFonts w:ascii="Times New Roman" w:hAnsi="Times New Roman" w:cs="Times New Roman"/>
          <w:sz w:val="22"/>
        </w:rPr>
        <w:t>AHe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ages. </w:t>
      </w:r>
    </w:p>
    <w:p w:rsidR="00014694" w:rsidRDefault="00014694" w:rsidP="00014694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194114">
        <w:rPr>
          <w:rFonts w:ascii="Times New Roman" w:hAnsi="Times New Roman" w:cs="Times New Roman"/>
          <w:sz w:val="22"/>
        </w:rPr>
        <w:t xml:space="preserve">Figure S2. Plot of </w:t>
      </w:r>
      <w:proofErr w:type="spellStart"/>
      <w:r w:rsidRPr="00194114">
        <w:rPr>
          <w:rFonts w:ascii="Times New Roman" w:hAnsi="Times New Roman" w:cs="Times New Roman"/>
          <w:sz w:val="22"/>
        </w:rPr>
        <w:t>ZHe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age versus equivalent radius (Rs).</w:t>
      </w:r>
    </w:p>
    <w:p w:rsidR="0058176B" w:rsidRPr="00194114" w:rsidRDefault="0058176B" w:rsidP="00014694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Figure S3.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2D s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catter diagrams showing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(a-c) 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results of the NA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inversion and (d) comparison between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observations and 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predictions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by the best-fit model.</w:t>
      </w:r>
    </w:p>
    <w:p w:rsidR="00014694" w:rsidRPr="00194114" w:rsidRDefault="00014694" w:rsidP="00014694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194114">
        <w:rPr>
          <w:rFonts w:ascii="Times New Roman" w:hAnsi="Times New Roman" w:cs="Times New Roman"/>
          <w:sz w:val="22"/>
        </w:rPr>
        <w:t>Table S</w:t>
      </w:r>
      <w:r w:rsidR="0035365F" w:rsidRPr="00194114">
        <w:rPr>
          <w:rFonts w:ascii="Times New Roman" w:hAnsi="Times New Roman" w:cs="Times New Roman"/>
          <w:sz w:val="22"/>
        </w:rPr>
        <w:t>1</w:t>
      </w:r>
      <w:r w:rsidRPr="00194114">
        <w:rPr>
          <w:rFonts w:ascii="Times New Roman" w:hAnsi="Times New Roman" w:cs="Times New Roman"/>
          <w:sz w:val="22"/>
        </w:rPr>
        <w:t xml:space="preserve"> A compilation of thermochronological data in central Longmen Shan for plotting Figure 4.</w:t>
      </w:r>
    </w:p>
    <w:p w:rsidR="0035365F" w:rsidRDefault="0035365F" w:rsidP="00014694">
      <w:pPr>
        <w:spacing w:before="100" w:beforeAutospacing="1" w:after="100" w:afterAutospacing="1" w:line="360" w:lineRule="auto"/>
        <w:rPr>
          <w:rFonts w:ascii="Myriad Pro" w:hAnsi="Myriad Pro"/>
          <w:b/>
          <w:bCs/>
        </w:rPr>
      </w:pPr>
    </w:p>
    <w:p w:rsidR="00014694" w:rsidRPr="00194114" w:rsidRDefault="00014694" w:rsidP="0001469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194114">
        <w:rPr>
          <w:rFonts w:ascii="Times New Roman" w:hAnsi="Times New Roman" w:cs="Times New Roman"/>
          <w:b/>
          <w:bCs/>
        </w:rPr>
        <w:t>Introduction</w:t>
      </w:r>
      <w:r w:rsidRPr="00194114">
        <w:rPr>
          <w:rFonts w:ascii="Times New Roman" w:hAnsi="Times New Roman" w:cs="Times New Roman"/>
          <w:b/>
        </w:rPr>
        <w:t xml:space="preserve"> </w:t>
      </w:r>
    </w:p>
    <w:p w:rsidR="00014694" w:rsidRPr="00194114" w:rsidRDefault="00014694" w:rsidP="00194114">
      <w:pPr>
        <w:spacing w:line="360" w:lineRule="auto"/>
        <w:rPr>
          <w:rFonts w:ascii="Times New Roman" w:hAnsi="Times New Roman" w:cs="Times New Roman"/>
          <w:sz w:val="22"/>
        </w:rPr>
      </w:pPr>
      <w:r w:rsidRPr="00194114">
        <w:rPr>
          <w:rFonts w:ascii="Times New Roman" w:hAnsi="Times New Roman" w:cs="Times New Roman"/>
          <w:sz w:val="22"/>
        </w:rPr>
        <w:t xml:space="preserve">This file includes two supporting figures and </w:t>
      </w:r>
      <w:r w:rsidR="0006332F" w:rsidRPr="00194114">
        <w:rPr>
          <w:rFonts w:ascii="Times New Roman" w:hAnsi="Times New Roman" w:cs="Times New Roman"/>
          <w:sz w:val="22"/>
        </w:rPr>
        <w:t>one</w:t>
      </w:r>
      <w:r w:rsidRPr="00194114">
        <w:rPr>
          <w:rFonts w:ascii="Times New Roman" w:hAnsi="Times New Roman" w:cs="Times New Roman"/>
          <w:sz w:val="22"/>
        </w:rPr>
        <w:t xml:space="preserve"> supporting table which are (</w:t>
      </w:r>
      <w:r w:rsidR="0006332F" w:rsidRPr="00194114">
        <w:rPr>
          <w:rFonts w:ascii="Times New Roman" w:hAnsi="Times New Roman" w:cs="Times New Roman"/>
          <w:sz w:val="22"/>
        </w:rPr>
        <w:t>1</w:t>
      </w:r>
      <w:r w:rsidRPr="00194114">
        <w:rPr>
          <w:rFonts w:ascii="Times New Roman" w:hAnsi="Times New Roman" w:cs="Times New Roman"/>
          <w:sz w:val="22"/>
        </w:rPr>
        <w:t xml:space="preserve">) relationship of </w:t>
      </w:r>
      <w:proofErr w:type="spellStart"/>
      <w:r w:rsidRPr="00194114">
        <w:rPr>
          <w:rFonts w:ascii="Times New Roman" w:hAnsi="Times New Roman" w:cs="Times New Roman"/>
          <w:sz w:val="22"/>
        </w:rPr>
        <w:t>eU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versus </w:t>
      </w:r>
      <w:proofErr w:type="spellStart"/>
      <w:r w:rsidRPr="00194114">
        <w:rPr>
          <w:rFonts w:ascii="Times New Roman" w:hAnsi="Times New Roman" w:cs="Times New Roman"/>
          <w:sz w:val="22"/>
        </w:rPr>
        <w:t>ZHe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194114">
        <w:rPr>
          <w:rFonts w:ascii="Times New Roman" w:hAnsi="Times New Roman" w:cs="Times New Roman"/>
          <w:sz w:val="22"/>
        </w:rPr>
        <w:t>AHe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ages, (</w:t>
      </w:r>
      <w:r w:rsidR="0006332F" w:rsidRPr="00194114">
        <w:rPr>
          <w:rFonts w:ascii="Times New Roman" w:hAnsi="Times New Roman" w:cs="Times New Roman"/>
          <w:sz w:val="22"/>
        </w:rPr>
        <w:t>2</w:t>
      </w:r>
      <w:r w:rsidRPr="00194114">
        <w:rPr>
          <w:rFonts w:ascii="Times New Roman" w:hAnsi="Times New Roman" w:cs="Times New Roman"/>
          <w:sz w:val="22"/>
        </w:rPr>
        <w:t xml:space="preserve">) plot of </w:t>
      </w:r>
      <w:proofErr w:type="spellStart"/>
      <w:r w:rsidRPr="00194114">
        <w:rPr>
          <w:rFonts w:ascii="Times New Roman" w:hAnsi="Times New Roman" w:cs="Times New Roman"/>
          <w:sz w:val="22"/>
        </w:rPr>
        <w:t>ZHe</w:t>
      </w:r>
      <w:proofErr w:type="spellEnd"/>
      <w:r w:rsidRPr="00194114">
        <w:rPr>
          <w:rFonts w:ascii="Times New Roman" w:hAnsi="Times New Roman" w:cs="Times New Roman"/>
          <w:sz w:val="22"/>
        </w:rPr>
        <w:t xml:space="preserve"> </w:t>
      </w:r>
      <w:r w:rsidR="0006332F" w:rsidRPr="00194114">
        <w:rPr>
          <w:rFonts w:ascii="Times New Roman" w:hAnsi="Times New Roman" w:cs="Times New Roman"/>
          <w:sz w:val="22"/>
        </w:rPr>
        <w:t xml:space="preserve">and </w:t>
      </w:r>
      <w:proofErr w:type="spellStart"/>
      <w:r w:rsidR="0006332F" w:rsidRPr="00194114">
        <w:rPr>
          <w:rFonts w:ascii="Times New Roman" w:hAnsi="Times New Roman" w:cs="Times New Roman"/>
          <w:sz w:val="22"/>
        </w:rPr>
        <w:t>AHe</w:t>
      </w:r>
      <w:proofErr w:type="spellEnd"/>
      <w:r w:rsidR="0006332F" w:rsidRPr="00194114">
        <w:rPr>
          <w:rFonts w:ascii="Times New Roman" w:hAnsi="Times New Roman" w:cs="Times New Roman"/>
          <w:sz w:val="22"/>
        </w:rPr>
        <w:t xml:space="preserve"> </w:t>
      </w:r>
      <w:r w:rsidRPr="00194114">
        <w:rPr>
          <w:rFonts w:ascii="Times New Roman" w:hAnsi="Times New Roman" w:cs="Times New Roman"/>
          <w:sz w:val="22"/>
        </w:rPr>
        <w:t>age</w:t>
      </w:r>
      <w:r w:rsidR="0006332F" w:rsidRPr="00194114">
        <w:rPr>
          <w:rFonts w:ascii="Times New Roman" w:hAnsi="Times New Roman" w:cs="Times New Roman"/>
          <w:sz w:val="22"/>
        </w:rPr>
        <w:t>s</w:t>
      </w:r>
      <w:r w:rsidRPr="00194114">
        <w:rPr>
          <w:rFonts w:ascii="Times New Roman" w:hAnsi="Times New Roman" w:cs="Times New Roman"/>
          <w:sz w:val="22"/>
        </w:rPr>
        <w:t xml:space="preserve"> versus equivalent radius (Rs), </w:t>
      </w:r>
      <w:r w:rsidR="002F0842">
        <w:rPr>
          <w:rFonts w:ascii="Times New Roman" w:hAnsi="Times New Roman" w:cs="Times New Roman"/>
          <w:sz w:val="22"/>
        </w:rPr>
        <w:t>(3) plots of inverse modeling results</w:t>
      </w:r>
      <w:r w:rsidR="009C4677">
        <w:rPr>
          <w:rFonts w:ascii="Times New Roman" w:hAnsi="Times New Roman" w:cs="Times New Roman"/>
          <w:sz w:val="22"/>
        </w:rPr>
        <w:t xml:space="preserve"> of the second model</w:t>
      </w:r>
      <w:r w:rsidR="002F0842">
        <w:rPr>
          <w:rFonts w:ascii="Times New Roman" w:hAnsi="Times New Roman" w:cs="Times New Roman"/>
          <w:sz w:val="22"/>
        </w:rPr>
        <w:t xml:space="preserve">, </w:t>
      </w:r>
      <w:r w:rsidRPr="00194114">
        <w:rPr>
          <w:rFonts w:ascii="Times New Roman" w:hAnsi="Times New Roman" w:cs="Times New Roman"/>
          <w:sz w:val="22"/>
        </w:rPr>
        <w:t>and (</w:t>
      </w:r>
      <w:r w:rsidR="002F0842">
        <w:rPr>
          <w:rFonts w:ascii="Times New Roman" w:hAnsi="Times New Roman" w:cs="Times New Roman" w:hint="eastAsia"/>
          <w:sz w:val="22"/>
        </w:rPr>
        <w:t>4</w:t>
      </w:r>
      <w:r w:rsidRPr="00194114">
        <w:rPr>
          <w:rFonts w:ascii="Times New Roman" w:hAnsi="Times New Roman" w:cs="Times New Roman"/>
          <w:sz w:val="22"/>
        </w:rPr>
        <w:t xml:space="preserve">) a compilation of thermochronological data in central Longmen Shan for plotting Figure </w:t>
      </w:r>
      <w:r w:rsidR="0006171E">
        <w:rPr>
          <w:rFonts w:ascii="Times New Roman" w:hAnsi="Times New Roman" w:cs="Times New Roman" w:hint="eastAsia"/>
          <w:sz w:val="22"/>
        </w:rPr>
        <w:t>7</w:t>
      </w:r>
      <w:r w:rsidRPr="00194114">
        <w:rPr>
          <w:rFonts w:ascii="Times New Roman" w:hAnsi="Times New Roman" w:cs="Times New Roman"/>
          <w:sz w:val="22"/>
        </w:rPr>
        <w:t>.</w:t>
      </w:r>
    </w:p>
    <w:p w:rsidR="001D55EA" w:rsidRDefault="001D55EA" w:rsidP="00F8180B">
      <w:pPr>
        <w:spacing w:line="360" w:lineRule="auto"/>
        <w:ind w:right="57"/>
        <w:rPr>
          <w:rFonts w:ascii="Times New Roman" w:hAnsi="Times New Roman" w:cs="Times New Roman"/>
          <w:sz w:val="22"/>
        </w:rPr>
      </w:pPr>
    </w:p>
    <w:p w:rsidR="001D55EA" w:rsidRDefault="001D55EA" w:rsidP="00F8180B">
      <w:pPr>
        <w:spacing w:line="360" w:lineRule="auto"/>
        <w:ind w:right="57"/>
        <w:rPr>
          <w:rFonts w:ascii="Times New Roman" w:hAnsi="Times New Roman" w:cs="Times New Roman"/>
          <w:sz w:val="22"/>
        </w:rPr>
      </w:pPr>
    </w:p>
    <w:p w:rsidR="008206A8" w:rsidRPr="00551712" w:rsidRDefault="008206A8" w:rsidP="00194114">
      <w:pPr>
        <w:spacing w:line="360" w:lineRule="auto"/>
        <w:ind w:right="5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06A8" w:rsidRDefault="008206A8" w:rsidP="00194114">
      <w:pPr>
        <w:spacing w:line="360" w:lineRule="auto"/>
        <w:ind w:leftChars="27" w:left="57" w:right="57"/>
        <w:rPr>
          <w:rFonts w:ascii="Times New Roman" w:hAnsi="Times New Roman" w:cs="Times New Roman"/>
          <w:sz w:val="24"/>
          <w:szCs w:val="24"/>
        </w:rPr>
      </w:pPr>
    </w:p>
    <w:p w:rsidR="008206A8" w:rsidRDefault="008206A8" w:rsidP="00820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73BE1" wp14:editId="28013448">
            <wp:extent cx="5274310" cy="5479857"/>
            <wp:effectExtent l="0" t="0" r="2540" b="6985"/>
            <wp:docPr id="4" name="图片 1" descr="C:\工作盘\2018文章发表\文章初稿\eU-age 20180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工作盘\2018文章发表\文章初稿\eU-age 20180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A8" w:rsidRDefault="008206A8" w:rsidP="008206A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0" w:name="OLE_LINK3"/>
      <w:bookmarkStart w:id="1" w:name="OLE_LINK4"/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S1</w:t>
      </w:r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>. Relation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ship</w:t>
      </w:r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of</w:t>
      </w:r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>eU</w:t>
      </w:r>
      <w:proofErr w:type="spellEnd"/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versus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ZHe</w:t>
      </w:r>
      <w:proofErr w:type="spellEnd"/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AHe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>age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of the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Caopo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Manianping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transects</w:t>
      </w:r>
      <w:r w:rsidRPr="00097845">
        <w:rPr>
          <w:rFonts w:ascii="Times New Roman" w:hAnsi="Times New Roman" w:cs="Times New Roman"/>
          <w:color w:val="000000"/>
          <w:kern w:val="0"/>
          <w:sz w:val="24"/>
          <w:szCs w:val="24"/>
        </w:rPr>
        <w:t>. These samples do not exhibit correlation, suggesting minor effects on the grains from radiation damage and not suffering slowly cooling.</w:t>
      </w:r>
      <w:bookmarkEnd w:id="0"/>
      <w:bookmarkEnd w:id="1"/>
    </w:p>
    <w:p w:rsidR="008206A8" w:rsidRDefault="008206A8" w:rsidP="008206A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206A8" w:rsidRPr="00DC31E0" w:rsidRDefault="008206A8" w:rsidP="008206A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206A8" w:rsidRDefault="008206A8" w:rsidP="008206A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F6647" wp14:editId="08438D82">
            <wp:extent cx="5274310" cy="5425918"/>
            <wp:effectExtent l="0" t="0" r="2540" b="3810"/>
            <wp:docPr id="5" name="图片 2" descr="C:\工作盘\2018文章发表\文章初稿\Rs-age 20180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工作盘\2018文章发表\文章初稿\Rs-age 201805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A8" w:rsidRDefault="008206A8" w:rsidP="008206A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>Fig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ure S2.</w:t>
      </w:r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Plot of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ZHe</w:t>
      </w:r>
      <w:proofErr w:type="spellEnd"/>
      <w:r w:rsidR="000633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and </w:t>
      </w:r>
      <w:proofErr w:type="spellStart"/>
      <w:r w:rsidR="000633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AHe</w:t>
      </w:r>
      <w:proofErr w:type="spellEnd"/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age</w:t>
      </w:r>
      <w:r w:rsidR="000633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</w:t>
      </w:r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versus</w:t>
      </w:r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301F8">
        <w:rPr>
          <w:rFonts w:ascii="Times New Roman" w:hAnsi="Times New Roman" w:cs="Times New Roman"/>
          <w:color w:val="000000"/>
          <w:kern w:val="0"/>
          <w:sz w:val="24"/>
          <w:szCs w:val="24"/>
        </w:rPr>
        <w:t>equivale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nt radius (Rs), which is the radius of a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301F8">
        <w:rPr>
          <w:rFonts w:ascii="Times New Roman" w:hAnsi="Times New Roman" w:cs="Times New Roman"/>
          <w:color w:val="000000"/>
          <w:kern w:val="0"/>
          <w:sz w:val="24"/>
          <w:szCs w:val="24"/>
        </w:rPr>
        <w:t>sphere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301F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with an equivalent surface area-to-volume ratio as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</w:t>
      </w:r>
      <w:r w:rsidRPr="003301F8">
        <w:rPr>
          <w:rFonts w:ascii="Times New Roman" w:hAnsi="Times New Roman" w:cs="Times New Roman"/>
          <w:color w:val="000000"/>
          <w:kern w:val="0"/>
          <w:sz w:val="24"/>
          <w:szCs w:val="24"/>
        </w:rPr>
        <w:t>cylindrical crystal</w:t>
      </w:r>
      <w:r w:rsidRPr="0048386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791399" w:rsidRDefault="00791399" w:rsidP="0079139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399" w:rsidRDefault="00791399" w:rsidP="00791399"/>
    <w:p w:rsidR="00A14279" w:rsidRDefault="003F586D" w:rsidP="00A14279">
      <w:r>
        <w:rPr>
          <w:noProof/>
        </w:rPr>
        <w:lastRenderedPageBreak/>
        <w:drawing>
          <wp:inline distT="0" distB="0" distL="0" distR="0">
            <wp:extent cx="6188710" cy="496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S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14279" w:rsidRDefault="00A14279" w:rsidP="00A14279"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Figure S3.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2D s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catter diagrams showing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(a-c) 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results of the </w:t>
      </w:r>
      <w:bookmarkStart w:id="3" w:name="OLE_LINK16"/>
      <w:bookmarkStart w:id="4" w:name="OLE_LINK17"/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NA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inversion</w:t>
      </w:r>
      <w:bookmarkEnd w:id="3"/>
      <w:bookmarkEnd w:id="4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(d) comparison between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observations and </w:t>
      </w:r>
      <w:r w:rsidRPr="006E016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predictions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by the best-fit model. Except for the basal temperature (400-900 </w:t>
      </w:r>
      <w:proofErr w:type="spellStart"/>
      <w:r w:rsidRPr="00ED40F0">
        <w:rPr>
          <w:rFonts w:ascii="Times New Roman" w:eastAsia="SimSun" w:hAnsi="Times New Roman" w:cs="Times New Roman"/>
          <w:color w:val="000000"/>
          <w:kern w:val="0"/>
          <w:sz w:val="24"/>
          <w:szCs w:val="24"/>
          <w:vertAlign w:val="superscript"/>
        </w:rPr>
        <w:t>o</w:t>
      </w:r>
      <w:r w:rsidRPr="00ED40F0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), other setups are the same as the model shown in figure 5.</w:t>
      </w:r>
    </w:p>
    <w:p w:rsidR="008206A8" w:rsidRPr="00D82C13" w:rsidRDefault="008206A8" w:rsidP="008206A8"/>
    <w:p w:rsidR="008206A8" w:rsidRDefault="008206A8" w:rsidP="008206A8"/>
    <w:p w:rsidR="008206A8" w:rsidRDefault="008206A8" w:rsidP="00820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</w:t>
      </w:r>
      <w:r w:rsidR="0006332F">
        <w:rPr>
          <w:rFonts w:ascii="Times New Roman" w:hAnsi="Times New Roman" w:cs="Times New Roman" w:hint="eastAsia"/>
        </w:rPr>
        <w:t xml:space="preserve">S1 </w:t>
      </w:r>
      <w:r>
        <w:rPr>
          <w:rFonts w:ascii="Times New Roman" w:hAnsi="Times New Roman" w:cs="Times New Roman" w:hint="eastAsia"/>
        </w:rPr>
        <w:t xml:space="preserve">A compilation of thermochronological data in central Longmen Shan for plotting Figure </w:t>
      </w:r>
      <w:r w:rsidR="0006171E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66"/>
        <w:gridCol w:w="956"/>
        <w:gridCol w:w="816"/>
        <w:gridCol w:w="906"/>
        <w:gridCol w:w="921"/>
        <w:gridCol w:w="948"/>
        <w:gridCol w:w="886"/>
        <w:gridCol w:w="2107"/>
      </w:tblGrid>
      <w:tr w:rsidR="008206A8" w:rsidRPr="008206A8" w:rsidTr="00EC7B91">
        <w:trPr>
          <w:trHeight w:val="300"/>
          <w:tblHeader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 w:hint="eastAsia"/>
                <w:color w:val="000000"/>
                <w:kern w:val="0"/>
                <w:sz w:val="18"/>
                <w:szCs w:val="18"/>
              </w:rPr>
              <w:t>Sample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Elevation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Age (Ma)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Error (1σ)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Age</w:t>
            </w:r>
            <w:r w:rsidRPr="008206A8">
              <w:rPr>
                <w:rFonts w:ascii="Times New Roman" w:eastAsia="SimSun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 w:hint="eastAsia"/>
                <w:color w:val="000000"/>
                <w:kern w:val="0"/>
                <w:sz w:val="18"/>
                <w:szCs w:val="18"/>
              </w:rPr>
              <w:t>References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0935-5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103.7997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31.0750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1035-1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31.7183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31.7183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31.7183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31.6636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CW-6a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CW-3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103.7824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FT93-152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30.9351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HKT15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FT93-154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30.9896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31.7183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31.7183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31.6636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FT-7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Mar-93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Kirby et al. (2002)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Apr-93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Kirby et al. (2002)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103.5886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103.5758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W2093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103.8878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103.7541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103.4768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31.0709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103.4672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31.0697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104.0323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31.3489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103.5757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W2093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W2093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SC062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SC065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103.8542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Godard et al. (2009)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jc w:val="lef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206A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Wilson and Fowler (2011)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jc w:val="lef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206A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Wilson and Fowler (2011)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jc w:val="lef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206A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Wilson and Fowler (2011)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jc w:val="lef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206A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Wilson and Fowler (2011)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LME-17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LMW-07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LME-20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Wang et al. (2012)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103.3863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103.2451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31.5248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103.3742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103.3555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31.6004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103.1280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31.6840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WCH-8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103.7500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31.1170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LK-4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104.1540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JH-5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104.0220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WCH-6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103.4800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31.0520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JH-1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104.0580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JH-2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104.0320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31.2870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Tan et al. (2017)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C93-244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103.6697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31.5484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40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Ar/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39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C93-246B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103.5755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31.4962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119.4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40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Ar/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39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Arne et al. (1997)</w:t>
            </w:r>
          </w:p>
        </w:tc>
      </w:tr>
      <w:tr w:rsidR="008206A8" w:rsidRPr="008206A8" w:rsidTr="00EC7B9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BM-29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103.5408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righ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 xml:space="preserve">31.3319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40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Ar/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39</w:t>
            </w: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06A8" w:rsidRPr="008206A8" w:rsidRDefault="008206A8" w:rsidP="00EC7B91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8206A8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Yan et al. (2008)</w:t>
            </w:r>
          </w:p>
        </w:tc>
      </w:tr>
    </w:tbl>
    <w:p w:rsidR="008206A8" w:rsidRDefault="008206A8" w:rsidP="008206A8"/>
    <w:p w:rsidR="00A14279" w:rsidRDefault="00A14279">
      <w:pPr>
        <w:widowControl/>
        <w:jc w:val="left"/>
      </w:pPr>
      <w:r>
        <w:br w:type="page"/>
      </w:r>
    </w:p>
    <w:p w:rsidR="008206A8" w:rsidRDefault="008206A8" w:rsidP="008206A8"/>
    <w:p w:rsidR="008206A8" w:rsidRPr="00C55EDD" w:rsidRDefault="008206A8" w:rsidP="008206A8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C55EDD">
        <w:rPr>
          <w:rFonts w:ascii="Times New Roman" w:hAnsi="Times New Roman" w:cs="Times New Roman"/>
          <w:b/>
        </w:rPr>
        <w:t>References:</w:t>
      </w:r>
    </w:p>
    <w:p w:rsidR="008206A8" w:rsidRPr="00C55EDD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C55EDD">
        <w:rPr>
          <w:rFonts w:ascii="Times New Roman" w:hAnsi="Times New Roman" w:cs="Times New Roman"/>
          <w:noProof/>
          <w:sz w:val="20"/>
        </w:rPr>
        <w:t xml:space="preserve">Arne, D., B. Worley, C. Wilson, S. F. Chen, D. Foster, Z. L. Luo, S. G. Liu, and P. Dirks (1997), Differential exhumation in response to episodic thrusting along the eastern margin of the Tibetan Plateau, </w:t>
      </w:r>
      <w:r w:rsidRPr="00C55EDD">
        <w:rPr>
          <w:rFonts w:ascii="Times New Roman" w:hAnsi="Times New Roman" w:cs="Times New Roman"/>
          <w:i/>
          <w:noProof/>
          <w:sz w:val="20"/>
        </w:rPr>
        <w:t>Tectonophysics</w:t>
      </w:r>
      <w:r w:rsidRPr="00C55EDD">
        <w:rPr>
          <w:rFonts w:ascii="Times New Roman" w:hAnsi="Times New Roman" w:cs="Times New Roman"/>
          <w:noProof/>
          <w:sz w:val="20"/>
        </w:rPr>
        <w:t xml:space="preserve">, </w:t>
      </w:r>
      <w:r w:rsidRPr="00C55EDD">
        <w:rPr>
          <w:rFonts w:ascii="Times New Roman" w:hAnsi="Times New Roman" w:cs="Times New Roman"/>
          <w:i/>
          <w:noProof/>
          <w:sz w:val="20"/>
        </w:rPr>
        <w:t>280</w:t>
      </w:r>
      <w:r w:rsidRPr="00C55EDD">
        <w:rPr>
          <w:rFonts w:ascii="Times New Roman" w:hAnsi="Times New Roman" w:cs="Times New Roman"/>
          <w:noProof/>
          <w:sz w:val="20"/>
        </w:rPr>
        <w:t>(3-4), 239-256.</w:t>
      </w:r>
    </w:p>
    <w:p w:rsidR="008206A8" w:rsidRPr="00C55EDD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C55EDD">
        <w:rPr>
          <w:rFonts w:ascii="Times New Roman" w:hAnsi="Times New Roman" w:cs="Times New Roman"/>
          <w:noProof/>
          <w:sz w:val="20"/>
        </w:rPr>
        <w:t xml:space="preserve">Godard, V., R. Pik, J. Lave, R. Cattin, B. Tibari, J. de Sigoyer, M. Pubellier, and J. Zhu (2009), Late Cenozoic evolution of the central Longmen Shan, eastern Tibet: Insight from (U-Th)/He thermochronometry, </w:t>
      </w:r>
      <w:r w:rsidRPr="00C55EDD">
        <w:rPr>
          <w:rFonts w:ascii="Times New Roman" w:hAnsi="Times New Roman" w:cs="Times New Roman"/>
          <w:i/>
          <w:noProof/>
          <w:sz w:val="20"/>
        </w:rPr>
        <w:t>Tectonics</w:t>
      </w:r>
      <w:r w:rsidRPr="00C55EDD">
        <w:rPr>
          <w:rFonts w:ascii="Times New Roman" w:hAnsi="Times New Roman" w:cs="Times New Roman"/>
          <w:noProof/>
          <w:sz w:val="20"/>
        </w:rPr>
        <w:t xml:space="preserve">, </w:t>
      </w:r>
      <w:r w:rsidRPr="00C55EDD">
        <w:rPr>
          <w:rFonts w:ascii="Times New Roman" w:hAnsi="Times New Roman" w:cs="Times New Roman"/>
          <w:i/>
          <w:noProof/>
          <w:sz w:val="20"/>
        </w:rPr>
        <w:t>28</w:t>
      </w:r>
      <w:r w:rsidRPr="00C55EDD">
        <w:rPr>
          <w:rFonts w:ascii="Times New Roman" w:hAnsi="Times New Roman" w:cs="Times New Roman"/>
          <w:noProof/>
          <w:sz w:val="20"/>
        </w:rPr>
        <w:t>(5), TC5009.</w:t>
      </w:r>
    </w:p>
    <w:p w:rsidR="008206A8" w:rsidRPr="00C55EDD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C55EDD">
        <w:rPr>
          <w:rFonts w:ascii="Times New Roman" w:hAnsi="Times New Roman" w:cs="Times New Roman"/>
          <w:noProof/>
          <w:sz w:val="20"/>
        </w:rPr>
        <w:t xml:space="preserve">Kirby, E., P. W. Reiners, M. A. Krol, K. X. Whipple, K. V. Hodges, K. A. Farley, W. Q. Tang, and Z. L. Chen (2002), Late Cenozoic evolution of the eastern margin of the Tibetan Plateau: Inferences from </w:t>
      </w:r>
      <w:r w:rsidRPr="00C55EDD">
        <w:rPr>
          <w:rFonts w:ascii="Times New Roman" w:hAnsi="Times New Roman" w:cs="Times New Roman"/>
          <w:noProof/>
          <w:sz w:val="20"/>
          <w:vertAlign w:val="superscript"/>
        </w:rPr>
        <w:t>40</w:t>
      </w:r>
      <w:r w:rsidRPr="00C55EDD">
        <w:rPr>
          <w:rFonts w:ascii="Times New Roman" w:hAnsi="Times New Roman" w:cs="Times New Roman"/>
          <w:noProof/>
          <w:sz w:val="20"/>
        </w:rPr>
        <w:t>Ar/</w:t>
      </w:r>
      <w:r w:rsidRPr="00C55EDD">
        <w:rPr>
          <w:rFonts w:ascii="Times New Roman" w:hAnsi="Times New Roman" w:cs="Times New Roman"/>
          <w:noProof/>
          <w:sz w:val="20"/>
          <w:vertAlign w:val="superscript"/>
        </w:rPr>
        <w:t>39</w:t>
      </w:r>
      <w:r w:rsidRPr="00C55EDD">
        <w:rPr>
          <w:rFonts w:ascii="Times New Roman" w:hAnsi="Times New Roman" w:cs="Times New Roman"/>
          <w:noProof/>
          <w:sz w:val="20"/>
        </w:rPr>
        <w:t xml:space="preserve">Ar and (U-Th)/He thermochronology, </w:t>
      </w:r>
      <w:r w:rsidRPr="00C55EDD">
        <w:rPr>
          <w:rFonts w:ascii="Times New Roman" w:hAnsi="Times New Roman" w:cs="Times New Roman"/>
          <w:i/>
          <w:noProof/>
          <w:sz w:val="20"/>
        </w:rPr>
        <w:t>Tectonics</w:t>
      </w:r>
      <w:r w:rsidRPr="00C55EDD">
        <w:rPr>
          <w:rFonts w:ascii="Times New Roman" w:hAnsi="Times New Roman" w:cs="Times New Roman"/>
          <w:noProof/>
          <w:sz w:val="20"/>
        </w:rPr>
        <w:t xml:space="preserve">, </w:t>
      </w:r>
      <w:r w:rsidRPr="00C55EDD">
        <w:rPr>
          <w:rFonts w:ascii="Times New Roman" w:hAnsi="Times New Roman" w:cs="Times New Roman"/>
          <w:i/>
          <w:noProof/>
          <w:sz w:val="20"/>
        </w:rPr>
        <w:t>21</w:t>
      </w:r>
      <w:r w:rsidRPr="00C55EDD">
        <w:rPr>
          <w:rFonts w:ascii="Times New Roman" w:hAnsi="Times New Roman" w:cs="Times New Roman"/>
          <w:noProof/>
          <w:sz w:val="20"/>
        </w:rPr>
        <w:t>(1), 1-20.</w:t>
      </w:r>
    </w:p>
    <w:p w:rsidR="008206A8" w:rsidRPr="00C55EDD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C55EDD">
        <w:rPr>
          <w:rFonts w:ascii="Times New Roman" w:hAnsi="Times New Roman" w:cs="Times New Roman"/>
          <w:noProof/>
          <w:sz w:val="20"/>
        </w:rPr>
        <w:t xml:space="preserve">Tan, X. B., X. W. Xu, Y. H. Lee, R. Q. Lu, Y. D. Liu, C. Xu, K. Li, G. H. Yu, and W. J. Kang (2017), Late Cenozoic thrusting of major faults along the central segment of Longmen Shan, eastern Tibet: Evidence from low-temperature thermochronology, </w:t>
      </w:r>
      <w:r w:rsidRPr="00C55EDD">
        <w:rPr>
          <w:rFonts w:ascii="Times New Roman" w:hAnsi="Times New Roman" w:cs="Times New Roman"/>
          <w:i/>
          <w:noProof/>
          <w:sz w:val="20"/>
        </w:rPr>
        <w:t>Tectonophysics</w:t>
      </w:r>
      <w:r w:rsidRPr="00C55EDD">
        <w:rPr>
          <w:rFonts w:ascii="Times New Roman" w:hAnsi="Times New Roman" w:cs="Times New Roman"/>
          <w:noProof/>
          <w:sz w:val="20"/>
        </w:rPr>
        <w:t xml:space="preserve">, </w:t>
      </w:r>
      <w:r w:rsidRPr="00C55EDD">
        <w:rPr>
          <w:rFonts w:ascii="Times New Roman" w:hAnsi="Times New Roman" w:cs="Times New Roman"/>
          <w:i/>
          <w:noProof/>
          <w:sz w:val="20"/>
        </w:rPr>
        <w:t>712–713</w:t>
      </w:r>
      <w:r w:rsidRPr="00C55EDD">
        <w:rPr>
          <w:rFonts w:ascii="Times New Roman" w:hAnsi="Times New Roman" w:cs="Times New Roman"/>
          <w:noProof/>
          <w:sz w:val="20"/>
        </w:rPr>
        <w:t>, 145-155.</w:t>
      </w:r>
    </w:p>
    <w:p w:rsidR="008206A8" w:rsidRPr="00312979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312979">
        <w:rPr>
          <w:rFonts w:ascii="Times New Roman" w:hAnsi="Times New Roman" w:cs="Times New Roman"/>
          <w:noProof/>
          <w:sz w:val="20"/>
        </w:rPr>
        <w:t xml:space="preserve">Wang, E., E. Kirby, K. Furlong, M. van Soest, G. Xu, X. Shi, P. Kamp, and K. Hodges (2012), Two-phase growth of high topography in eastern Tibet during the Cenozoic, </w:t>
      </w:r>
      <w:r w:rsidRPr="00312979">
        <w:rPr>
          <w:rFonts w:ascii="Times New Roman" w:hAnsi="Times New Roman" w:cs="Times New Roman"/>
          <w:i/>
          <w:noProof/>
          <w:sz w:val="20"/>
        </w:rPr>
        <w:t>Nature Geoscience, 5</w:t>
      </w:r>
      <w:r w:rsidRPr="00312979">
        <w:rPr>
          <w:rFonts w:ascii="Times New Roman" w:hAnsi="Times New Roman" w:cs="Times New Roman"/>
          <w:noProof/>
          <w:sz w:val="20"/>
        </w:rPr>
        <w:t>(9), 640-645.</w:t>
      </w:r>
    </w:p>
    <w:p w:rsidR="008206A8" w:rsidRPr="00C55EDD" w:rsidRDefault="008206A8" w:rsidP="008206A8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noProof/>
          <w:sz w:val="20"/>
        </w:rPr>
      </w:pPr>
      <w:r w:rsidRPr="00C55EDD">
        <w:rPr>
          <w:rFonts w:ascii="Times New Roman" w:hAnsi="Times New Roman" w:cs="Times New Roman"/>
          <w:noProof/>
          <w:sz w:val="20"/>
        </w:rPr>
        <w:t xml:space="preserve">Wilson, C. J. L., and A. P. Fowler (2011), Denudational response to surface uplift in east Tibet: Evidence from apatite fission-track thermochronology, </w:t>
      </w:r>
      <w:r w:rsidRPr="00C55EDD">
        <w:rPr>
          <w:rFonts w:ascii="Times New Roman" w:hAnsi="Times New Roman" w:cs="Times New Roman"/>
          <w:i/>
          <w:noProof/>
          <w:sz w:val="20"/>
        </w:rPr>
        <w:t>Geological Society of America Bulletin</w:t>
      </w:r>
      <w:r w:rsidRPr="00C55EDD">
        <w:rPr>
          <w:rFonts w:ascii="Times New Roman" w:hAnsi="Times New Roman" w:cs="Times New Roman"/>
          <w:noProof/>
          <w:sz w:val="20"/>
        </w:rPr>
        <w:t xml:space="preserve">, </w:t>
      </w:r>
      <w:r w:rsidRPr="00C55EDD">
        <w:rPr>
          <w:rFonts w:ascii="Times New Roman" w:hAnsi="Times New Roman" w:cs="Times New Roman"/>
          <w:i/>
          <w:noProof/>
          <w:sz w:val="20"/>
        </w:rPr>
        <w:t>123</w:t>
      </w:r>
      <w:r w:rsidRPr="00C55EDD">
        <w:rPr>
          <w:rFonts w:ascii="Times New Roman" w:hAnsi="Times New Roman" w:cs="Times New Roman"/>
          <w:noProof/>
          <w:sz w:val="20"/>
        </w:rPr>
        <w:t>(9-10), 1966-1987.</w:t>
      </w:r>
    </w:p>
    <w:p w:rsidR="00791399" w:rsidRPr="00194114" w:rsidRDefault="00B46D21" w:rsidP="00194114">
      <w:pPr>
        <w:adjustRightInd w:val="0"/>
        <w:snapToGrid w:val="0"/>
        <w:spacing w:line="360" w:lineRule="auto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194114">
        <w:rPr>
          <w:rFonts w:ascii="Times New Roman" w:hAnsi="Times New Roman" w:cs="Times New Roman"/>
          <w:sz w:val="20"/>
          <w:szCs w:val="20"/>
        </w:rPr>
        <w:t xml:space="preserve">Yan, D., M. Zhou, G. Wei, J. Gao, S. Liu, P. Xu, and X. Shi (2008), The </w:t>
      </w:r>
      <w:proofErr w:type="spellStart"/>
      <w:r w:rsidRPr="00194114">
        <w:rPr>
          <w:rFonts w:ascii="Times New Roman" w:hAnsi="Times New Roman" w:cs="Times New Roman"/>
          <w:sz w:val="20"/>
          <w:szCs w:val="20"/>
        </w:rPr>
        <w:t>Pengguan</w:t>
      </w:r>
      <w:proofErr w:type="spellEnd"/>
      <w:r w:rsidRPr="00194114">
        <w:rPr>
          <w:rFonts w:ascii="Times New Roman" w:hAnsi="Times New Roman" w:cs="Times New Roman"/>
          <w:sz w:val="20"/>
          <w:szCs w:val="20"/>
        </w:rPr>
        <w:t xml:space="preserve"> tectonic dome of Longmen Mountains, Sichuan Province: Mesozoic denudation of a </w:t>
      </w:r>
      <w:proofErr w:type="spellStart"/>
      <w:r w:rsidRPr="00194114">
        <w:rPr>
          <w:rFonts w:ascii="Times New Roman" w:hAnsi="Times New Roman" w:cs="Times New Roman"/>
          <w:sz w:val="20"/>
          <w:szCs w:val="20"/>
        </w:rPr>
        <w:t>Neopro-terozoic</w:t>
      </w:r>
      <w:proofErr w:type="spellEnd"/>
      <w:r w:rsidRPr="00194114">
        <w:rPr>
          <w:rFonts w:ascii="Times New Roman" w:hAnsi="Times New Roman" w:cs="Times New Roman"/>
          <w:sz w:val="20"/>
          <w:szCs w:val="20"/>
        </w:rPr>
        <w:t xml:space="preserve"> magmatic arc-basin system, Science in China Series D-Earth Sciences, 51(11), 1545.</w:t>
      </w:r>
    </w:p>
    <w:p w:rsidR="00791399" w:rsidRPr="00791399" w:rsidRDefault="00791399" w:rsidP="0064608D">
      <w:pPr>
        <w:jc w:val="left"/>
        <w:rPr>
          <w:rFonts w:ascii="Times New Roman" w:hAnsi="Times New Roman" w:cs="Times New Roman"/>
          <w:sz w:val="22"/>
        </w:rPr>
      </w:pPr>
    </w:p>
    <w:sectPr w:rsidR="00791399" w:rsidRPr="00791399" w:rsidSect="0079139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CE" w:rsidRDefault="00C72BCE" w:rsidP="0064608D">
      <w:r>
        <w:separator/>
      </w:r>
    </w:p>
  </w:endnote>
  <w:endnote w:type="continuationSeparator" w:id="0">
    <w:p w:rsidR="00C72BCE" w:rsidRDefault="00C72BCE" w:rsidP="0064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CE" w:rsidRDefault="00C72BCE" w:rsidP="0064608D">
      <w:r>
        <w:separator/>
      </w:r>
    </w:p>
  </w:footnote>
  <w:footnote w:type="continuationSeparator" w:id="0">
    <w:p w:rsidR="00C72BCE" w:rsidRDefault="00C72BCE" w:rsidP="00646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377"/>
    <w:rsid w:val="00014694"/>
    <w:rsid w:val="000313E5"/>
    <w:rsid w:val="0006171E"/>
    <w:rsid w:val="0006332F"/>
    <w:rsid w:val="000A00A6"/>
    <w:rsid w:val="000A32EF"/>
    <w:rsid w:val="000E003F"/>
    <w:rsid w:val="000E5F51"/>
    <w:rsid w:val="00113004"/>
    <w:rsid w:val="00114D00"/>
    <w:rsid w:val="00194114"/>
    <w:rsid w:val="00196642"/>
    <w:rsid w:val="001D55EA"/>
    <w:rsid w:val="00235C41"/>
    <w:rsid w:val="002F0842"/>
    <w:rsid w:val="0035365F"/>
    <w:rsid w:val="003F586D"/>
    <w:rsid w:val="00461D42"/>
    <w:rsid w:val="004C4182"/>
    <w:rsid w:val="00513F2A"/>
    <w:rsid w:val="00524519"/>
    <w:rsid w:val="0058176B"/>
    <w:rsid w:val="005E5D7F"/>
    <w:rsid w:val="005F0B79"/>
    <w:rsid w:val="00615528"/>
    <w:rsid w:val="0063735B"/>
    <w:rsid w:val="00640CFF"/>
    <w:rsid w:val="00642608"/>
    <w:rsid w:val="0064608D"/>
    <w:rsid w:val="00660020"/>
    <w:rsid w:val="006E05D0"/>
    <w:rsid w:val="00784EDB"/>
    <w:rsid w:val="00791399"/>
    <w:rsid w:val="008206A8"/>
    <w:rsid w:val="008450F6"/>
    <w:rsid w:val="00896172"/>
    <w:rsid w:val="008F4803"/>
    <w:rsid w:val="00925BD3"/>
    <w:rsid w:val="00976D54"/>
    <w:rsid w:val="00983897"/>
    <w:rsid w:val="00995BF8"/>
    <w:rsid w:val="009C4677"/>
    <w:rsid w:val="00A14279"/>
    <w:rsid w:val="00A25841"/>
    <w:rsid w:val="00A33E63"/>
    <w:rsid w:val="00A56377"/>
    <w:rsid w:val="00B2330C"/>
    <w:rsid w:val="00B46D21"/>
    <w:rsid w:val="00BC236C"/>
    <w:rsid w:val="00BE2765"/>
    <w:rsid w:val="00C72BCE"/>
    <w:rsid w:val="00C96D99"/>
    <w:rsid w:val="00C972BE"/>
    <w:rsid w:val="00CD224B"/>
    <w:rsid w:val="00D3149D"/>
    <w:rsid w:val="00D4629C"/>
    <w:rsid w:val="00E97E53"/>
    <w:rsid w:val="00EC7B91"/>
    <w:rsid w:val="00EF0358"/>
    <w:rsid w:val="00F00666"/>
    <w:rsid w:val="00F26CE5"/>
    <w:rsid w:val="00F35FE1"/>
    <w:rsid w:val="00F5589C"/>
    <w:rsid w:val="00F71F4F"/>
    <w:rsid w:val="00F8180B"/>
    <w:rsid w:val="00FB6326"/>
    <w:rsid w:val="00FB6A33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D24DEA-00A1-F947-A5AE-6B57EDFE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60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608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3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399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399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399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39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2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06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6A8"/>
    <w:rPr>
      <w:color w:val="800080"/>
      <w:u w:val="single"/>
    </w:rPr>
  </w:style>
  <w:style w:type="paragraph" w:customStyle="1" w:styleId="font5">
    <w:name w:val="font5"/>
    <w:basedOn w:val="Normal"/>
    <w:rsid w:val="008206A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18"/>
      <w:szCs w:val="18"/>
    </w:rPr>
  </w:style>
  <w:style w:type="paragraph" w:customStyle="1" w:styleId="xl64">
    <w:name w:val="xl64"/>
    <w:basedOn w:val="Normal"/>
    <w:rsid w:val="008206A8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5">
    <w:name w:val="xl65"/>
    <w:basedOn w:val="Normal"/>
    <w:rsid w:val="008206A8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6">
    <w:name w:val="xl66"/>
    <w:basedOn w:val="Normal"/>
    <w:rsid w:val="008206A8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7">
    <w:name w:val="xl67"/>
    <w:basedOn w:val="Normal"/>
    <w:rsid w:val="008206A8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8">
    <w:name w:val="xl68"/>
    <w:basedOn w:val="Normal"/>
    <w:rsid w:val="008206A8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20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FA1D-5FFD-724E-AF8E-B2146C1A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Tian Yuntao</cp:lastModifiedBy>
  <cp:revision>19</cp:revision>
  <dcterms:created xsi:type="dcterms:W3CDTF">2018-06-20T14:51:00Z</dcterms:created>
  <dcterms:modified xsi:type="dcterms:W3CDTF">2019-09-13T07:08:00Z</dcterms:modified>
</cp:coreProperties>
</file>