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03CA9" w14:textId="1593F20B" w:rsidR="005B1BF4" w:rsidRPr="005B1BF4" w:rsidRDefault="005B1BF4" w:rsidP="005B1BF4">
      <w:pPr>
        <w:pStyle w:val="ListeParagraf"/>
        <w:numPr>
          <w:ilvl w:val="0"/>
          <w:numId w:val="1"/>
        </w:numPr>
        <w:rPr>
          <w:b/>
          <w:bCs/>
          <w:lang w:val="en-GB"/>
        </w:rPr>
      </w:pPr>
      <w:r w:rsidRPr="005B1BF4">
        <w:rPr>
          <w:b/>
          <w:bCs/>
          <w:lang w:val="en-GB"/>
        </w:rPr>
        <w:t>Introduction</w:t>
      </w:r>
    </w:p>
    <w:p w14:paraId="53618112" w14:textId="395633B1" w:rsidR="00DF5908" w:rsidRDefault="00DF5908" w:rsidP="005B1BF4">
      <w:pPr>
        <w:ind w:left="360"/>
      </w:pPr>
      <w:r w:rsidRPr="00DF5908">
        <w:t>Aquaculture is an essential alternative food production method to meet the growing global demand for protein. In these systems, maintaining optimal environmental conditions like temperature and turbidity is crucial for fish survival and growth. Turbidity indicates the presence of suspended particulate matter; excessive levels can stunt fish growth, induce stress, and increase mortality rates.</w:t>
      </w:r>
    </w:p>
    <w:p w14:paraId="17890E59" w14:textId="0955814C" w:rsidR="00DF5908" w:rsidRDefault="00DF5908" w:rsidP="005B1BF4">
      <w:pPr>
        <w:ind w:left="360"/>
      </w:pPr>
      <w:r w:rsidRPr="00DF5908">
        <w:t>Consistent monitoring of these parameters presents a significant challenge for small and medium-sized enterprises (SMEs). Traditional water quality testing methods rely on manual sample collection and laboratory analyses, which are laborious, time-consuming, and often fail to detect sudden environmental changes. To address these inefficiencies, the Internet of Things (IoT) has emerged as a revolutionary approach, enabling the continuous, real-time assessment of water quality without human intervention.</w:t>
      </w:r>
    </w:p>
    <w:p w14:paraId="5FE1C7E7" w14:textId="1931FD69" w:rsidR="00DF5908" w:rsidRDefault="00DF5908" w:rsidP="005B1BF4">
      <w:pPr>
        <w:ind w:left="360"/>
      </w:pPr>
      <w:r w:rsidRPr="00DF5908">
        <w:t>While commercial IoT monitoring systems exist, their high acquisition and maintenance costs often render them economically unviable for widespread adoption in rural or SME-scale aquaculture. Furthermore, existing commercial instruments are typically complex and lack the flexibility required for easy deployment. Therefore, there is a critical need for low-cost, portable, and automated systems leveraging open-source microcontrollers and solar-powered wireless sensor nodes.</w:t>
      </w:r>
    </w:p>
    <w:p w14:paraId="3E169767" w14:textId="68A0FD86" w:rsidR="00DF5908" w:rsidRPr="005B1BF4" w:rsidRDefault="00DF5908" w:rsidP="005B1BF4">
      <w:pPr>
        <w:ind w:left="360"/>
        <w:rPr>
          <w:lang w:val="en-GB"/>
        </w:rPr>
      </w:pPr>
      <w:r w:rsidRPr="00DF5908">
        <w:t>To bridge this technological gap, this study proposes a low-cost, solar-powered IoT system for real-time water quality monitoring in aquaculture. The autonomous node utilizes a custom-designed PCB docking board that houses an ESP32 microcontroller, integrating a voltage divider network to monitor a 4-cell battery pack. Powered sustainably by solar energy, the system continuously tracks water turbidity and records temperature using a waterproof metal probe. Data is transmitted via local Wi-Fi to the Thinger.io cloud dashboard for mobile visualization, while also supporting smart home voice control via Sinric Pro and Alexa. This cost-effective and scalable system aims to empower fish farmers with immediate, data-driven insights to ensure optimal aquatic conditions and improve overall yield.</w:t>
      </w:r>
    </w:p>
    <w:sectPr w:rsidR="00DF5908" w:rsidRPr="005B1BF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1B216D"/>
    <w:multiLevelType w:val="hybridMultilevel"/>
    <w:tmpl w:val="D57CAFC6"/>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10912400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1BF4"/>
    <w:rsid w:val="001A7AA4"/>
    <w:rsid w:val="005B1BF4"/>
    <w:rsid w:val="007200C9"/>
    <w:rsid w:val="00D165B1"/>
    <w:rsid w:val="00DF5908"/>
    <w:rsid w:val="00F90DA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11362"/>
  <w15:chartTrackingRefBased/>
  <w15:docId w15:val="{97698C02-F792-40E7-8F11-D3EF0ED62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5B1B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5B1B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5B1BF4"/>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5B1BF4"/>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5B1BF4"/>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5B1BF4"/>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5B1BF4"/>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5B1BF4"/>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5B1BF4"/>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5B1BF4"/>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5B1BF4"/>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5B1BF4"/>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5B1BF4"/>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5B1BF4"/>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5B1BF4"/>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5B1BF4"/>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5B1BF4"/>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5B1BF4"/>
    <w:rPr>
      <w:rFonts w:eastAsiaTheme="majorEastAsia" w:cstheme="majorBidi"/>
      <w:color w:val="272727" w:themeColor="text1" w:themeTint="D8"/>
    </w:rPr>
  </w:style>
  <w:style w:type="paragraph" w:styleId="KonuBal">
    <w:name w:val="Title"/>
    <w:basedOn w:val="Normal"/>
    <w:next w:val="Normal"/>
    <w:link w:val="KonuBalChar"/>
    <w:uiPriority w:val="10"/>
    <w:qFormat/>
    <w:rsid w:val="005B1B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5B1BF4"/>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5B1BF4"/>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5B1BF4"/>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5B1BF4"/>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5B1BF4"/>
    <w:rPr>
      <w:i/>
      <w:iCs/>
      <w:color w:val="404040" w:themeColor="text1" w:themeTint="BF"/>
    </w:rPr>
  </w:style>
  <w:style w:type="paragraph" w:styleId="ListeParagraf">
    <w:name w:val="List Paragraph"/>
    <w:basedOn w:val="Normal"/>
    <w:uiPriority w:val="34"/>
    <w:qFormat/>
    <w:rsid w:val="005B1BF4"/>
    <w:pPr>
      <w:ind w:left="720"/>
      <w:contextualSpacing/>
    </w:pPr>
  </w:style>
  <w:style w:type="character" w:styleId="GlVurgulama">
    <w:name w:val="Intense Emphasis"/>
    <w:basedOn w:val="VarsaylanParagrafYazTipi"/>
    <w:uiPriority w:val="21"/>
    <w:qFormat/>
    <w:rsid w:val="005B1BF4"/>
    <w:rPr>
      <w:i/>
      <w:iCs/>
      <w:color w:val="0F4761" w:themeColor="accent1" w:themeShade="BF"/>
    </w:rPr>
  </w:style>
  <w:style w:type="paragraph" w:styleId="GlAlnt">
    <w:name w:val="Intense Quote"/>
    <w:basedOn w:val="Normal"/>
    <w:next w:val="Normal"/>
    <w:link w:val="GlAlntChar"/>
    <w:uiPriority w:val="30"/>
    <w:qFormat/>
    <w:rsid w:val="005B1B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5B1BF4"/>
    <w:rPr>
      <w:i/>
      <w:iCs/>
      <w:color w:val="0F4761" w:themeColor="accent1" w:themeShade="BF"/>
    </w:rPr>
  </w:style>
  <w:style w:type="character" w:styleId="GlBavuru">
    <w:name w:val="Intense Reference"/>
    <w:basedOn w:val="VarsaylanParagrafYazTipi"/>
    <w:uiPriority w:val="32"/>
    <w:qFormat/>
    <w:rsid w:val="005B1B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327</Words>
  <Characters>1866</Characters>
  <Application>Microsoft Office Word</Application>
  <DocSecurity>0</DocSecurity>
  <Lines>15</Lines>
  <Paragraphs>4</Paragraphs>
  <ScaleCrop>false</ScaleCrop>
  <Company/>
  <LinksUpToDate>false</LinksUpToDate>
  <CharactersWithSpaces>2189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Yunus Kunduz</dc:creator>
  <cp:keywords/>
  <dc:description/>
  <cp:lastModifiedBy>Yunus Kunduz</cp:lastModifiedBy>
  <cp:revision>3</cp:revision>
  <dcterms:created xsi:type="dcterms:W3CDTF">2026-07-22T14:08:00Z</dcterms:created>
  <dcterms:modified xsi:type="dcterms:W3CDTF">2026-08-13T05:56:00Z</dcterms:modified>
</cp:coreProperties>
</file>