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240" w:after="16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-673104</wp:posOffset>
                </wp:positionH>
                <wp:positionV relativeFrom="paragraph">
                  <wp:posOffset>-436884</wp:posOffset>
                </wp:positionV>
                <wp:extent cx="4029075" cy="384175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37782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192" w:before="0" w:after="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Calibri" w:eastAsia="Calibri" w:hAnsi="Calibri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36"/>
                                <w:szCs w:val="36"/>
                                <w:smallCaps w:val="1"/>
                                <w:rFonts w:ascii="Times New Roman" w:eastAsia="Times New Roman" w:hAnsi="Times New Roman" w:hint="default"/>
                              </w:rPr>
                              <w:t xml:space="preserve">Yunus Kazan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53pt;mso-position-horizontal:absolute;mso-position-horizontal-relative:text;margin-top:-34pt;mso-position-vertical:absolute;mso-position-vertical-relative:text;width:316.6pt;height:29.6pt;z-index:251624966" coordsize="4022090,377190" path="m,l4022090,,4022090,377190,,377190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192" w:before="0" w:after="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Calibri" w:eastAsia="Calibri" w:hAnsi="Calibri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36"/>
                          <w:szCs w:val="36"/>
                          <w:smallCaps w:val="1"/>
                          <w:rFonts w:ascii="Times New Roman" w:eastAsia="Times New Roman" w:hAnsi="Times New Roman" w:hint="default"/>
                        </w:rPr>
                        <w:t xml:space="preserve">Yunus Kazan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-659769</wp:posOffset>
                </wp:positionH>
                <wp:positionV relativeFrom="paragraph">
                  <wp:posOffset>7625</wp:posOffset>
                </wp:positionV>
                <wp:extent cx="3509645" cy="448310"/>
                <wp:effectExtent l="0" t="0" r="0" b="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45148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4"/>
                                <w:szCs w:val="24"/>
                                <w:rFonts w:ascii="Calibri" w:eastAsia="Calibri" w:hAnsi="Calibri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24"/>
                                <w:szCs w:val="24"/>
                                <w:rFonts w:ascii="Tahoma" w:eastAsia="Tahoma" w:hAnsi="Tahoma" w:hint="default"/>
                              </w:rPr>
                              <w:t xml:space="preserve">Software Development Engineer in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-52pt;mso-position-horizontal:absolute;mso-position-horizontal-relative:text;margin-top:1pt;mso-position-vertical:absolute;mso-position-vertical-relative:text;width:276.5pt;height:35.5pt;z-index:251624967" coordsize="3512185,450850" path="m,l3512185,,3512185,450850,,450850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4"/>
                          <w:szCs w:val="24"/>
                          <w:rFonts w:ascii="Calibri" w:eastAsia="Calibri" w:hAnsi="Calibri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24"/>
                          <w:szCs w:val="24"/>
                          <w:rFonts w:ascii="Tahoma" w:eastAsia="Tahoma" w:hAnsi="Tahoma" w:hint="default"/>
                        </w:rPr>
                        <w:t xml:space="preserve">Software Development Engineer in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-660404</wp:posOffset>
            </wp:positionH>
            <wp:positionV relativeFrom="paragraph">
              <wp:posOffset>7625</wp:posOffset>
            </wp:positionV>
            <wp:extent cx="3088640" cy="460375"/>
            <wp:effectExtent l="0" t="0" r="0" b="0"/>
            <wp:wrapNone/>
            <wp:docPr id="1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unuskazan/Library/Group Containers/L48J367XN4.com.infraware.PolarisOffice/EngineTemp/3831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4610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3924304</wp:posOffset>
                </wp:positionH>
                <wp:positionV relativeFrom="paragraph">
                  <wp:posOffset>-228604</wp:posOffset>
                </wp:positionV>
                <wp:extent cx="2038349" cy="29527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295910"/>
                          <a:chOff x="0" y="0"/>
                          <a:chExt cx="2038985" cy="295910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0" y="0"/>
                            <a:ext cx="2038985" cy="295910"/>
                            <a:chOff x="0" y="0"/>
                            <a:chExt cx="2038985" cy="295910"/>
                          </a:xfrm>
                          <a:prstGeom prst="rect"/>
                          <a:ln cap="flat"/>
                        </wpg:grpSpPr>
                        <wps:wsp>
                          <wps:cNvPr id="3" name="Rectangle 3"/>
                          <wps:cNvSpPr txBox="1"/>
                          <wps:spPr>
                            <a:xfrm>
                              <a:off x="0" y="0"/>
                              <a:ext cx="2038985" cy="295910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4" name="Freeform 4"/>
                          <wps:cNvSpPr txBox="1"/>
                          <wps:spPr>
                            <a:xfrm>
                              <a:off x="0" y="132080"/>
                              <a:ext cx="76835" cy="63500"/>
                            </a:xfrm>
                            <a:custGeom>
                              <a:gdLst>
                                <a:gd fmla="*/ 30 w 33" name="TX0"/>
                                <a:gd fmla="*/ 9 h 27" name="TY0"/>
                                <a:gd fmla="*/ 22 w 33" name="TX1"/>
                                <a:gd fmla="*/ 15 h 27" name="TY1"/>
                                <a:gd fmla="*/ 17 w 33" name="TX2"/>
                                <a:gd fmla="*/ 17 h 27" name="TY2"/>
                                <a:gd fmla="*/ 17 w 33" name="TX3"/>
                                <a:gd fmla="*/ 17 h 27" name="TY3"/>
                                <a:gd fmla="*/ 17 w 33" name="TX4"/>
                                <a:gd fmla="*/ 17 h 27" name="TY4"/>
                                <a:gd fmla="*/ 12 w 33" name="TX5"/>
                                <a:gd fmla="*/ 15 h 27" name="TY5"/>
                                <a:gd fmla="*/ 3 w 33" name="TX6"/>
                                <a:gd fmla="*/ 9 h 27" name="TY6"/>
                                <a:gd fmla="*/ 0 w 33" name="TX7"/>
                                <a:gd fmla="*/ 4 h 27" name="TY7"/>
                                <a:gd fmla="*/ 3 w 33" name="TX8"/>
                                <a:gd fmla="*/ 0 h 27" name="TY8"/>
                                <a:gd fmla="*/ 30 w 33" name="TX9"/>
                                <a:gd fmla="*/ 0 h 27" name="TY9"/>
                                <a:gd fmla="*/ 33 w 33" name="TX10"/>
                                <a:gd fmla="*/ 3 h 27" name="TY10"/>
                                <a:gd fmla="*/ 30 w 33" name="TX11"/>
                                <a:gd fmla="*/ 9 h 27" name="TY11"/>
                                <a:gd fmla="*/ 33 w 33" name="TX12"/>
                                <a:gd fmla="*/ 24 h 27" name="TY12"/>
                                <a:gd fmla="*/ 30 w 33" name="TX13"/>
                                <a:gd fmla="*/ 27 h 27" name="TY13"/>
                                <a:gd fmla="*/ 3 w 33" name="TX14"/>
                                <a:gd fmla="*/ 27 h 27" name="TY14"/>
                                <a:gd fmla="*/ 0 w 33" name="TX15"/>
                                <a:gd fmla="*/ 24 h 27" name="TY15"/>
                                <a:gd fmla="*/ 0 w 33" name="TX16"/>
                                <a:gd fmla="*/ 9 h 27" name="TY16"/>
                                <a:gd fmla="*/ 2 w 33" name="TX17"/>
                                <a:gd fmla="*/ 11 h 27" name="TY17"/>
                                <a:gd fmla="*/ 11 w 33" name="TX18"/>
                                <a:gd fmla="*/ 17 h 27" name="TY18"/>
                                <a:gd fmla="*/ 17 w 33" name="TX19"/>
                                <a:gd fmla="*/ 20 h 27" name="TY19"/>
                                <a:gd fmla="*/ 17 w 33" name="TX20"/>
                                <a:gd fmla="*/ 20 h 27" name="TY20"/>
                                <a:gd fmla="*/ 17 w 33" name="TX21"/>
                                <a:gd fmla="*/ 20 h 27" name="TY21"/>
                                <a:gd fmla="*/ 22 w 33" name="TX22"/>
                                <a:gd fmla="*/ 17 h 27" name="TY22"/>
                                <a:gd fmla="*/ 32 w 33" name="TX23"/>
                                <a:gd fmla="*/ 11 h 27" name="TY23"/>
                                <a:gd fmla="*/ 33 w 33" name="TX24"/>
                                <a:gd fmla="*/ 9 h 27" name="TY24"/>
                                <a:gd fmla="*/ 33 w 33" name="TX25"/>
                                <a:gd fmla="*/ 24 h 27" name="TY25"/>
                              </a:gdLst>
                              <a:cxnLst>
                                <a:cxn ang="0">
                                  <a:pos x="TX0" y="TY0"/>
                                </a:cxn>
                                <a:cxn ang="0">
                                  <a:pos x="TX1" y="TY1"/>
                                </a:cxn>
                                <a:cxn ang="0">
                                  <a:pos x="TX2" y="TY2"/>
                                </a:cxn>
                                <a:cxn ang="0">
                                  <a:pos x="TX3" y="TY3"/>
                                </a:cxn>
                                <a:cxn ang="0">
                                  <a:pos x="TX4" y="TY4"/>
                                </a:cxn>
                                <a:cxn ang="0">
                                  <a:pos x="TX5" y="TY5"/>
                                </a:cxn>
                                <a:cxn ang="0">
                                  <a:pos x="TX6" y="TY6"/>
                                </a:cxn>
                                <a:cxn ang="0">
                                  <a:pos x="TX7" y="TY7"/>
                                </a:cxn>
                                <a:cxn ang="0">
                                  <a:pos x="TX8" y="TY8"/>
                                </a:cxn>
                                <a:cxn ang="0">
                                  <a:pos x="TX9" y="TY9"/>
                                </a:cxn>
                                <a:cxn ang="0">
                                  <a:pos x="TX10" y="TY10"/>
                                </a:cxn>
                                <a:cxn ang="0">
                                  <a:pos x="TX11" y="TY11"/>
                                </a:cxn>
                                <a:cxn ang="0">
                                  <a:pos x="TX12" y="TY12"/>
                                </a:cxn>
                                <a:cxn ang="0">
                                  <a:pos x="TX13" y="TY13"/>
                                </a:cxn>
                                <a:cxn ang="0">
                                  <a:pos x="TX14" y="TY14"/>
                                </a:cxn>
                                <a:cxn ang="0">
                                  <a:pos x="TX15" y="TY15"/>
                                </a:cxn>
                                <a:cxn ang="0">
                                  <a:pos x="TX16" y="TY16"/>
                                </a:cxn>
                                <a:cxn ang="0">
                                  <a:pos x="TX17" y="TY17"/>
                                </a:cxn>
                                <a:cxn ang="0">
                                  <a:pos x="TX18" y="TY18"/>
                                </a:cxn>
                                <a:cxn ang="0">
                                  <a:pos x="TX19" y="TY19"/>
                                </a:cxn>
                                <a:cxn ang="0">
                                  <a:pos x="TX20" y="TY20"/>
                                </a:cxn>
                                <a:cxn ang="0">
                                  <a:pos x="TX21" y="TY21"/>
                                </a:cxn>
                                <a:cxn ang="0">
                                  <a:pos x="TX22" y="TY22"/>
                                </a:cxn>
                                <a:cxn ang="0">
                                  <a:pos x="TX23" y="TY23"/>
                                </a:cxn>
                                <a:cxn ang="0">
                                  <a:pos x="TX24" y="TY24"/>
                                </a:cxn>
                                <a:cxn ang="0">
                                  <a:pos x="TX25" y="TY25"/>
                                </a:cxn>
                              </a:cxnLst>
                              <a:rect l="l" t="t" r="r" b="b"/>
                              <a:pathLst>
                                <a:path w="33" h="27">
                                  <a:moveTo>
                                    <a:pt x="30" y="9"/>
                                  </a:moveTo>
                                  <a:cubicBezTo>
                                    <a:pt x="27" y="11"/>
                                    <a:pt x="24" y="13"/>
                                    <a:pt x="22" y="15"/>
                                  </a:cubicBezTo>
                                  <a:cubicBezTo>
                                    <a:pt x="20" y="16"/>
                                    <a:pt x="18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5" y="17"/>
                                    <a:pt x="13" y="16"/>
                                    <a:pt x="12" y="15"/>
                                  </a:cubicBezTo>
                                  <a:cubicBezTo>
                                    <a:pt x="9" y="13"/>
                                    <a:pt x="6" y="11"/>
                                    <a:pt x="3" y="9"/>
                                  </a:cubicBezTo>
                                  <a:cubicBezTo>
                                    <a:pt x="2" y="8"/>
                                    <a:pt x="0" y="6"/>
                                    <a:pt x="0" y="4"/>
                                  </a:cubicBezTo>
                                  <a:cubicBezTo>
                                    <a:pt x="0" y="2"/>
                                    <a:pt x="1" y="0"/>
                                    <a:pt x="3" y="0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cubicBezTo>
                                    <a:pt x="32" y="0"/>
                                    <a:pt x="33" y="2"/>
                                    <a:pt x="33" y="3"/>
                                  </a:cubicBezTo>
                                  <a:cubicBezTo>
                                    <a:pt x="33" y="6"/>
                                    <a:pt x="32" y="7"/>
                                    <a:pt x="30" y="9"/>
                                  </a:cubicBezTo>
                                  <a:moveTo>
                                    <a:pt x="33" y="24"/>
                                  </a:moveTo>
                                  <a:cubicBezTo>
                                    <a:pt x="33" y="26"/>
                                    <a:pt x="32" y="27"/>
                                    <a:pt x="30" y="27"/>
                                  </a:cubicBezTo>
                                  <a:cubicBezTo>
                                    <a:pt x="3" y="27"/>
                                    <a:pt x="3" y="27"/>
                                    <a:pt x="3" y="27"/>
                                  </a:cubicBezTo>
                                  <a:cubicBezTo>
                                    <a:pt x="1" y="27"/>
                                    <a:pt x="0" y="26"/>
                                    <a:pt x="0" y="24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1" y="10"/>
                                    <a:pt x="1" y="10"/>
                                    <a:pt x="2" y="11"/>
                                  </a:cubicBezTo>
                                  <a:cubicBezTo>
                                    <a:pt x="5" y="13"/>
                                    <a:pt x="8" y="15"/>
                                    <a:pt x="11" y="17"/>
                                  </a:cubicBezTo>
                                  <a:cubicBezTo>
                                    <a:pt x="13" y="18"/>
                                    <a:pt x="15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9" y="20"/>
                                    <a:pt x="21" y="18"/>
                                    <a:pt x="22" y="17"/>
                                  </a:cubicBezTo>
                                  <a:cubicBezTo>
                                    <a:pt x="25" y="15"/>
                                    <a:pt x="28" y="13"/>
                                    <a:pt x="32" y="11"/>
                                  </a:cubicBezTo>
                                  <a:cubicBezTo>
                                    <a:pt x="32" y="10"/>
                                    <a:pt x="33" y="10"/>
                                    <a:pt x="33" y="9"/>
                                  </a:cubicBezTo>
                                  <a:lnTo>
                                    <a:pt x="3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F3F"/>
                            </a:solidFill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Rectangle 6"/>
                          <wps:cNvSpPr txBox="1"/>
                          <wps:spPr>
                            <a:xfrm>
                              <a:off x="63500" y="0"/>
                              <a:ext cx="1975485" cy="295910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4pt,7pt,4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59" w:before="0" w:after="16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  <w:r>
                                  <w:rPr>
                                    <w:b w:val="1"/>
                                    <w:color w:val="000000"/>
                                    <w:sz w:val="22"/>
                                    <w:szCs w:val="22"/>
                                    <w:rFonts w:ascii="Times New Roman" w:eastAsia="Times New Roman" w:hAnsi="Times New Roman" w:hint="default"/>
                                  </w:rPr>
                                  <w:t>kazanyunus81@gmail.com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" style="position:absolute;left:0;margin-left:309pt;mso-position-horizontal:absolute;mso-position-horizontal-relative:text;margin-top:-18pt;mso-position-vertical:absolute;mso-position-vertical-relative:text;width:160.5pt;height:23.2pt;z-index:251624968" coordorigin="7619,1081" coordsize="3210,465">
                <v:group id="_x0000_s13" style="position:absolute;left:7619;top:1081;width:3210;height:465;z-index:251624960" coordorigin="7619,1081" coordsize="3210,465">
                  <v:shape id="_x0000_s14" style="position:absolute;left:7619;top:1081;width:3210;height:465;v-text-anchor:middle;z-index:251624960" coordsize="2038349,295275" path="m,l2038349,,2038349,295275,,295275xe" stroked="f" filled="f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15" style="position:absolute;left:7619;top:1289;width:120;height:99;v-text-anchor:middle;z-index:251624961" coordsize="76200,62865" path="m69215,20955c62229,25400,55245,30480,50800,34925,46355,37465,41910,39370,39370,39370,39370,39370,39370,39370,39370,39370,39370,39370,39370,39370,39370,39370,34925,39370,29845,37465,27940,34925,20955,30480,13970,25400,6985,20955,4445,18415,,13970,,9525,,4445,2540,,6985,,69215,,69215,,69215,,74295,,76200,4445,76200,6985,76200,13970,74295,16510,69215,20955m76200,55880c76200,60960,74295,62865,69215,62865,6985,62865,6985,62865,6985,62865,2540,62865,,60960,,55880,,20955,,20955,,20955,2540,23495,2540,23495,4445,25400,11430,30480,18415,34925,25400,39370,29845,41910,34925,46355,39370,46355,39370,46355,39370,46355,39370,46355,39370,46355,39370,46355,39370,46355,43815,46355,48260,41910,50800,39370,57785,34925,64770,30480,74295,25400,74295,23495,76200,23495,76200,20955l76200,55880xe" stroked="f" fillcolor="#3f3f3f" filled="t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16" style="position:absolute;left:7719;top:1081;width:3110;height:465;z-index:251624962" coordsize="1974850,295275" path="m,l1974850,,1974850,295275,,295275xe" stroked="f" filled="f">
                    <v:textbox style="" inset="7pt,4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59" w:before="0" w:after="16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  <w:r>
                            <w:rPr>
                              <w:b w:val="1"/>
                              <w:color w:val="000000"/>
                              <w:sz w:val="22"/>
                              <w:szCs w:val="22"/>
                              <w:rFonts w:ascii="Times New Roman" w:eastAsia="Times New Roman" w:hAnsi="Times New Roman" w:hint="default"/>
                            </w:rPr>
                            <w:t>kazanyunus81@gmail.com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3924304</wp:posOffset>
                </wp:positionH>
                <wp:positionV relativeFrom="paragraph">
                  <wp:posOffset>-469905</wp:posOffset>
                </wp:positionV>
                <wp:extent cx="2116455" cy="21717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090" cy="217805"/>
                          <a:chOff x="0" y="0"/>
                          <a:chExt cx="2117090" cy="217805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0" y="0"/>
                            <a:ext cx="2117090" cy="217805"/>
                            <a:chOff x="0" y="0"/>
                            <a:chExt cx="2117090" cy="217805"/>
                          </a:xfrm>
                          <a:prstGeom prst="rect"/>
                          <a:ln cap="flat"/>
                        </wpg:grpSpPr>
                        <wps:wsp>
                          <wps:cNvPr id="10" name="Rectangle 10"/>
                          <wps:cNvSpPr txBox="1"/>
                          <wps:spPr>
                            <a:xfrm>
                              <a:off x="0" y="0"/>
                              <a:ext cx="2117090" cy="21780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/Users/yunuskazan/Library/Group Containers/L48J367XN4.com.infraware.PolarisOffice/EngineTemp/3831/image2.png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6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8900"/>
                              <a:ext cx="95885" cy="8572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pic:spPr>
                        </pic:pic>
                        <wps:wsp>
                          <wps:cNvPr id="12" name="Rectangle 12"/>
                          <wps:cNvSpPr txBox="1"/>
                          <wps:spPr>
                            <a:xfrm>
                              <a:off x="63500" y="0"/>
                              <a:ext cx="2053589" cy="21780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4pt,7pt,4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59" w:before="0" w:after="16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  <w:r>
                                  <w:rPr>
                                    <w:b w:val="1"/>
                                    <w:color w:val="000000"/>
                                    <w:sz w:val="20"/>
                                    <w:szCs w:val="20"/>
                                    <w:rFonts w:ascii="Times New Roman" w:eastAsia="Times New Roman" w:hAnsi="Times New Roman" w:hint="default"/>
                                  </w:rPr>
                                  <w:t>954-406-8156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7" style="position:absolute;left:0;margin-left:309pt;mso-position-horizontal:absolute;mso-position-horizontal-relative:text;margin-top:-37pt;mso-position-vertical:absolute;mso-position-vertical-relative:text;width:166.6pt;height:17.1pt;z-index:251624969" coordorigin="7619,700" coordsize="3333,342">
                <v:group id="_x0000_s18" style="position:absolute;left:7619;top:700;width:3333;height:342;z-index:251624960" coordorigin="7619,700" coordsize="3333,342">
                  <v:shape id="_x0000_s19" style="position:absolute;left:7619;top:700;width:3333;height:342;v-text-anchor:middle;z-index:251624960" coordsize="2116455,217170" path="m,l2116455,,2116455,217170,,217170xe" stroked="f" filled="f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20" style="position:absolute;left:7619;top:840;width:150;height:134;z-index:251624961" coordsize="95250,85090" path="m,l95250,,95250,85090,,85090xe" stroked="f" fillcolor="#fcfcfc">
                    <v:fill r:id="rId7" recolor="t" rotate="t" type="frame"/>
                    <v:imagedata/>
                  </v:shape>
                  <v:shape id="_x0000_s21" style="position:absolute;left:7719;top:700;width:3233;height:342;z-index:251624962" coordsize="2052955,217170" path="m,l2052955,,2052955,217170,,217170xe" stroked="f" filled="f">
                    <v:textbox style="" inset="7pt,4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59" w:before="0" w:after="16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  <w:r>
                            <w:rPr>
                              <w:b w:val="1"/>
                              <w:color w:val="000000"/>
                              <w:sz w:val="20"/>
                              <w:szCs w:val="20"/>
                              <w:rFonts w:ascii="Times New Roman" w:eastAsia="Times New Roman" w:hAnsi="Times New Roman" w:hint="default"/>
                            </w:rPr>
                            <w:t>954-406-8156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3924304</wp:posOffset>
            </wp:positionH>
            <wp:positionV relativeFrom="paragraph">
              <wp:posOffset>-469905</wp:posOffset>
            </wp:positionV>
            <wp:extent cx="2118995" cy="219710"/>
            <wp:effectExtent l="0" t="0" r="0" b="0"/>
            <wp:wrapNone/>
            <wp:docPr id="2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yunuskazan/Library/Group Containers/L48J367XN4.com.infraware.PolarisOffice/EngineTemp/3831/image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203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-2819404</wp:posOffset>
                </wp:positionH>
                <wp:positionV relativeFrom="paragraph">
                  <wp:posOffset>-584204</wp:posOffset>
                </wp:positionV>
                <wp:extent cx="9813925" cy="34925"/>
                <wp:effectExtent l="0" t="0" r="0" b="0"/>
                <wp:wrapNone/>
                <wp:docPr id="2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575" cy="28575"/>
                        </a:xfrm>
                        <a:prstGeom prst="straightConnector1"/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-222pt;mso-position-horizontal:absolute;mso-position-horizontal-relative:text;margin-top:-46pt;mso-position-vertical:absolute;mso-position-vertical-relative:text;width:772.2pt;height:2.2pt;v-text-anchor:middle;z-index:251624970" coordsize="9806940,27940" path="m,l9806940,27940e" strokecolor="#595959" o:allowoverlap="1" strokeweight="0.75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-2819404</wp:posOffset>
            </wp:positionH>
            <wp:positionV relativeFrom="paragraph">
              <wp:posOffset>-584204</wp:posOffset>
            </wp:positionV>
            <wp:extent cx="9816465" cy="37465"/>
            <wp:effectExtent l="0" t="0" r="0" b="0"/>
            <wp:wrapNone/>
            <wp:docPr id="2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yunuskazan/Library/Group Containers/L48J367XN4.com.infraware.PolarisOffice/EngineTemp/3831/image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0" cy="381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-914404</wp:posOffset>
                </wp:positionH>
                <wp:positionV relativeFrom="paragraph">
                  <wp:posOffset>487685</wp:posOffset>
                </wp:positionV>
                <wp:extent cx="7702550" cy="12700"/>
                <wp:effectExtent l="0" t="0" r="0" b="0"/>
                <wp:wrapNone/>
                <wp:docPr id="25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3175"/>
                        </a:xfrm>
                        <a:prstGeom prst="straightConnector1"/>
                        <a:noFill/>
                        <a:ln w="9525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-72pt;mso-position-horizontal:absolute;mso-position-horizontal-relative:text;margin-top:38pt;mso-position-vertical:absolute;mso-position-vertical-relative:text;width:606.7pt;height:0.2pt;v-text-anchor:middle;z-index:251624971" coordsize="7705090,2540" path="m,l7705090,2540e" strokecolor="#3f3f3f" o:allowoverlap="1" strokeweight="0.75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-914404</wp:posOffset>
            </wp:positionH>
            <wp:positionV relativeFrom="paragraph">
              <wp:posOffset>487685</wp:posOffset>
            </wp:positionV>
            <wp:extent cx="7705090" cy="15240"/>
            <wp:effectExtent l="0" t="0" r="0" b="0"/>
            <wp:wrapNone/>
            <wp:docPr id="2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yunuskazan/Library/Group Containers/L48J367XN4.com.infraware.PolarisOffice/EngineTemp/3831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58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3835404</wp:posOffset>
                </wp:positionH>
                <wp:positionV relativeFrom="paragraph">
                  <wp:posOffset>127004</wp:posOffset>
                </wp:positionV>
                <wp:extent cx="2062480" cy="226695"/>
                <wp:effectExtent l="0" t="0" r="0" b="0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29" cy="22034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Calibri" w:eastAsia="Calibri" w:hAnsi="Calibri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  <w:t xml:space="preserve">Autorized to Work in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302pt;mso-position-horizontal:absolute;mso-position-horizontal-relative:text;margin-top:10pt;mso-position-vertical:absolute;mso-position-vertical-relative:text;width:161.8pt;height:17.3pt;z-index:251624972" coordsize="2055495,219710" path="m,l2055495,,2055495,219710,,219710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Calibri" w:eastAsia="Calibri" w:hAnsi="Calibri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  <w:t xml:space="preserve">Autorized to Work in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column">
              <wp:posOffset>3835404</wp:posOffset>
            </wp:positionH>
            <wp:positionV relativeFrom="paragraph">
              <wp:posOffset>127004</wp:posOffset>
            </wp:positionV>
            <wp:extent cx="2065020" cy="229235"/>
            <wp:effectExtent l="0" t="0" r="0" b="0"/>
            <wp:wrapNone/>
            <wp:docPr id="28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yunuskazan/Library/Group Containers/L48J367XN4.com.infraware.PolarisOffice/EngineTemp/3831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298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t>OBJECTIVES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To achieve Software Automation engineer position tasks, I’m life-long learner and to keep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growing myself up to develop and utilize my technical skills and knowledge about new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technologies while to solve and to enable better understanding over complex problems in a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dynamically challenging environment .</w:t>
      </w: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Professional Summary: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Over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4 years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of experience in Information Technology, with specializing in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Software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Testing,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proficient in testing 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Web based applications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working on different domains such as banking,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eCommerce, Insurance etc.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Experience working on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Waterfall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Agile Development Methodology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Proficient in using test automation tools such as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to develop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testing scripts for web and client server applications.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Good knowledge and experience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Junit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Cucumber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framework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 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 project 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building tool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to build and manage framework.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in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Data driven(TestNG)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frameworks in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Selenium.</w:t>
      </w:r>
    </w:p>
    <w:p>
      <w:pPr>
        <w:bidi w:val="0"/>
        <w:numPr>
          <w:ilvl w:val="0"/>
          <w:numId w:val="3"/>
        </w:numPr>
        <w:jc w:val="both"/>
        <w:spacing w:lineRule="auto" w:line="259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Test Scripts in Java to implement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Scenarios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features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(Behavior Driven Development)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Cucumber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hybrid model framework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Page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Model (POM)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. </w:t>
      </w:r>
    </w:p>
    <w:p>
      <w:pPr>
        <w:bidi w:val="0"/>
        <w:numPr>
          <w:ilvl w:val="0"/>
          <w:numId w:val="3"/>
        </w:numPr>
        <w:jc w:val="both"/>
        <w:spacing w:lineRule="auto" w:line="259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in creating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POM.XML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file to implement all plugin and dependencies into our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project.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Hands on experience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Cross-Browser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testing if the web applications are working as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desired in different browsers.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Experience in developing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Test Plans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,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Test Cases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 and procedures for execution of manual 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and automation tests. 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Hands on experience in Smoke Testing, Regression Testing, Backed-end(Database) Testing,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API Testing, Functional Testing, Positive/ Negative Testing, Front-end(UI) Software Testing,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Ad-hoc Testing, Cross Browser Testing, UI Validation Testing.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in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Git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GitHub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 to control version of the software and keep data up to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date during development.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Good knowledge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Oriented Programming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(OOP) concept in Java. Extensively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used Java for coding automation test case and deploying oops concept to project framework.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Expert in using management and bug tracking tool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JIRA.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Experienced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in Oracle Database Testing using SQL Queries on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Oracle lives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for manual DB testing and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for DB automation testing.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working on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API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testing using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Postman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Manual API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testing tool and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Automation API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testing coding by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RestAssure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in Java. 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in using continues integration and delivery tool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Jenkins.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in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SETUP</w:t>
      </w:r>
      <w:r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t xml:space="preserve"> continuous any type of testing trigerred by any changing data on </w:t>
      </w:r>
      <w:r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t xml:space="preserve">connected  remote repository(GitHub) and execute to test with new codes and get test report </w:t>
      </w:r>
      <w:r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t>immediately.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t xml:space="preserve">Experience in creating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pipeline</w:t>
      </w:r>
      <w:r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t xml:space="preserve"> on jenkins to see test execution performans by the times. 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Ability to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quick adaptation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to new environment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, good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>communication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, strong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Analytical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Thinker and Problem-Solver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Team player, life-long learner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eager to learn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new methods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and technologies, Always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open-minded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new opportunities.</w:t>
      </w: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Technical Skills: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9059" w:type="dxa"/>
        <w:tblLook w:val="000400" w:firstRow="0" w:lastRow="0" w:firstColumn="0" w:lastColumn="0" w:noHBand="0" w:noVBand="1"/>
        <w:tblLayout w:type="fixed"/>
      </w:tblPr>
      <w:tblGrid>
        <w:gridCol w:w="3421"/>
        <w:gridCol w:w="563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 Tools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Selenium WebDriver, JDBC, Rest API, SureFire(report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for cucumber),Apache POI 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Languages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JAVA, XML, SQL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Web Technologies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HTML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IDE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Eclipse, SQL Developer, Postman API.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Framework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TestNG and Cucumber Framework with JUnit.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Build Tool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Maven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Processes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Agile-Scrum, Waterfall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Bug Tracking Tools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Jira.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Continuous Integration Tools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Jenkins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b w:val="1"/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b w:val="1"/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Version Control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b w:val="1"/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Unix/Cmd Control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: Git and GitHub.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0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: Terminal(Mac) and GitBash(Windovs)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Data Bases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Oracle DB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Operating Systems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: Windows and Mac </w:t>
            </w:r>
          </w:p>
        </w:tc>
      </w:tr>
    </w:tbl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Professional Experience: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Alliance Tek Solutions, e-Commerce(B2C)  Web Application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, VA                  Jun 2017 –  Present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Role: Software Automation Engineer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Gathered requirements documents such as business requirements and design document and other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related documents.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D0D0D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Created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by analyzing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User Stories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D0D0D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Executed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in each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test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Sprint Backlog includes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.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D0D0D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Maintained mapping each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User Stories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ensure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Testing Coverage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. 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test code in Java language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Cucumber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framework.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Setup the Automation framework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Selenium 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run test cases in different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browsers.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bookmarkStart w:id="1" w:name="_gjdgxs0"/>
      <w:bookmarkEnd w:id="1"/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framework by following a hybrid model approach of implementing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Page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Model and 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using JAVA, Selenium Web driver and Cucumber.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Performing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(Behavior Driven Development) using Cucumber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keyword like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Features,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Scenarios and Step Definitions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written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Gherkin Language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format.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Execute cross browser compatibility regression tests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for testing UI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for every new build release.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 up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scheduled automation test run and that will trigger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Smoke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script by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receiving any changes and update on github remote repository and set up pipe line to see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continues progress of test execution performans.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 automated test scripts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using core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concepts for business related activities.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Performed to Functional, Regression and database Testing for Admin Interface in the software.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Used different selenium methods to handle Alerts, Popup, dropdown, check box, radio button,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dynamic calendars and web tables in Selenium WebDriver.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Identified, Reported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Tracked Defects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using JIRA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test management tool.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Working closely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development team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business analysts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in reviewing the test scenarios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Reviewed database test cases according to assigned Requirements to validate reports by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retrieving data with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queries manually by using SQL developer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from database.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Validated UI and back-end data matching performing to oracle database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send any type of DML command for manual or automation testing. 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API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Postman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RestAssure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in Java to test API data matching with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requirement expectation.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Assisted QA lead about defect resolution.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Agile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methodology and attend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Grooming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Sprint demo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Retro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meetings.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Selenium WebDriver, Java, JUnit, Jenkins, Cucumber, Agile, SQL Developer, Maven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Postman API, RestAssure, Oracle DB, Eclipse, Git and GitHub, Mac.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Geico, Chevy Chase, MD                                                            Jul 2016 – Apr 2017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Role:  Software Automation Engineer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Planned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developing process which included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testing objectives, testing phases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case scenarios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environment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after a thorough analysis of the business.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test cases review by development team, product management and modified the test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cases based on their feedback.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Participated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Planning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Retrospective meetings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Manually tested, verified and validated that the product meets user requirements.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framework using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TestNG framework.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functional testing to identify various critical points in the application and automated it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by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Web-Driver with TestNG.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Created and enhanced numerous test scripts to handle changes in the objects and in the tested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application’s GUI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Used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for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writing automation test scripts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smoke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regression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design and implementation of Selenium WebDriver automation framework for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smoke and regression test suites (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TestNG and 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)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Apache POI for Excel data file 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Generated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Reports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 and created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error screenshots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using Listener inertaface in TestNG.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Create scripts JAVA for new functionalities and update the existing scripts in common </w:t>
      </w:r>
      <w:r>
        <w:rPr>
          <w:b w:val="1"/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method </w:t>
      </w:r>
      <w:r>
        <w:rPr>
          <w:b w:val="1"/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class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 for upgraded functionalities.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Created </w:t>
      </w:r>
      <w:r>
        <w:rPr>
          <w:b w:val="1"/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Selenium Web-Driver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automation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 scripts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 to validate functionality on 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different browsers.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Validated UI and back-end data matching performing to oracle database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send any type of DML command for manual or automation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Used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to build project. Once the script got over, project framework used to send the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reports over email to QA Lead.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the Continuous Integration of the automation framework with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 up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scheduled automation test run for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Smoke 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that will be triggered by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receiving any changes and update on github remote repository and set up pipe line to see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continues progress of test execution performans.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Used non-generic 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XPath locator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work with dynamic and static objects in Selenium.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Extensively used Selenium locators like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XPath, CSS Selectors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test the web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application.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Expertise in Grouping of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Cases, Test Methods and Test Suites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regression  and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functional testing using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TestNG annotations like Groups, Parameter, Data Provider, Tags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by using XML file.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Created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manual test 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reviewed with different stakeholders to validate the functionality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Attend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BRI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(Business Requirement Identification) meeting to understand the business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Requirements and determine and define if the requirements are testable. </w:t>
      </w:r>
    </w:p>
    <w:p>
      <w:pPr>
        <w:bidi w:val="0"/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Java, Selenium WebDriver, Jenkins, Maven, TestNG, XPath, CSS Selector,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Eclipse, XML, SQL, JDBC, </w:t>
      </w:r>
      <w:r>
        <w:rPr>
          <w:b w:val="0"/>
          <w:color w:val="000000"/>
          <w:sz w:val="24"/>
          <w:szCs w:val="24"/>
          <w:rFonts w:ascii="Times New Roman" w:eastAsia="Times New Roman" w:hAnsi="Times New Roman" w:hint="default"/>
        </w:rPr>
        <w:t xml:space="preserve">Apache POI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Waterfall, Oracle, Rest Webservices. and Windows.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Bank of America, Charlotte, NC                                                             Oct 2015 – Aug 2016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Role: QA Tester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Analyzed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business requirements,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documented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business requirements specifications, wrote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Agile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methodology and attend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Sprint demo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Retro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meetings.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Worked with development team to understand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technical design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architecture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for test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planning.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Executed Manual tests reviewed results of all tests and reporting anomalies into the defect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tracking database; verifying the resolution of all defects for an assigned project. 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Performed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GUI, Ad-Hoc, Database automation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b w:val="1"/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Validated UI and back-end data matching performing to oracle database testing by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send any type of DML command for manual or automation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Uploaded test cases, executed test cases and logged defects in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the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HP ALM.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Identified and reported bugs using defect tracking tool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Quality Center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and presented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bug reports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for weekly status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Ad Hoc testing upon the completion of test case to seek further unresolved bugs within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the application 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SQL query by joining multiple tables according business logic for data validation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Developer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Connected to database and send a query to the database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JDBC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automation data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verification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validation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Performed various joins function like join, full Join, Left join and right join in order to retrieve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data from the database.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Interacted closely with developers regarding defects, participated in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tracking, reviewing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analyzing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bugs.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Worked with business users to redefine scope of the developed application for any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change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requests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by analyzing the feedback from user groups.</w:t>
      </w: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Java, Manual Testing, Automation Testing, HP ALM, Windows, Agile, HTML.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contextualSpacing w:val="1"/>
        <w:widowControl w:val="1"/>
        <w:ind w:left="360" w:righ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0"/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Education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Sakarya University 2005-2009, Sakarya, Turkey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.  Bachelor of Science in 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Math and Science. 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Earned Diploma.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University of Giresun 2012-2014, Giresun, Turkey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. Master of Science in Science Eduaction. 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Earned Diploma.</w:t>
      </w:r>
    </w:p>
    <w:sectPr>
      <w:pgSz w:w="12240" w:h="15840"/>
      <w:pgMar w:top="1440" w:left="1440" w:bottom="1440" w:right="144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oto Sans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l Ni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l Tarikh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merican Typewrite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dale Mon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Brail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Chancer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Color Emoj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Gothic Ne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Myungj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Hebr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Hebrew Scho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Rounded MT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the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lack Obliq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oo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Heav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Medi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 Demi Bold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3665ECED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abstractNum w:abstractNumId="1">
    <w:multiLevelType w:val="hybridMultilevel"/>
    <w:nsid w:val="2F000001"/>
    <w:tmpl w:val="43A5C79B"/>
    <w:lvl w:ilvl="0">
      <w:lvlJc w:val="left"/>
      <w:numFmt w:val="bullet"/>
      <w:start w:val="1"/>
      <w:suff w:val="tab"/>
      <w:pPr>
        <w:ind w:hanging="360"/>
        <w:jc w:val="both"/>
      </w:pPr>
      <w:rPr>
        <w:color w:val="222222"/>
        <w:rFonts w:ascii="Noto Sans Symbols" w:eastAsia="Noto Sans Symbols" w:hAnsi="Noto Sans Symbols"/>
        <w:b w:val="0"/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abstractNum w:abstractNumId="2">
    <w:multiLevelType w:val="hybridMultilevel"/>
    <w:nsid w:val="2F000002"/>
    <w:tmpl w:val="5ED3A3E8"/>
    <w:lvl w:ilvl="0">
      <w:lvlJc w:val="left"/>
      <w:numFmt w:val="bullet"/>
      <w:start w:val="1"/>
      <w:suff w:val="tab"/>
      <w:pPr>
        <w:ind w:hanging="360"/>
        <w:jc w:val="both"/>
      </w:pPr>
      <w:rPr>
        <w:color w:val="222222"/>
        <w:rFonts w:ascii="Noto Sans Symbols" w:eastAsia="Noto Sans Symbols" w:hAnsi="Noto Sans Symbols"/>
        <w:b w:val="0"/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abstractNum w:abstractNumId="3">
    <w:multiLevelType w:val="hybridMultilevel"/>
    <w:nsid w:val="2F000003"/>
    <w:tmpl w:val="3EAE15E8"/>
    <w:lvl w:ilvl="0">
      <w:lvlJc w:val="left"/>
      <w:numFmt w:val="bullet"/>
      <w:start w:val="1"/>
      <w:suff w:val="tab"/>
      <w:pPr>
        <w:ind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abstractNum w:abstractNumId="4">
    <w:multiLevelType w:val="hybridMultilevel"/>
    <w:nsid w:val="2F000004"/>
    <w:tmpl w:val="3D204297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222222"/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§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2F000005"/>
    <w:tmpl w:val="36F3F7C8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222222"/>
        <w:rFonts w:ascii="Wingdings" w:eastAsia="Wingdings" w:hAnsi="Wingdings"/>
        <w:b w:val="0"/>
        <w:shd w:val="clear"/>
        <w:sz w:val="24"/>
        <w:szCs w:val="24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2F000006"/>
    <w:tmpl w:val="311077C1"/>
    <w:lvl w:ilvl="0">
      <w:lvlJc w:val="left"/>
      <w:numFmt w:val="bullet"/>
      <w:start w:val="1"/>
      <w:suff w:val="tab"/>
      <w:pPr>
        <w:ind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keepLines/>
      <w:keepNext/>
      <w:widowControl/>
      <w:wordWrap/>
    </w:pPr>
    <w:rPr>
      <w:color w:val="2F5496"/>
      <w:shd w:val="clear"/>
      <w:sz w:val="32"/>
      <w:szCs w:val="32"/>
      <w:w w:val="100"/>
    </w:rPr>
  </w:style>
  <w:style w:styleId="PO8" w:type="paragraph">
    <w:name w:val="heading 2"/>
    <w:basedOn w:val="PO1"/>
    <w:next w:val="PO1"/>
    <w:qFormat/>
    <w:uiPriority w:val="8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"/>
    <w:next w:val="PO1"/>
    <w:qFormat/>
    <w:uiPriority w:val="9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qFormat/>
    <w:uiPriority w:val="10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"/>
    <w:next w:val="PO1"/>
    <w:qFormat/>
    <w:uiPriority w:val="11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2" w:type="paragraph">
    <w:name w:val="heading 6"/>
    <w:basedOn w:val="PO1"/>
    <w:next w:val="PO1"/>
    <w:qFormat/>
    <w:uiPriority w:val="12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qFormat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Calibri" w:eastAsia="Calibri" w:hAnsi="Calibri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3" w:type="character">
    <w:name w:val="Header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5" w:type="character">
    <w:name w:val="Footer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6.png"></Relationship><Relationship Id="rId9" Type="http://schemas.openxmlformats.org/officeDocument/2006/relationships/image" Target="media/image20.png"></Relationship><Relationship Id="rId10" Type="http://schemas.openxmlformats.org/officeDocument/2006/relationships/image" Target="media/image3.png"></Relationship><Relationship Id="rId11" Type="http://schemas.openxmlformats.org/officeDocument/2006/relationships/image" Target="media/image4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77</Lines>
  <LinksUpToDate>false</LinksUpToDate>
  <Pages>5</Pages>
  <Paragraphs>21</Paragraphs>
  <Words>1622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2019-01-21T16:16:00Z</dcterms:modified>
</cp:coreProperties>
</file>