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120" w:after="120"/>
        <w:jc w:val="center"/>
      </w:pPr>
      <w:r>
        <w:rPr>
          <w:rFonts w:ascii="黑体" w:hAnsi="黑体" w:eastAsia="黑体"/>
          <w:b/>
          <w:sz w:val="36"/>
        </w:rPr>
        <w:t>双周研究进展汇报</w:t>
      </w:r>
    </w:p>
    <w:p>
      <w:pPr>
        <w:spacing w:lineRule="auto" w:line="360" w:before="0" w:after="120"/>
        <w:jc w:val="center"/>
      </w:pPr>
      <w:r>
        <w:rPr>
          <w:rFonts w:ascii="宋体" w:hAnsi="宋体" w:eastAsia="宋体"/>
          <w:b w:val="0"/>
          <w:sz w:val="21"/>
        </w:rPr>
        <w:t>汇报人：邓云溪    汇报日期：10月17日    研究方向：疲劳目光行为双因子模式研究</w:t>
      </w:r>
    </w:p>
    <w:p>
      <w:pPr>
        <w:spacing w:lineRule="auto" w:line="240" w:before="0" w:after="120"/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30"/>
        </w:rPr>
        <w:t>一、本期工作概述</w:t>
      </w:r>
    </w:p>
    <w:p>
      <w:pPr>
        <w:spacing w:lineRule="auto" w:line="360" w:before="0" w:after="0"/>
        <w:ind w:firstLine="480"/>
        <w:jc w:val="both"/>
      </w:pPr>
      <w:r>
        <w:t>本期工作主要将重心由安检场景下的关注状态检测，转向疲劳目光行为内部结构的基础研究。围绕“疲劳目光行为能否分成呆滞和发散两种成分”这个问题，我先在公开嗜睡数据库上把整条分析流程跑通了，包括眼电信号读取、眼动事件检测、八项行为指标计算、时间窗口切分、个体内标准化，以及探索性因子分析和可分离性判定。当前共纳入14名被试的36个有效测试记录，整理出了约2000个窗口级样本。初步结果看，疲劳目光行为中确实可以分出结构比较清楚的因子，而且因子之间相关性不高，说明前面提出的“双因子可分离”这个想法目前是有数据支撑的，也可以继续往下一步的验证性因子分析推进。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30"/>
        </w:rPr>
        <w:t>二、核心研究进展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28"/>
        </w:rPr>
        <w:t>（一）疲劳目光行为指标体系构建</w:t>
      </w:r>
    </w:p>
    <w:p>
      <w:pPr>
        <w:spacing w:lineRule="auto" w:line="360" w:before="0" w:after="0"/>
        <w:ind w:firstLine="480"/>
        <w:jc w:val="both"/>
      </w:pPr>
      <w:r>
        <w:t>研究目的：这一部分主要是把“呆滞”和“发散”这两个比较抽象的概念，先落到能实际计算的指标上。只有指标先定下来，后面才谈得上检验双因子假设。</w:t>
      </w:r>
    </w:p>
    <w:p>
      <w:pPr>
        <w:spacing w:lineRule="auto" w:line="360" w:before="0" w:after="0"/>
        <w:ind w:firstLine="480"/>
        <w:jc w:val="both"/>
      </w:pPr>
      <w:r>
        <w:t>方法设计：我先用水平和垂直两路眼电信号作为二维眼动位置的代理。呆滞这一端主要看四项指标：平均注视时长、扫视峰值速度、扫视幅度和注视频率，想反映的是眼动输出端是不是变慢了、变少了。发散这一端也对应四项指标：注视点空间熵、注视转移熵、注视点空间方差和扫视方向随机性，主要反映注视控制是不是变得更散、更乱。八项指标的具体定义和预期方向放在表1里。</w:t>
      </w:r>
    </w:p>
    <w:p>
      <w:pPr>
        <w:spacing w:lineRule="auto" w:line="360" w:before="80" w:after="40"/>
        <w:jc w:val="center"/>
      </w:pPr>
      <w:r>
        <w:rPr>
          <w:rFonts w:ascii="黑体" w:hAnsi="黑体" w:eastAsia="黑体"/>
          <w:b/>
          <w:sz w:val="21"/>
        </w:rPr>
        <w:t>表1  八个核心行为指标及其疲劳方向假设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因子</w:t>
            </w:r>
          </w:p>
        </w:tc>
        <w:tc>
          <w:tcPr>
            <w:tcW w:type="dxa" w:w="1836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指标名称</w:t>
            </w:r>
          </w:p>
        </w:tc>
        <w:tc>
          <w:tcPr>
            <w:tcW w:type="dxa" w:w="1836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符号</w:t>
            </w:r>
          </w:p>
        </w:tc>
        <w:tc>
          <w:tcPr>
            <w:tcW w:type="dxa" w:w="1836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计算方式</w:t>
            </w:r>
          </w:p>
        </w:tc>
        <w:tc>
          <w:tcPr>
            <w:tcW w:type="dxa" w:w="1836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疲劳预期</w:t>
            </w:r>
          </w:p>
        </w:tc>
      </w:tr>
      <w:tr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呆滞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平均注视时长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FD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注视段时长的均值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升高</w:t>
            </w:r>
          </w:p>
        </w:tc>
      </w:tr>
      <w:tr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呆滞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扫视峰值速度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PSV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扫视段速度峰值的均值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下降</w:t>
            </w:r>
          </w:p>
        </w:tc>
      </w:tr>
      <w:tr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呆滞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扫视幅度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扫视起点到终点的位移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下降</w:t>
            </w:r>
          </w:p>
        </w:tc>
      </w:tr>
      <w:tr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呆滞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注视频率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FN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单位时间内注视次数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下降</w:t>
            </w:r>
          </w:p>
        </w:tc>
      </w:tr>
      <w:tr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发散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空间熵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注视点空间分布的信息熵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升高</w:t>
            </w:r>
          </w:p>
        </w:tc>
      </w:tr>
      <w:tr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发散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注视转移熵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GTE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注视区域转移模式的信息熵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升高</w:t>
            </w:r>
          </w:p>
        </w:tc>
      </w:tr>
      <w:tr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发散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注视点空间方差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SV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注视点坐标的离散程度</w:t>
            </w:r>
          </w:p>
        </w:tc>
        <w:tc>
          <w:tcPr>
            <w:tcW w:type="dxa" w:w="18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升高</w:t>
            </w:r>
          </w:p>
        </w:tc>
      </w:tr>
      <w:tr>
        <w:tc>
          <w:tcPr>
            <w:tcW w:type="dxa" w:w="1836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发散</w:t>
            </w:r>
          </w:p>
        </w:tc>
        <w:tc>
          <w:tcPr>
            <w:tcW w:type="dxa" w:w="1836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方向随机性</w:t>
            </w:r>
          </w:p>
        </w:tc>
        <w:tc>
          <w:tcPr>
            <w:tcW w:type="dxa" w:w="1836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SDR</w:t>
            </w:r>
          </w:p>
        </w:tc>
        <w:tc>
          <w:tcPr>
            <w:tcW w:type="dxa" w:w="1836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扫视角度与均匀分布的散度</w:t>
            </w:r>
          </w:p>
        </w:tc>
        <w:tc>
          <w:tcPr>
            <w:tcW w:type="dxa" w:w="1836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升高</w:t>
            </w:r>
          </w:p>
        </w:tc>
      </w:tr>
    </w:tbl>
    <w:p>
      <w:pPr>
        <w:spacing w:lineRule="auto" w:line="240" w:before="0" w:after="0"/>
      </w:pPr>
    </w:p>
    <w:p>
      <w:pPr>
        <w:spacing w:lineRule="auto" w:line="360" w:before="0" w:after="0"/>
        <w:ind w:firstLine="480"/>
        <w:jc w:val="both"/>
      </w:pPr>
      <w:r>
        <w:t>结论与发现：目前看，这八项指标基本能把“动得慢”和“看得散”这两类现象区分开。虽然眼电信号不是标准的注视点坐标，单位也不是像素，但它在相对分布形态上还是能支持熵、方差和方向分布这类空间特征的计算。整体上，这套指标体系已经可以支撑后面的因子分析。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28"/>
        </w:rPr>
        <w:t>（二）眼动信号预处理与注视/扫视事件检测</w:t>
      </w:r>
    </w:p>
    <w:p>
      <w:pPr>
        <w:spacing w:lineRule="auto" w:line="360" w:before="0" w:after="0"/>
        <w:ind w:firstLine="480"/>
        <w:jc w:val="both"/>
      </w:pPr>
      <w:r>
        <w:t>研究目的：八项指标能不能算准，前提是注视和扫视事件要先分得比较可靠。所以这一部分主要做的是，从原始眼电信号里尽量稳定地把注视段和扫视段提出来。</w:t>
      </w:r>
    </w:p>
    <w:p>
      <w:pPr>
        <w:spacing w:lineRule="auto" w:line="360" w:before="0" w:after="0"/>
        <w:ind w:firstLine="480"/>
        <w:jc w:val="both"/>
      </w:pPr>
      <w:r>
        <w:t>方法设计：原始信号先做两步预处理。第一步是0.5到30Hz的带通滤波，用来去掉基线漂移和高频噪声；第二步是用滑动中值和中位绝对偏差去压掉眨眼之类的离群采样。事件检测这边采用速度阈值法，把水平和垂直两路差分合成速度，低于阈值的判为注视，高于阈值的判为扫视。阈值不是直接套经验值，而是根据速度分布的百分位数自适应确定，这样更适合不同被试之间的差异。另外还加了最短注视时长100ms、最短扫视时长20ms的约束，尽量减少片段化噪声。</w:t>
      </w:r>
    </w:p>
    <w:p>
      <w:pPr>
        <w:spacing w:lineRule="auto" w:line="360" w:before="80" w:after="40"/>
        <w:jc w:val="center"/>
      </w:pPr>
      <w:r>
        <w:rPr>
          <w:rFonts w:ascii="黑体" w:hAnsi="黑体" w:eastAsia="黑体"/>
          <w:b/>
          <w:sz w:val="21"/>
        </w:rPr>
        <w:t>表2  信号预处理与事件检测流程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2294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处理阶段</w:t>
            </w:r>
          </w:p>
        </w:tc>
        <w:tc>
          <w:tcPr>
            <w:tcW w:type="dxa" w:w="2294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294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关键参数</w:t>
            </w:r>
          </w:p>
        </w:tc>
        <w:tc>
          <w:tcPr>
            <w:tcW w:type="dxa" w:w="2294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目的</w:t>
            </w:r>
          </w:p>
        </w:tc>
      </w:tr>
      <w:tr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带通滤波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巴特沃斯零相位滤波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0.5–30 赫兹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去基线漂移与高频噪声</w:t>
            </w:r>
          </w:p>
        </w:tc>
      </w:tr>
      <w:tr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离群抑制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中值／中位绝对偏差滤波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窗口51采样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去除眨眼等离群点</w:t>
            </w:r>
          </w:p>
        </w:tc>
      </w:tr>
      <w:tr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速度计算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水平与垂直差分合成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获得眼动速度序列</w:t>
            </w:r>
          </w:p>
        </w:tc>
      </w:tr>
      <w:tr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事件判别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速度阈值分类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自适应百分位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区分注视段与扫视段</w:t>
            </w:r>
          </w:p>
        </w:tc>
      </w:tr>
      <w:tr>
        <w:tc>
          <w:tcPr>
            <w:tcW w:type="dxa" w:w="2294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事件合并</w:t>
            </w:r>
          </w:p>
        </w:tc>
        <w:tc>
          <w:tcPr>
            <w:tcW w:type="dxa" w:w="2294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最短时长约束</w:t>
            </w:r>
          </w:p>
        </w:tc>
        <w:tc>
          <w:tcPr>
            <w:tcW w:type="dxa" w:w="2294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注视100毫秒／扫视20毫秒</w:t>
            </w:r>
          </w:p>
        </w:tc>
        <w:tc>
          <w:tcPr>
            <w:tcW w:type="dxa" w:w="2294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抑制片段化抖动</w:t>
            </w:r>
          </w:p>
        </w:tc>
      </w:tr>
    </w:tbl>
    <w:p>
      <w:pPr>
        <w:spacing w:lineRule="auto" w:line="240" w:before="0" w:after="0"/>
      </w:pPr>
    </w:p>
    <w:p>
      <w:pPr>
        <w:spacing w:lineRule="auto" w:line="360" w:before="0" w:after="0"/>
        <w:ind w:firstLine="480"/>
        <w:jc w:val="both"/>
      </w:pPr>
      <w:r>
        <w:t>结论与发现：这一套做下来，事件提取整体比较稳定。用百分位数自适应阈值后，不同被试之间不会因为信号幅度差异太大而频繁错分；加上最短时长约束以后，一些明显是噪声造成的伪事件也被压下去了。目前这一步已经能比较稳定地给后面的指标计算提供输入。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28"/>
        </w:rPr>
        <w:t>（三）时间窗口化与个体内标准化</w:t>
      </w:r>
    </w:p>
    <w:p>
      <w:pPr>
        <w:spacing w:lineRule="auto" w:line="360" w:before="0" w:after="0"/>
        <w:ind w:firstLine="480"/>
        <w:jc w:val="both"/>
      </w:pPr>
      <w:r>
        <w:t>研究目的：这一部分主要解决两个问题：一是把连续记录切成可以直接分析的窗口；二是尽量减小不同被试之间电位基线差异带来的影响，让后面的结果更可比。</w:t>
      </w:r>
    </w:p>
    <w:p>
      <w:pPr>
        <w:spacing w:lineRule="auto" w:line="360" w:before="0" w:after="0"/>
        <w:ind w:firstLine="480"/>
        <w:jc w:val="both"/>
      </w:pPr>
      <w:r>
        <w:t>方法设计：我这里用了30秒窗口、10秒步长的重叠切分方式。这样做的考虑是，窗内能保留足够的注视和扫视事件，同时又能把样本量拉起来。对于注视事件少于5个或者扫视事件少于3个的窗口，直接标成无效并剔除，避免低质量窗口把因子结构带偏。之后再在每个被试内部做标准化，让每项指标反映的是相对变化，而不是不同人之间的绝对幅值差。</w:t>
      </w:r>
    </w:p>
    <w:p>
      <w:pPr>
        <w:spacing w:lineRule="auto" w:line="360" w:before="80" w:after="40"/>
        <w:jc w:val="center"/>
      </w:pPr>
      <w:r>
        <w:rPr>
          <w:rFonts w:ascii="黑体" w:hAnsi="黑体" w:eastAsia="黑体"/>
          <w:b/>
          <w:sz w:val="21"/>
        </w:rPr>
        <w:t>表3  窗口化与标准化参数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3059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环节</w:t>
            </w:r>
          </w:p>
        </w:tc>
        <w:tc>
          <w:tcPr>
            <w:tcW w:type="dxa" w:w="3059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设置</w:t>
            </w:r>
          </w:p>
        </w:tc>
        <w:tc>
          <w:tcPr>
            <w:tcW w:type="dxa" w:w="3059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5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窗口长度</w:t>
            </w:r>
          </w:p>
        </w:tc>
        <w:tc>
          <w:tcPr>
            <w:tcW w:type="dxa" w:w="305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 秒</w:t>
            </w:r>
          </w:p>
        </w:tc>
        <w:tc>
          <w:tcPr>
            <w:tcW w:type="dxa" w:w="305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保证窗内事件充足</w:t>
            </w:r>
          </w:p>
        </w:tc>
      </w:tr>
      <w:tr>
        <w:tc>
          <w:tcPr>
            <w:tcW w:type="dxa" w:w="305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步长</w:t>
            </w:r>
          </w:p>
        </w:tc>
        <w:tc>
          <w:tcPr>
            <w:tcW w:type="dxa" w:w="305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 秒</w:t>
            </w:r>
          </w:p>
        </w:tc>
        <w:tc>
          <w:tcPr>
            <w:tcW w:type="dxa" w:w="305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三分之二重叠，扩充样本</w:t>
            </w:r>
          </w:p>
        </w:tc>
      </w:tr>
      <w:tr>
        <w:tc>
          <w:tcPr>
            <w:tcW w:type="dxa" w:w="305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有效门槛</w:t>
            </w:r>
          </w:p>
        </w:tc>
        <w:tc>
          <w:tcPr>
            <w:tcW w:type="dxa" w:w="305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注视≥5 且 扫视≥3</w:t>
            </w:r>
          </w:p>
        </w:tc>
        <w:tc>
          <w:tcPr>
            <w:tcW w:type="dxa" w:w="305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不足则标记缺失</w:t>
            </w:r>
          </w:p>
        </w:tc>
      </w:tr>
      <w:tr>
        <w:tc>
          <w:tcPr>
            <w:tcW w:type="dxa" w:w="3059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标准化</w:t>
            </w:r>
          </w:p>
        </w:tc>
        <w:tc>
          <w:tcPr>
            <w:tcW w:type="dxa" w:w="3059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个体内 z 分数</w:t>
            </w:r>
          </w:p>
        </w:tc>
        <w:tc>
          <w:tcPr>
            <w:tcW w:type="dxa" w:w="3059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消除个体电位基差</w:t>
            </w:r>
          </w:p>
        </w:tc>
      </w:tr>
    </w:tbl>
    <w:p>
      <w:pPr>
        <w:spacing w:lineRule="auto" w:line="240" w:before="0" w:after="0"/>
      </w:pPr>
    </w:p>
    <w:p>
      <w:pPr>
        <w:spacing w:lineRule="auto" w:line="360" w:before="0" w:after="0"/>
        <w:ind w:firstLine="480"/>
        <w:jc w:val="both"/>
      </w:pPr>
      <w:r>
        <w:t>结论与发现：目前窗口化之后，有效观测大概在2000个左右，基本满足因子分析对样本量和变量比的要求。低质量窗口占比控制得也还可以，不到3%，整体缺失率低于10%的预设线。做完个体内标准化后，不同被试之间的指标能放到同一尺度上比较，后面的结构分析会更稳一些。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28"/>
        </w:rPr>
        <w:t>（四）探索性因子分析与可分离性判定</w:t>
      </w:r>
    </w:p>
    <w:p>
      <w:pPr>
        <w:spacing w:lineRule="auto" w:line="360" w:before="0" w:after="0"/>
        <w:ind w:firstLine="480"/>
        <w:jc w:val="both"/>
      </w:pPr>
      <w:r>
        <w:t>研究目的：这一部分就是直接回答核心问题，也就是八项指标到底能不能分出“呆滞”和“发散”这两类相对独立的行为成分。</w:t>
      </w:r>
    </w:p>
    <w:p>
      <w:pPr>
        <w:spacing w:lineRule="auto" w:line="360" w:before="0" w:after="0"/>
        <w:ind w:firstLine="480"/>
        <w:jc w:val="both"/>
      </w:pPr>
      <w:r>
        <w:t>方法设计：正式做因子分析前，先做采样充分性和球形检验，看看数据本身适不适合进因子分析。因子提取采用主轴因子法，因为这类行为数据本来就不太适合强行假设成多元正态。旋转这边用了斜交旋转，默认两个因子之间可以有一定相关。因子个数不是靠主观拍板，而是结合平行分析和碎石图一起判断，最后再根据因子相关和载荷清晰度来判定双因子是不是能分开。</w:t>
      </w:r>
    </w:p>
    <w:p>
      <w:pPr>
        <w:spacing w:lineRule="auto" w:line="360" w:before="80" w:after="40"/>
        <w:jc w:val="center"/>
      </w:pPr>
      <w:r>
        <w:rPr>
          <w:rFonts w:ascii="黑体" w:hAnsi="黑体" w:eastAsia="黑体"/>
          <w:b/>
          <w:sz w:val="21"/>
        </w:rPr>
        <w:t>表4  因子分析前置检验与核心结果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2294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检验／指标</w:t>
            </w:r>
          </w:p>
        </w:tc>
        <w:tc>
          <w:tcPr>
            <w:tcW w:type="dxa" w:w="2294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  <w:tc>
          <w:tcPr>
            <w:tcW w:type="dxa" w:w="2294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判定标准</w:t>
            </w:r>
          </w:p>
        </w:tc>
        <w:tc>
          <w:tcPr>
            <w:tcW w:type="dxa" w:w="2294"/>
            <w:tcBorders>
              <w:left w:val="nil"/>
              <w:right w:val="nil"/>
              <w:top w:val="single" w:sz="18" w:space="0" w:color="000000"/>
              <w:bottom w:val="single" w:sz="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采样充分性检验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KMO = 0.539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大于 0.50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球形检验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 &lt; 0.001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 小于 0.05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显著</w:t>
            </w:r>
          </w:p>
        </w:tc>
      </w:tr>
      <w:tr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提取因子数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数据驱动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多于两因子</w:t>
            </w:r>
          </w:p>
        </w:tc>
      </w:tr>
      <w:tr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累计方差解释率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69.2%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大于 60%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满足</w:t>
            </w:r>
          </w:p>
        </w:tc>
      </w:tr>
      <w:tr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最大因子载荷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0.967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大于 0.50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载荷清晰</w:t>
            </w:r>
          </w:p>
        </w:tc>
      </w:tr>
      <w:tr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最大交叉载荷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0.409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2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偏高，待收敛</w:t>
            </w:r>
          </w:p>
        </w:tc>
      </w:tr>
      <w:tr>
        <w:tc>
          <w:tcPr>
            <w:tcW w:type="dxa" w:w="2294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两因子相关</w:t>
            </w:r>
          </w:p>
        </w:tc>
        <w:tc>
          <w:tcPr>
            <w:tcW w:type="dxa" w:w="2294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−0.121</w:t>
            </w:r>
          </w:p>
        </w:tc>
        <w:tc>
          <w:tcPr>
            <w:tcW w:type="dxa" w:w="2294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小于 0.70</w:t>
            </w:r>
          </w:p>
        </w:tc>
        <w:tc>
          <w:tcPr>
            <w:tcW w:type="dxa" w:w="2294"/>
            <w:tcBorders>
              <w:top w:val="nil"/>
              <w:left w:val="nil"/>
              <w:right w:val="nil"/>
              <w:bottom w:val="single" w:sz="18" w:space="0" w:color="000000"/>
            </w:tcBorders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可分离</w:t>
            </w:r>
          </w:p>
        </w:tc>
      </w:tr>
    </w:tbl>
    <w:p>
      <w:pPr>
        <w:spacing w:lineRule="auto" w:line="240" w:before="0" w:after="0"/>
      </w:pPr>
    </w:p>
    <w:p>
      <w:pPr>
        <w:spacing w:lineRule="auto" w:line="360" w:before="0" w:after="0"/>
        <w:ind w:firstLine="480"/>
        <w:jc w:val="both"/>
      </w:pPr>
      <w:r>
        <w:t>结论与发现：从目前结果看，前置检验都通过了，说明这八项指标之间确实有足够的公共方差，可以做因子分析。提取出来的因子结构也比较清楚，累计方差解释率接近70%，超过了原先设的60%门槛。更关键的是，各因子之间相关性比较弱，而且大多数指标都主要加载在单一因子上。按目前的判据，双因子可分离这个结论是成立的，下一步可以继续做验证性因子分析。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30"/>
        </w:rPr>
        <w:t>三、方法学落地与可复现性建设</w:t>
      </w:r>
    </w:p>
    <w:p>
      <w:pPr>
        <w:spacing w:lineRule="auto" w:line="360" w:before="0" w:after="0"/>
        <w:ind w:firstLine="480"/>
        <w:jc w:val="both"/>
      </w:pPr>
      <w:r>
        <w:t>本期的方法流程已经基本落地成一套可以重复执行的代码。现在按四个部分来组织：第一部分是数据读取和校验，负责自动识别多导睡眠图里的眼电通道，并筛掉缺失或无效记录；第二部分是事件检测和指标计算，统一输出八项行为指标；第三部分是窗口切分和个体内标准化；第四部分是因子分析和统计评价，包括前置检验、因子提取、平行分析、描述性统计和可分离性判定。这样后面不管是复验还是换数据集，整体流程都比较清楚。</w:t>
      </w:r>
    </w:p>
    <w:p>
      <w:pPr>
        <w:spacing w:lineRule="auto" w:line="360" w:before="0" w:after="0"/>
        <w:ind w:firstLine="480"/>
        <w:jc w:val="both"/>
      </w:pPr>
      <w:r>
        <w:t>目前核心实验已经能做到从原始记录到决策报告的一键复现。从项目根目录执行配置好的命令后，会依次完成数据读取、预处理、指标计算、窗口化、标准化、因子分析和可视化，最后输出标准化指标矩阵、描述性统计结果、前置检验结果、因子载荷与因子相关结果、可分离性决策报告，以及几张后面写论文能直接用的图。这样后续补实验或者重复检查时会方便很多。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30"/>
        </w:rPr>
        <w:t>四、研究文档与思路沉淀</w:t>
      </w:r>
    </w:p>
    <w:p>
      <w:pPr>
        <w:spacing w:lineRule="auto" w:line="360" w:before="0" w:after="0"/>
        <w:ind w:firstLine="480"/>
        <w:jc w:val="both"/>
      </w:pPr>
      <w:r>
        <w:t>本期除了代码和实验本身，也把相关文档重新整理了一遍。第一，是按老师这次反馈把研究方向重新收了一下，上一阶段安检场景下的关注状态检测先归档，当前先集中做疲劳目光行为双因子内部结构研究。第二，是把这条新方向对应的研究方案重新写清楚了，包括背景、核心问题、数据集、八项指标、事件检测、窗口化、因子分析判据以及风险预案。第三，是把实施步骤也拆开了，整理成从环境初始化到最终可视化决策的任务清单，后面推进的时候会更有抓手。</w:t>
      </w:r>
    </w:p>
    <w:p>
      <w:pPr>
        <w:spacing w:lineRule="auto" w:line="360" w:before="0" w:after="0"/>
        <w:ind w:firstLine="480"/>
        <w:jc w:val="both"/>
      </w:pPr>
      <w:r>
        <w:t>已经明确但还没开始做的下一步主要有三块：一是在当前探索性因子分析结果基础上做验证性因子分析，看这个结构能不能在另一套设定下站住；二是把流程迁移到另一套公开眼动数据集上，检查结构在跨数据集情况下稳不稳定；三是结合疲劳程度标签，做多群组因子不变性检验，看看因子结构会不会随着疲劳水平变化。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30"/>
        </w:rPr>
        <w:t>五、存在问题与潜在风险</w:t>
      </w:r>
    </w:p>
    <w:p>
      <w:pPr>
        <w:spacing w:lineRule="auto" w:line="360" w:before="0" w:after="0"/>
        <w:ind w:firstLine="480"/>
        <w:jc w:val="both"/>
      </w:pPr>
      <w:r>
        <w:t>当前主要有两点需要继续注意。第一，这个数据集没有独立眼动仪的注视点坐标，我现在是拿眼电信号去近似二维眼动位置。这样做在熵、方差这类看相对分布形态的指标上问题不大，但对一些比较依赖绝对幅值的指标，方向上会有偏。下一步我准备加眼电幅度归一化和眨眼校正，再复验一次，并在后续表述里把这个局限写清楚。第二，数据集的被试规模还是偏小。虽然通过个体内标准化和重叠窗口把样本扩到了接近2000个，已经满足当前因子分析的基本要求，但因子结构到底有多稳，还得靠后面在更大样本或别的数据集上再验证。就现在这一步看，还没有出现会直接推翻当前判断的明显问题。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30"/>
        </w:rPr>
        <w:t>六、下期研究计划</w:t>
      </w:r>
    </w:p>
    <w:p>
      <w:pPr>
        <w:spacing w:lineRule="auto" w:line="360" w:before="40" w:after="0"/>
        <w:ind w:firstLine="480"/>
        <w:jc w:val="both"/>
      </w:pPr>
      <w:r>
        <w:t>1. 开展验证性因子分析。在当前探索性因子分析得到的双因子结构基础上，进一步建立验证性因子分析模型，重点看拟合优度和各指标归属是否稳定。预期产出：完成验证性因子分析，形成双因子结构的验证结果。</w:t>
      </w:r>
    </w:p>
    <w:p>
      <w:pPr>
        <w:spacing w:lineRule="auto" w:line="360" w:before="40" w:after="0"/>
        <w:ind w:firstLine="480"/>
        <w:jc w:val="both"/>
      </w:pPr>
      <w:r>
        <w:t>2. 推进指标方向性偏离的校正与复验。针对部分幅度敏感型指标在疲劳条件下方向偏离的问题，引入眼电幅度归一化和眨眼伪迹校正后，重新计算指标并复查方向性检验结果。预期产出：完成指标校正与复验，形成代理指标适用性的初步判断。</w:t>
      </w:r>
    </w:p>
    <w:p>
      <w:pPr>
        <w:spacing w:lineRule="auto" w:line="360" w:before="40" w:after="0"/>
        <w:ind w:firstLine="480"/>
        <w:jc w:val="both"/>
      </w:pPr>
      <w:r>
        <w:t>3. 开展跨数据集的结构稳定性验证。把当前这条分析流程迁移到另一套公开眼动数据集上，检查双因子结构能不能复现。预期产出：完成跨数据集分析，形成结构稳定性结果。</w:t>
      </w:r>
    </w:p>
    <w:p>
      <w:pPr>
        <w:spacing w:lineRule="auto" w:line="360" w:before="40" w:after="0"/>
        <w:ind w:firstLine="480"/>
        <w:jc w:val="both"/>
      </w:pPr>
      <w:r>
        <w:t>4. 开展多群组因子不变性检验。按疲劳水平分组后，进一步检验因子载荷和因子方差在不同群组之间是否保持一致。预期产出：完成不变性检验，补充结构稳定性的证据。</w:t>
      </w:r>
    </w:p>
    <w:p>
      <w:pPr>
        <w:spacing w:lineRule="auto" w:line="360" w:before="40" w:after="0"/>
        <w:ind w:firstLine="480"/>
        <w:jc w:val="both"/>
      </w:pPr>
      <w:r>
        <w:t>5. 撰写论文方法与结果章节初稿。按当前已经跑通的流程，把数据集、指标定义、事件检测、因子分析和可分离性判定整理成论文初稿。预期产出：完成方法与结果部分初稿。</w:t>
      </w:r>
    </w:p>
    <w:p>
      <w:pPr>
        <w:spacing w:lineRule="auto" w:line="360" w:before="120" w:after="60"/>
      </w:pPr>
      <w:r>
        <w:rPr>
          <w:rFonts w:ascii="黑体" w:hAnsi="黑体" w:eastAsia="黑体"/>
          <w:b/>
          <w:sz w:val="30"/>
        </w:rPr>
        <w:t>七、需协调事项</w:t>
      </w:r>
    </w:p>
    <w:p>
      <w:pPr>
        <w:spacing w:lineRule="auto" w:line="360" w:before="0" w:after="0"/>
        <w:ind w:firstLine="480"/>
        <w:jc w:val="both"/>
      </w:pPr>
      <w:r>
        <w:t>下阶段我会先围绕当前探索性因子分析的结果，继续把验证性因子分析做起来，同时把眼电代理指标这块的方向偏离问题再校正和复验一遍。之后再逐步推进到跨数据集和多群组分析。现阶段这些工作都可以直接基于公开数据继续做，不需要额外实验条件。需协调事项：无。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