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基于视觉注意力拓扑演化的X光安检员状态监测研究方案</w:t>
      </w:r>
    </w:p>
    <w:p>
      <w:r>
        <w:rPr>
          <w:rFonts w:ascii="黑体" w:hAnsi="黑体" w:eastAsia="黑体"/>
          <w:b/>
          <w:sz w:val="28"/>
        </w:rPr>
        <w:t>一、应用场景与真问题</w:t>
      </w:r>
    </w:p>
    <w:p>
      <w:r>
        <w:rPr>
          <w:rFonts w:ascii="黑体" w:hAnsi="黑体" w:eastAsia="黑体"/>
          <w:b/>
          <w:sz w:val="24"/>
        </w:rPr>
        <w:t>1. 应用场景</w:t>
      </w:r>
    </w:p>
    <w:p>
      <w:pPr>
        <w:spacing w:line="360" w:lineRule="auto"/>
        <w:ind w:firstLine="420"/>
      </w:pPr>
      <w:r>
        <w:rPr>
          <w:rFonts w:ascii="宋体" w:hAnsi="宋体" w:eastAsia="宋体"/>
          <w:b w:val="0"/>
          <w:sz w:val="22"/>
        </w:rPr>
        <w:t>X光安检员认知状态监测。针对机场、车站等安检场景中的X光机监视员（静坐、低动态、无直接旅客交互），利用现场已有的单路低清监控摄像头，实时监测操作员在判图过程中的视觉注意力稳定性。系统需在无人值守、无操作日志接入的全自动模式下，识别因生理疲劳、认知过载或主观懈怠导致的注意力失稳（Attentional Instability）风险，并预警潜在的漏检隐患。</w:t>
      </w:r>
    </w:p>
    <w:p>
      <w:r>
        <w:rPr>
          <w:rFonts w:ascii="黑体" w:hAnsi="黑体" w:eastAsia="黑体"/>
          <w:b/>
          <w:sz w:val="24"/>
        </w:rPr>
        <w:t>2. 真问题凝练</w:t>
      </w:r>
    </w:p>
    <w:p>
      <w:pPr>
        <w:spacing w:line="360" w:lineRule="auto"/>
        <w:ind w:firstLine="420"/>
      </w:pPr>
      <w:r>
        <w:rPr>
          <w:rFonts w:ascii="宋体" w:hAnsi="宋体" w:eastAsia="宋体"/>
          <w:b w:val="0"/>
          <w:sz w:val="22"/>
        </w:rPr>
        <w:t>X光行李安检是民航、轨道交通等公共安全体系的关键屏障，安检员需在长时间连续工作中保持对行李图像中违禁目标的敏锐搜索能力。该任务属于典型的持续警戒（Vigilance）范式：目标出现频率低、信号嵌入复杂背景、认知负荷高。警戒心理学研究表明，未经干预的警戒作业在20至40分钟内即可出现显著的检出率下降与反应时延增长，表现为有效关注不足。在安检场景中，关注状态的衰退直接对应漏检风险与误判风险，其后果涉及公共安全。</w:t>
      </w:r>
    </w:p>
    <w:p>
      <w:pPr>
        <w:spacing w:line="360" w:lineRule="auto"/>
        <w:ind w:firstLine="420"/>
      </w:pPr>
      <w:r>
        <w:rPr>
          <w:rFonts w:ascii="宋体" w:hAnsi="宋体" w:eastAsia="宋体"/>
          <w:b w:val="0"/>
          <w:sz w:val="22"/>
        </w:rPr>
        <w:t>现有安检疲劳与关注研究多将问题简化为通用困倦检测，依赖眼睑开合度（PERCLOS）、眨眼频率等单一面部线索进行状态判别。然而，真实安检场景中的"关注失效"并非仅表现为闭眼或打哈欠，而是呈现出注意力分布形态的系统化退化：安检员可能表面睁着眼睛，但其注视轨迹已系统性偏离X光图像中的关键目标区域，注视点云从围绕目标的"紧凑低熵态"演化为随机游走的"弥散高熵态"。由此，本研究的逻辑起点不是"如何把困倦检测做得更准"，而是"如何在非受控低质视觉条件下，量化视觉搜索策略从稳态拓扑向无序拓扑的相变过程"。</w:t>
      </w:r>
    </w:p>
    <w:p>
      <w:pPr>
        <w:spacing w:line="360" w:lineRule="auto"/>
        <w:ind w:firstLine="420"/>
      </w:pPr>
      <w:r>
        <w:rPr>
          <w:rFonts w:ascii="宋体" w:hAnsi="宋体" w:eastAsia="宋体"/>
          <w:b w:val="0"/>
          <w:sz w:val="22"/>
        </w:rPr>
        <w:t>核心定位转换：本研究刻意回避使用"疲劳"一词。在安检作业场景中，无论是生理疲劳、认知过载，还是主观懈怠（不够认真），其外在表现均为视觉注意力的失稳。本研究不试图充当"测谎仪"去鉴定操作员的心理状态，而是专注于"状态感知器"的功能：即当系统检测到注视分布发生显著相变并伴随操作绩效下降时，发出预警。换言之，我们不关心他"为什么走神"，只关心他"走神了没有"。这种任务导向的定义，确保了系统的公平性和工业可用性，同时完美规避了心理学因果归因的泥潭与劳工隐私风险。</w:t>
      </w:r>
    </w:p>
    <w:p>
      <w:r>
        <w:rPr>
          <w:rFonts w:ascii="黑体" w:hAnsi="黑体" w:eastAsia="黑体"/>
          <w:b/>
          <w:sz w:val="24"/>
        </w:rPr>
        <w:t>3. 技术瓶颈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瓶颈维度</w:t>
            </w:r>
          </w:p>
        </w:tc>
        <w:tc>
          <w:tcPr>
            <w:tcW w:type="dxa" w:w="2880"/>
          </w:tcPr>
          <w:p>
            <w:r/>
            <w:r>
              <w:rPr>
                <w:rFonts w:ascii="宋体" w:hAnsi="宋体" w:eastAsia="宋体"/>
                <w:b/>
                <w:sz w:val="20"/>
              </w:rPr>
              <w:t>具体表现</w:t>
            </w:r>
          </w:p>
        </w:tc>
        <w:tc>
          <w:tcPr>
            <w:tcW w:type="dxa" w:w="2880"/>
          </w:tcPr>
          <w:p>
            <w:r/>
            <w:r>
              <w:rPr>
                <w:rFonts w:ascii="宋体" w:hAnsi="宋体" w:eastAsia="宋体"/>
                <w:b/>
                <w:sz w:val="20"/>
              </w:rPr>
              <w:t>传统方法缺陷</w:t>
            </w:r>
          </w:p>
        </w:tc>
      </w:tr>
      <w:tr>
        <w:tc>
          <w:tcPr>
            <w:tcW w:type="dxa" w:w="2880"/>
          </w:tcPr>
          <w:p>
            <w:r/>
            <w:r>
              <w:rPr>
                <w:rFonts w:ascii="宋体" w:hAnsi="宋体" w:eastAsia="宋体"/>
                <w:b w:val="0"/>
                <w:sz w:val="20"/>
              </w:rPr>
              <w:t>成像低质</w:t>
            </w:r>
          </w:p>
        </w:tc>
        <w:tc>
          <w:tcPr>
            <w:tcW w:type="dxa" w:w="2880"/>
          </w:tcPr>
          <w:p>
            <w:r/>
            <w:r>
              <w:rPr>
                <w:rFonts w:ascii="宋体" w:hAnsi="宋体" w:eastAsia="宋体"/>
                <w:b w:val="0"/>
                <w:sz w:val="20"/>
              </w:rPr>
              <w:t>单摄像头720P/1080P、屏幕眩光、眼镜反光、广角畸变。</w:t>
            </w:r>
          </w:p>
        </w:tc>
        <w:tc>
          <w:tcPr>
            <w:tcW w:type="dxa" w:w="2880"/>
          </w:tcPr>
          <w:p>
            <w:r/>
            <w:r>
              <w:rPr>
                <w:rFonts w:ascii="宋体" w:hAnsi="宋体" w:eastAsia="宋体"/>
                <w:b w:val="0"/>
                <w:sz w:val="20"/>
              </w:rPr>
              <w:t>依赖高清人脸或红外摄像头的方案成本高、侵入性强，且无法解决屏幕反光问题。</w:t>
            </w:r>
          </w:p>
        </w:tc>
      </w:tr>
      <w:tr>
        <w:tc>
          <w:tcPr>
            <w:tcW w:type="dxa" w:w="2880"/>
          </w:tcPr>
          <w:p>
            <w:r/>
            <w:r>
              <w:rPr>
                <w:rFonts w:ascii="宋体" w:hAnsi="宋体" w:eastAsia="宋体"/>
                <w:b w:val="0"/>
                <w:sz w:val="20"/>
              </w:rPr>
              <w:t>信号微弱</w:t>
            </w:r>
          </w:p>
        </w:tc>
        <w:tc>
          <w:tcPr>
            <w:tcW w:type="dxa" w:w="2880"/>
          </w:tcPr>
          <w:p>
            <w:r/>
            <w:r>
              <w:rPr>
                <w:rFonts w:ascii="宋体" w:hAnsi="宋体" w:eastAsia="宋体"/>
                <w:b w:val="0"/>
                <w:sz w:val="20"/>
              </w:rPr>
              <w:t>静坐凝视状态下，眼动幅值极小，有效Fixation（注视）与噪声难以区分。</w:t>
            </w:r>
          </w:p>
        </w:tc>
        <w:tc>
          <w:tcPr>
            <w:tcW w:type="dxa" w:w="2880"/>
          </w:tcPr>
          <w:p>
            <w:r/>
            <w:r>
              <w:rPr>
                <w:rFonts w:ascii="宋体" w:hAnsi="宋体" w:eastAsia="宋体"/>
                <w:b w:val="0"/>
                <w:sz w:val="20"/>
              </w:rPr>
              <w:t>传统I-VT（速度阈值）算法失效，导致关注点估计漂移。</w:t>
            </w:r>
          </w:p>
        </w:tc>
      </w:tr>
      <w:tr>
        <w:tc>
          <w:tcPr>
            <w:tcW w:type="dxa" w:w="2880"/>
          </w:tcPr>
          <w:p>
            <w:r/>
            <w:r>
              <w:rPr>
                <w:rFonts w:ascii="宋体" w:hAnsi="宋体" w:eastAsia="宋体"/>
                <w:b w:val="0"/>
                <w:sz w:val="20"/>
              </w:rPr>
              <w:t>标注缺失</w:t>
            </w:r>
          </w:p>
        </w:tc>
        <w:tc>
          <w:tcPr>
            <w:tcW w:type="dxa" w:w="2880"/>
          </w:tcPr>
          <w:p>
            <w:r/>
            <w:r>
              <w:rPr>
                <w:rFonts w:ascii="宋体" w:hAnsi="宋体" w:eastAsia="宋体"/>
                <w:b w:val="0"/>
                <w:sz w:val="20"/>
              </w:rPr>
              <w:t>无法部署眼动仪获取Ground Truth，注意力标签难以量化。</w:t>
            </w:r>
          </w:p>
        </w:tc>
        <w:tc>
          <w:tcPr>
            <w:tcW w:type="dxa" w:w="2880"/>
          </w:tcPr>
          <w:p>
            <w:r/>
            <w:r>
              <w:rPr>
                <w:rFonts w:ascii="宋体" w:hAnsi="宋体" w:eastAsia="宋体"/>
                <w:b w:val="0"/>
                <w:sz w:val="20"/>
              </w:rPr>
              <w:t>缺乏监督信号，无法进行端到端深度学习训练。</w:t>
            </w:r>
          </w:p>
        </w:tc>
      </w:tr>
      <w:tr>
        <w:tc>
          <w:tcPr>
            <w:tcW w:type="dxa" w:w="2880"/>
          </w:tcPr>
          <w:p>
            <w:r/>
            <w:r>
              <w:rPr>
                <w:rFonts w:ascii="宋体" w:hAnsi="宋体" w:eastAsia="宋体"/>
                <w:b w:val="0"/>
                <w:sz w:val="20"/>
              </w:rPr>
              <w:t>归因混淆</w:t>
            </w:r>
          </w:p>
        </w:tc>
        <w:tc>
          <w:tcPr>
            <w:tcW w:type="dxa" w:w="2880"/>
          </w:tcPr>
          <w:p>
            <w:r/>
            <w:r>
              <w:rPr>
                <w:rFonts w:ascii="宋体" w:hAnsi="宋体" w:eastAsia="宋体"/>
                <w:b w:val="0"/>
                <w:sz w:val="20"/>
              </w:rPr>
              <w:t>难以区分"疲劳导致的走神"与"态度不端正导致的走神"。</w:t>
            </w:r>
          </w:p>
        </w:tc>
        <w:tc>
          <w:tcPr>
            <w:tcW w:type="dxa" w:w="2880"/>
          </w:tcPr>
          <w:p>
            <w:r/>
            <w:r>
              <w:rPr>
                <w:rFonts w:ascii="宋体" w:hAnsi="宋体" w:eastAsia="宋体"/>
                <w:b w:val="0"/>
                <w:sz w:val="20"/>
              </w:rPr>
              <w:t>涉及隐私伦理，且心理状态难以通过单一视觉特征准确反推。</w:t>
            </w:r>
          </w:p>
        </w:tc>
      </w:tr>
    </w:tbl>
    <w:p>
      <w:r>
        <w:rPr>
          <w:rFonts w:ascii="黑体" w:hAnsi="黑体" w:eastAsia="黑体"/>
          <w:b/>
          <w:sz w:val="24"/>
        </w:rPr>
        <w:t>4. 核心矛盾</w:t>
      </w:r>
    </w:p>
    <w:p>
      <w:pPr>
        <w:spacing w:line="360" w:lineRule="auto"/>
        <w:ind w:firstLine="420"/>
      </w:pPr>
      <w:r>
        <w:rPr>
          <w:rFonts w:ascii="宋体" w:hAnsi="宋体" w:eastAsia="宋体"/>
          <w:b w:val="0"/>
          <w:sz w:val="22"/>
        </w:rPr>
        <w:t>安检有效关注监测需要的是对注视分布形态演化的量化与对任务绩效的关联验证，而现有方法要么依赖昂贵硬件（高清摄像头、眼动仪）、要么依赖外部操作日志（鼠标轨迹、违禁品检测框）、要么陷入心理状态归因争议。在仅有一路低清监控摄像头的现实约束下，如何实现"纯视觉、无侵入、全自动"的注意力稳定性量化，是本研究的核心矛盾。</w:t>
      </w:r>
    </w:p>
    <w:p>
      <w:r>
        <w:rPr>
          <w:rFonts w:ascii="黑体" w:hAnsi="黑体" w:eastAsia="黑体"/>
          <w:b/>
          <w:sz w:val="28"/>
        </w:rPr>
        <w:t>二、科学问题与创新思路</w:t>
      </w:r>
    </w:p>
    <w:p>
      <w:r>
        <w:rPr>
          <w:rFonts w:ascii="黑体" w:hAnsi="黑体" w:eastAsia="黑体"/>
          <w:b/>
          <w:sz w:val="24"/>
        </w:rPr>
        <w:t>1. 科学问题</w:t>
      </w:r>
    </w:p>
    <w:p>
      <w:pPr>
        <w:spacing w:line="360" w:lineRule="auto"/>
        <w:ind w:firstLine="420"/>
      </w:pPr>
      <w:r>
        <w:rPr>
          <w:rFonts w:ascii="宋体" w:hAnsi="宋体" w:eastAsia="宋体"/>
          <w:b w:val="0"/>
          <w:sz w:val="22"/>
        </w:rPr>
        <w:t>如何在非受控低质视觉条件下，通过单次预标定建立的"注视误差场"模型，解耦并量化视觉搜索策略从"稳态拓扑"向"无序拓扑"的临界相变机制？</w:t>
      </w:r>
    </w:p>
    <w:p>
      <w:pPr>
        <w:spacing w:line="360" w:lineRule="auto"/>
        <w:ind w:firstLine="420"/>
      </w:pPr>
      <w:r>
        <w:rPr>
          <w:rFonts w:ascii="宋体" w:hAnsi="宋体" w:eastAsia="宋体"/>
          <w:b w:val="0"/>
          <w:sz w:val="22"/>
        </w:rPr>
        <w:t>核心挑战：摒弃对"疲劳"的心理归因，聚焦于"注意力分布形态的演化"。即不关心"为什么散"，只关心"散没散"，以及"散了之后对任务绩效的影响"。这一科学问题将研究从"检测某个状态"升维为"揭示认知相变机制"，从被动的噪声容忍转向主动的误差场建模。</w:t>
      </w:r>
    </w:p>
    <w:p>
      <w:r>
        <w:rPr>
          <w:rFonts w:ascii="黑体" w:hAnsi="黑体" w:eastAsia="黑体"/>
          <w:b/>
          <w:sz w:val="24"/>
        </w:rPr>
        <w:t>2. 创新思路</w:t>
      </w:r>
    </w:p>
    <w:p>
      <w:pPr>
        <w:spacing w:line="360" w:lineRule="auto"/>
        <w:ind w:firstLine="420"/>
      </w:pPr>
      <w:r>
        <w:rPr>
          <w:rFonts w:ascii="宋体" w:hAnsi="宋体" w:eastAsia="宋体"/>
          <w:b w:val="0"/>
          <w:sz w:val="22"/>
        </w:rPr>
        <w:t>本研究将三大创新点串联为一个逻辑严密的"三位一体"创新架构，形成从误差建模、坐标系构建到统计推断的理论闭环。</w:t>
      </w:r>
    </w:p>
    <w:p>
      <w:r>
        <w:rPr>
          <w:rFonts w:ascii="宋体" w:hAnsi="宋体" w:eastAsia="宋体"/>
          <w:b/>
          <w:sz w:val="22"/>
        </w:rPr>
        <w:t>创新点一：基于交互式标定的注视误差场建模（Error Field Modeling）</w:t>
      </w:r>
    </w:p>
    <w:p>
      <w:pPr>
        <w:spacing w:line="360" w:lineRule="auto"/>
        <w:ind w:firstLine="420"/>
      </w:pPr>
      <w:r>
        <w:rPr>
          <w:rFonts w:ascii="宋体" w:hAnsi="宋体" w:eastAsia="宋体"/>
          <w:b w:val="0"/>
          <w:sz w:val="22"/>
        </w:rPr>
        <w:t>思路：利用操作员上岗前的5分钟强制专注训练（屏幕随机点追踪），建立屏幕空间坐标到注视误差协方差矩阵的映射。</w:t>
      </w:r>
    </w:p>
    <w:p>
      <w:pPr>
        <w:spacing w:line="360" w:lineRule="auto"/>
        <w:ind w:firstLine="420"/>
      </w:pPr>
      <w:r>
        <w:rPr>
          <w:rFonts w:ascii="宋体" w:hAnsi="宋体" w:eastAsia="宋体"/>
          <w:b w:val="0"/>
          <w:sz w:val="22"/>
        </w:rPr>
        <w:t>突破：将"未知噪声"转化为"已知物理场"，通过白化变换（Whitening Transform）在算法层面扣除系统性误差，实现低质摄像头向准实验室精度的跃迁。这一创新提出了"屏幕空间依赖的注视噪声模型"，替代了传统的独立同分布假设，解决了"低质摄像头误差太大、结果不可信"的根本性质疑。</w:t>
      </w:r>
    </w:p>
    <w:p>
      <w:r>
        <w:rPr>
          <w:rFonts w:ascii="宋体" w:hAnsi="宋体" w:eastAsia="宋体"/>
          <w:b/>
          <w:sz w:val="22"/>
        </w:rPr>
        <w:t>创新点二：注视锚点驱动的增量式动态拓扑（Dynamic Topography）</w:t>
      </w:r>
    </w:p>
    <w:p>
      <w:pPr>
        <w:spacing w:line="360" w:lineRule="auto"/>
        <w:ind w:firstLine="420"/>
      </w:pPr>
      <w:r>
        <w:rPr>
          <w:rFonts w:ascii="宋体" w:hAnsi="宋体" w:eastAsia="宋体"/>
          <w:b w:val="0"/>
          <w:sz w:val="22"/>
        </w:rPr>
        <w:t>思路：摒弃外部操作日志，基于停留时长投票机制实时推断当前视觉焦点（Anchor）。构建以锚点为中心的动态坐标系，将注视点云转化为随时间演化的认知地形图。</w:t>
      </w:r>
    </w:p>
    <w:p>
      <w:pPr>
        <w:spacing w:line="360" w:lineRule="auto"/>
        <w:ind w:firstLine="420"/>
      </w:pPr>
      <w:r>
        <w:rPr>
          <w:rFonts w:ascii="宋体" w:hAnsi="宋体" w:eastAsia="宋体"/>
          <w:b w:val="0"/>
          <w:sz w:val="22"/>
        </w:rPr>
        <w:t>突破：解决了多目标场景下参考系频繁切换导致的特征撕裂问题，实现了纯视觉、全自动的内生注意力建模。不同于静态ROI，注视锚点通过时序投票机制实时捕获安检员的意图焦点，模仿人类视觉系统的"显著性引导"机制。</w:t>
      </w:r>
    </w:p>
    <w:p>
      <w:r>
        <w:rPr>
          <w:rFonts w:ascii="宋体" w:hAnsi="宋体" w:eastAsia="宋体"/>
          <w:b/>
          <w:sz w:val="22"/>
        </w:rPr>
        <w:t>创新点三：非参数化的分布形态学分析（Distribution Morphology）</w:t>
      </w:r>
    </w:p>
    <w:p>
      <w:pPr>
        <w:spacing w:line="360" w:lineRule="auto"/>
        <w:ind w:firstLine="420"/>
      </w:pPr>
      <w:r>
        <w:rPr>
          <w:rFonts w:ascii="宋体" w:hAnsi="宋体" w:eastAsia="宋体"/>
          <w:b w:val="0"/>
          <w:sz w:val="22"/>
        </w:rPr>
        <w:t>思路：放弃对高斯分布的假设，采用分位数鲁棒统计量（IQR、凸包面积、空间熵）描述点云形态。利用置换检验（Permutation Test）对比实时分布与基线分布的差异。</w:t>
      </w:r>
    </w:p>
    <w:p>
      <w:pPr>
        <w:spacing w:line="360" w:lineRule="auto"/>
        <w:ind w:firstLine="420"/>
      </w:pPr>
      <w:r>
        <w:rPr>
          <w:rFonts w:ascii="宋体" w:hAnsi="宋体" w:eastAsia="宋体"/>
          <w:b w:val="0"/>
          <w:sz w:val="22"/>
        </w:rPr>
        <w:t>突破：在未知噪声分布下，仍能稳定检测从"紧凑低熵态"到"弥散高熵态"的拓扑相变。将注意力失稳定义为注视点云在隐空间中的拓扑结构变化，从理论上规避了误差分布未知带来的统计偏差，提升了方法的工业可用性。</w:t>
      </w:r>
    </w:p>
    <w:p>
      <w:r>
        <w:rPr>
          <w:rFonts w:ascii="黑体" w:hAnsi="黑体" w:eastAsia="黑体"/>
          <w:b/>
          <w:sz w:val="24"/>
        </w:rPr>
        <w:t>3. 核心术语与记忆点</w:t>
      </w:r>
    </w:p>
    <w:p>
      <w:pPr>
        <w:spacing w:line="360" w:lineRule="auto"/>
        <w:ind w:firstLine="420"/>
      </w:pPr>
      <w:r>
        <w:rPr>
          <w:rFonts w:ascii="宋体" w:hAnsi="宋体" w:eastAsia="宋体"/>
          <w:b w:val="0"/>
          <w:sz w:val="22"/>
        </w:rPr>
        <w:t>本研究围绕三个核心术语组织全文：其一是"注视误差场"，用于刻画低质视觉条件下通过预标定建立的系统性噪声物理模型，是整个方法链的精度基石；其二是"注视锚点"，用于描述通过时序投票机制实时推断的内生视觉焦点，是实现全自动无日志接入的关键；其三是"分布形态学"，用于刻画注视点云从稳态到失稳态的拓扑相变过程，是状态量化的理论范式。三者环环相扣：误差场修正使坐标可信→锚点投票使坐标系动态建立→分布形态学使相变可量化检测。</w:t>
      </w:r>
    </w:p>
    <w:p>
      <w:r>
        <w:rPr>
          <w:rFonts w:ascii="黑体" w:hAnsi="黑体" w:eastAsia="黑体"/>
          <w:b/>
          <w:sz w:val="28"/>
        </w:rPr>
        <w:t>三、技术路线</w:t>
      </w:r>
    </w:p>
    <w:p>
      <w:pPr>
        <w:spacing w:line="360" w:lineRule="auto"/>
        <w:ind w:firstLine="420"/>
      </w:pPr>
      <w:r>
        <w:rPr>
          <w:rFonts w:ascii="宋体" w:hAnsi="宋体" w:eastAsia="宋体"/>
          <w:b w:val="0"/>
          <w:sz w:val="22"/>
        </w:rPr>
        <w:t>本研究的技术路线分为三个阶段，形成"标定建模→在线感知→预警决策"的完整闭环，各阶段前后衔接、逐层递进。</w:t>
      </w:r>
    </w:p>
    <w:p>
      <w:r>
        <w:rPr>
          <w:rFonts w:ascii="黑体" w:hAnsi="黑体" w:eastAsia="黑体"/>
          <w:b/>
          <w:sz w:val="24"/>
        </w:rPr>
        <w:t>阶段一：离线标定与基线建立</w:t>
      </w:r>
    </w:p>
    <w:p>
      <w:pPr>
        <w:spacing w:line="360" w:lineRule="auto"/>
        <w:ind w:firstLine="420"/>
      </w:pPr>
      <w:r>
        <w:rPr>
          <w:rFonts w:ascii="宋体" w:hAnsi="宋体" w:eastAsia="宋体"/>
          <w:b w:val="0"/>
          <w:sz w:val="22"/>
        </w:rPr>
        <w:t>本阶段是整个研究路线的精度基石，其核心思想是"预知误差，并在分析中扣除误差"，而非被动忍受噪声。</w:t>
      </w:r>
    </w:p>
    <w:p>
      <w:r>
        <w:rPr>
          <w:rFonts w:ascii="宋体" w:hAnsi="宋体" w:eastAsia="宋体"/>
          <w:b/>
          <w:sz w:val="22"/>
        </w:rPr>
        <w:t>（1）交互式标定软件</w:t>
      </w:r>
    </w:p>
    <w:p>
      <w:pPr>
        <w:spacing w:line="360" w:lineRule="auto"/>
        <w:ind w:firstLine="420"/>
      </w:pPr>
      <w:r>
        <w:rPr>
          <w:rFonts w:ascii="宋体" w:hAnsi="宋体" w:eastAsia="宋体"/>
          <w:b w:val="0"/>
          <w:sz w:val="22"/>
        </w:rPr>
        <w:t>开发屏幕随机点追踪程序：在监视屏幕上随机生成关注目标点（2秒预备时间，目标点为黄色；2秒后自动变为绿色，持续移动10秒后消失），采集5分钟操作员精准注视数据。该标定过程是"一次性、无侵入、全自动"的，操作员只需紧盯目标即可。</w:t>
      </w:r>
    </w:p>
    <w:p>
      <w:r>
        <w:rPr>
          <w:rFonts w:ascii="宋体" w:hAnsi="宋体" w:eastAsia="宋体"/>
          <w:b/>
          <w:sz w:val="22"/>
        </w:rPr>
        <w:t>（2）注视误差场构建</w:t>
      </w:r>
    </w:p>
    <w:p>
      <w:pPr>
        <w:spacing w:line="360" w:lineRule="auto"/>
        <w:ind w:firstLine="420"/>
      </w:pPr>
      <w:r>
        <w:rPr>
          <w:rFonts w:ascii="宋体" w:hAnsi="宋体" w:eastAsia="宋体"/>
          <w:b w:val="0"/>
          <w:sz w:val="22"/>
        </w:rPr>
        <w:t>将屏幕网格化，对每个网格计算标定点的误差协方差矩阵，生成全屏误差热力图（Heatmap）。该热力图直观呈现屏幕各区域的系统性误差分布（如屏幕边缘误差较大、中心误差较小），是论文的第一个核心Figure。通过这一步骤，获得了屏幕空间坐标到注视误差的映射函数，将"未知噪声"转化为"已知物理场"。</w:t>
      </w:r>
    </w:p>
    <w:p>
      <w:r>
        <w:rPr>
          <w:rFonts w:ascii="宋体" w:hAnsi="宋体" w:eastAsia="宋体"/>
          <w:b/>
          <w:sz w:val="22"/>
        </w:rPr>
        <w:t>（3）个性化基线建立</w:t>
      </w:r>
    </w:p>
    <w:p>
      <w:pPr>
        <w:spacing w:line="360" w:lineRule="auto"/>
        <w:ind w:firstLine="420"/>
      </w:pPr>
      <w:r>
        <w:rPr>
          <w:rFonts w:ascii="宋体" w:hAnsi="宋体" w:eastAsia="宋体"/>
          <w:b w:val="0"/>
          <w:sz w:val="22"/>
        </w:rPr>
        <w:t>提取操作员在清醒状态下的注视点云特征（如90%分位数椭圆面积），作为"零偏移"基准。标定时的"精准关注"代表了该操作员的最佳认知投入状态，后续所有的注意力失稳判断，都是相对于这个个性化基线的统计偏移。这解决了"千人千面"问题——无需跨人泛化，只需证明"本人注意力失稳了"。</w:t>
      </w:r>
    </w:p>
    <w:p>
      <w:r>
        <w:rPr>
          <w:rFonts w:ascii="黑体" w:hAnsi="黑体" w:eastAsia="黑体"/>
          <w:b/>
          <w:sz w:val="24"/>
        </w:rPr>
        <w:t>阶段二：在线推理与状态感知</w:t>
      </w:r>
    </w:p>
    <w:p>
      <w:pPr>
        <w:spacing w:line="360" w:lineRule="auto"/>
        <w:ind w:firstLine="420"/>
      </w:pPr>
      <w:r>
        <w:rPr>
          <w:rFonts w:ascii="宋体" w:hAnsi="宋体" w:eastAsia="宋体"/>
          <w:b w:val="0"/>
          <w:sz w:val="22"/>
        </w:rPr>
        <w:t>本阶段承接阶段一的误差场模型，实现从原始gaze流到注意力失稳量化的实时推理。</w:t>
      </w:r>
    </w:p>
    <w:p>
      <w:r>
        <w:rPr>
          <w:rFonts w:ascii="宋体" w:hAnsi="宋体" w:eastAsia="宋体"/>
          <w:b/>
          <w:sz w:val="22"/>
        </w:rPr>
        <w:t>（1）误差修正</w:t>
      </w:r>
    </w:p>
    <w:p>
      <w:pPr>
        <w:spacing w:line="360" w:lineRule="auto"/>
        <w:ind w:firstLine="420"/>
      </w:pPr>
      <w:r>
        <w:rPr>
          <w:rFonts w:ascii="宋体" w:hAnsi="宋体" w:eastAsia="宋体"/>
          <w:b w:val="0"/>
          <w:sz w:val="22"/>
        </w:rPr>
        <w:t>实时获取gaze估计点，查表获取当前位置对应的误差协方差，进行马氏距离归一化（消除空间异方差）。通过白化变换，将不同区域的异方差噪声统一到可比较的尺度，使后续分布分析在统计意义上等价。</w:t>
      </w:r>
    </w:p>
    <w:p>
      <w:r>
        <w:rPr>
          <w:rFonts w:ascii="宋体" w:hAnsi="宋体" w:eastAsia="宋体"/>
          <w:b/>
          <w:sz w:val="22"/>
        </w:rPr>
        <w:t>（2）动态锚点选择</w:t>
      </w:r>
    </w:p>
    <w:p>
      <w:pPr>
        <w:spacing w:line="360" w:lineRule="auto"/>
        <w:ind w:firstLine="420"/>
      </w:pPr>
      <w:r>
        <w:rPr>
          <w:rFonts w:ascii="宋体" w:hAnsi="宋体" w:eastAsia="宋体"/>
          <w:b w:val="0"/>
          <w:sz w:val="22"/>
        </w:rPr>
        <w:t>在修正后的坐标上，推断当前视觉焦点：</w:t>
      </w:r>
    </w:p>
    <w:p>
      <w:pPr>
        <w:spacing w:line="360" w:lineRule="auto"/>
        <w:ind w:left="420"/>
      </w:pPr>
      <w:r>
        <w:rPr>
          <w:rFonts w:ascii="宋体" w:hAnsi="宋体" w:eastAsia="宋体"/>
          <w:b w:val="0"/>
          <w:sz w:val="22"/>
        </w:rPr>
        <w:t>Saccade/Fixation分离：使用I-VT算法（速度阈值法）分离扫视与注视，只取Fixation段的点参与投票，避免扫视期的噪声点稀释真实关注点。</w:t>
      </w:r>
    </w:p>
    <w:p>
      <w:pPr>
        <w:spacing w:line="360" w:lineRule="auto"/>
        <w:ind w:left="420"/>
      </w:pPr>
      <w:r>
        <w:rPr>
          <w:rFonts w:ascii="宋体" w:hAnsi="宋体" w:eastAsia="宋体"/>
          <w:b w:val="0"/>
          <w:sz w:val="22"/>
        </w:rPr>
        <w:t>软投票机制：对Fixation点进行高斯核加权投票，累计时长最长的区域判定为当前关注点。相比硬判"在不在框里"，软接近更稳健，能应对gaze估计1-2°误差与小幅晃动。</w:t>
      </w:r>
    </w:p>
    <w:p>
      <w:pPr>
        <w:spacing w:line="360" w:lineRule="auto"/>
        <w:ind w:left="420"/>
      </w:pPr>
      <w:r>
        <w:rPr>
          <w:rFonts w:ascii="宋体" w:hAnsi="宋体" w:eastAsia="宋体"/>
          <w:b w:val="0"/>
          <w:sz w:val="22"/>
        </w:rPr>
        <w:t>切换边界处理：设置150ms滞后来处理关注点切换边界，前面50-100ms作为过渡带丢弃或弱化权重，防止坐标系原点切换时分布被撕裂。</w:t>
      </w:r>
    </w:p>
    <w:p>
      <w:r>
        <w:rPr>
          <w:rFonts w:ascii="宋体" w:hAnsi="宋体" w:eastAsia="宋体"/>
          <w:b/>
          <w:sz w:val="22"/>
        </w:rPr>
        <w:t>（3）拓扑演化分析</w:t>
      </w:r>
    </w:p>
    <w:p>
      <w:pPr>
        <w:spacing w:line="360" w:lineRule="auto"/>
        <w:ind w:firstLine="420"/>
      </w:pPr>
      <w:r>
        <w:rPr>
          <w:rFonts w:ascii="宋体" w:hAnsi="宋体" w:eastAsia="宋体"/>
          <w:b w:val="0"/>
          <w:sz w:val="22"/>
        </w:rPr>
        <w:t>在以锚点为中心的动态坐标系中，计算实时分布形态特征：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特征维度</w:t>
            </w:r>
          </w:p>
        </w:tc>
        <w:tc>
          <w:tcPr>
            <w:tcW w:type="dxa" w:w="2880"/>
          </w:tcPr>
          <w:p>
            <w:r/>
            <w:r>
              <w:rPr>
                <w:rFonts w:ascii="宋体" w:hAnsi="宋体" w:eastAsia="宋体"/>
                <w:b/>
                <w:sz w:val="20"/>
              </w:rPr>
              <w:t>非参数化处理方案</w:t>
            </w:r>
          </w:p>
        </w:tc>
        <w:tc>
          <w:tcPr>
            <w:tcW w:type="dxa" w:w="2880"/>
          </w:tcPr>
          <w:p>
            <w:r/>
            <w:r>
              <w:rPr>
                <w:rFonts w:ascii="宋体" w:hAnsi="宋体" w:eastAsia="宋体"/>
                <w:b/>
                <w:sz w:val="20"/>
              </w:rPr>
              <w:t>抗噪原理</w:t>
            </w:r>
          </w:p>
        </w:tc>
      </w:tr>
      <w:tr>
        <w:tc>
          <w:tcPr>
            <w:tcW w:type="dxa" w:w="2880"/>
          </w:tcPr>
          <w:p>
            <w:r/>
            <w:r>
              <w:rPr>
                <w:rFonts w:ascii="宋体" w:hAnsi="宋体" w:eastAsia="宋体"/>
                <w:b w:val="0"/>
                <w:sz w:val="20"/>
              </w:rPr>
              <w:t>离散程度</w:t>
            </w:r>
          </w:p>
        </w:tc>
        <w:tc>
          <w:tcPr>
            <w:tcW w:type="dxa" w:w="2880"/>
          </w:tcPr>
          <w:p>
            <w:r/>
            <w:r>
              <w:rPr>
                <w:rFonts w:ascii="宋体" w:hAnsi="宋体" w:eastAsia="宋体"/>
                <w:b w:val="0"/>
                <w:sz w:val="20"/>
              </w:rPr>
              <w:t>四分位距（IQR）/ 中位绝对偏差（MAD）</w:t>
            </w:r>
          </w:p>
        </w:tc>
        <w:tc>
          <w:tcPr>
            <w:tcW w:type="dxa" w:w="2880"/>
          </w:tcPr>
          <w:p>
            <w:r/>
            <w:r>
              <w:rPr>
                <w:rFonts w:ascii="宋体" w:hAnsi="宋体" w:eastAsia="宋体"/>
                <w:b w:val="0"/>
                <w:sz w:val="20"/>
              </w:rPr>
              <w:t>取代标准差。中位数和四分位数对极端离群点（如眨眼导致的误检）免疫。</w:t>
            </w:r>
          </w:p>
        </w:tc>
      </w:tr>
      <w:tr>
        <w:tc>
          <w:tcPr>
            <w:tcW w:type="dxa" w:w="2880"/>
          </w:tcPr>
          <w:p>
            <w:r/>
            <w:r>
              <w:rPr>
                <w:rFonts w:ascii="宋体" w:hAnsi="宋体" w:eastAsia="宋体"/>
                <w:b w:val="0"/>
                <w:sz w:val="20"/>
              </w:rPr>
              <w:t>空间形状</w:t>
            </w:r>
          </w:p>
        </w:tc>
        <w:tc>
          <w:tcPr>
            <w:tcW w:type="dxa" w:w="2880"/>
          </w:tcPr>
          <w:p>
            <w:r/>
            <w:r>
              <w:rPr>
                <w:rFonts w:ascii="宋体" w:hAnsi="宋体" w:eastAsia="宋体"/>
                <w:b w:val="0"/>
                <w:sz w:val="20"/>
              </w:rPr>
              <w:t>凸包面积（Convex Hull Area）/ 分位数椭圆面积</w:t>
            </w:r>
          </w:p>
        </w:tc>
        <w:tc>
          <w:tcPr>
            <w:tcW w:type="dxa" w:w="2880"/>
          </w:tcPr>
          <w:p>
            <w:r/>
            <w:r>
              <w:rPr>
                <w:rFonts w:ascii="宋体" w:hAnsi="宋体" w:eastAsia="宋体"/>
                <w:b w:val="0"/>
                <w:sz w:val="20"/>
              </w:rPr>
              <w:t>取代协方差矩阵。直接描述点的覆盖范围，不关心内部密度分布。</w:t>
            </w:r>
          </w:p>
        </w:tc>
      </w:tr>
      <w:tr>
        <w:tc>
          <w:tcPr>
            <w:tcW w:type="dxa" w:w="2880"/>
          </w:tcPr>
          <w:p>
            <w:r/>
            <w:r>
              <w:rPr>
                <w:rFonts w:ascii="宋体" w:hAnsi="宋体" w:eastAsia="宋体"/>
                <w:b w:val="0"/>
                <w:sz w:val="20"/>
              </w:rPr>
              <w:t>随机性</w:t>
            </w:r>
          </w:p>
        </w:tc>
        <w:tc>
          <w:tcPr>
            <w:tcW w:type="dxa" w:w="2880"/>
          </w:tcPr>
          <w:p>
            <w:r/>
            <w:r>
              <w:rPr>
                <w:rFonts w:ascii="宋体" w:hAnsi="宋体" w:eastAsia="宋体"/>
                <w:b w:val="0"/>
                <w:sz w:val="20"/>
              </w:rPr>
              <w:t>最近邻指数（Nearest Neighbor Index, NNI）</w:t>
            </w:r>
          </w:p>
        </w:tc>
        <w:tc>
          <w:tcPr>
            <w:tcW w:type="dxa" w:w="2880"/>
          </w:tcPr>
          <w:p>
            <w:r/>
            <w:r>
              <w:rPr>
                <w:rFonts w:ascii="宋体" w:hAnsi="宋体" w:eastAsia="宋体"/>
                <w:b w:val="0"/>
                <w:sz w:val="20"/>
              </w:rPr>
              <w:t>计算点与点之间的平均距离。注意力失稳时轨迹混乱，NNI显著降低。</w:t>
            </w:r>
          </w:p>
        </w:tc>
      </w:tr>
      <w:tr>
        <w:tc>
          <w:tcPr>
            <w:tcW w:type="dxa" w:w="2880"/>
          </w:tcPr>
          <w:p>
            <w:r/>
            <w:r>
              <w:rPr>
                <w:rFonts w:ascii="宋体" w:hAnsi="宋体" w:eastAsia="宋体"/>
                <w:b w:val="0"/>
                <w:sz w:val="20"/>
              </w:rPr>
              <w:t>熵值</w:t>
            </w:r>
          </w:p>
        </w:tc>
        <w:tc>
          <w:tcPr>
            <w:tcW w:type="dxa" w:w="2880"/>
          </w:tcPr>
          <w:p>
            <w:r/>
            <w:r>
              <w:rPr>
                <w:rFonts w:ascii="宋体" w:hAnsi="宋体" w:eastAsia="宋体"/>
                <w:b w:val="0"/>
                <w:sz w:val="20"/>
              </w:rPr>
              <w:t>空间熵（Spatial Entropy）</w:t>
            </w:r>
          </w:p>
        </w:tc>
        <w:tc>
          <w:tcPr>
            <w:tcW w:type="dxa" w:w="2880"/>
          </w:tcPr>
          <w:p>
            <w:r/>
            <w:r>
              <w:rPr>
                <w:rFonts w:ascii="宋体" w:hAnsi="宋体" w:eastAsia="宋体"/>
                <w:b w:val="0"/>
                <w:sz w:val="20"/>
              </w:rPr>
              <w:t>将平面网格化，统计落入各格的概率，计算熵值。失稳时熵增高。</w:t>
            </w:r>
          </w:p>
        </w:tc>
      </w:tr>
    </w:tbl>
    <w:p>
      <w:pPr>
        <w:spacing w:line="360" w:lineRule="auto"/>
        <w:ind w:firstLine="420"/>
      </w:pPr>
      <w:r>
        <w:rPr>
          <w:rFonts w:ascii="宋体" w:hAnsi="宋体" w:eastAsia="宋体"/>
          <w:b w:val="0"/>
          <w:sz w:val="22"/>
        </w:rPr>
        <w:t>在此基础上，计算实时分布与个性化基线分布之间的偏移量Δ。利用置换检验（Permutation Test）对比实时分布与基线分布的差异：将"关注态"与"失稳态"标签随机打乱成千上万次，构建原假设下的抽样分布，若真实统计量落在分布的极端尾部（如5%以外），则拒绝原假设，证明注意力状态发生显著变化。该方法完全不需要知道误差服从什么分布，用数据本身去模拟随机性，是处理"非高斯、重尾、未知分布"数据的最强武器。</w:t>
      </w:r>
    </w:p>
    <w:p>
      <w:r>
        <w:rPr>
          <w:rFonts w:ascii="黑体" w:hAnsi="黑体" w:eastAsia="黑体"/>
          <w:b/>
          <w:sz w:val="24"/>
        </w:rPr>
        <w:t>阶段三：预警决策</w:t>
      </w:r>
    </w:p>
    <w:p>
      <w:pPr>
        <w:spacing w:line="360" w:lineRule="auto"/>
        <w:ind w:firstLine="420"/>
      </w:pPr>
      <w:r>
        <w:rPr>
          <w:rFonts w:ascii="宋体" w:hAnsi="宋体" w:eastAsia="宋体"/>
          <w:b w:val="0"/>
          <w:sz w:val="22"/>
        </w:rPr>
        <w:t>本阶段将状态感知结果转化为可落地的预警信号，并与任务绩效建立关联。</w:t>
      </w:r>
    </w:p>
    <w:p>
      <w:r>
        <w:rPr>
          <w:rFonts w:ascii="宋体" w:hAnsi="宋体" w:eastAsia="宋体"/>
          <w:b/>
          <w:sz w:val="22"/>
        </w:rPr>
        <w:t>（1）阈值判定</w:t>
      </w:r>
    </w:p>
    <w:p>
      <w:pPr>
        <w:spacing w:line="360" w:lineRule="auto"/>
        <w:ind w:firstLine="420"/>
      </w:pPr>
      <w:r>
        <w:rPr>
          <w:rFonts w:ascii="宋体" w:hAnsi="宋体" w:eastAsia="宋体"/>
          <w:b w:val="0"/>
          <w:sz w:val="22"/>
        </w:rPr>
        <w:t>当分布偏移量Δ超过个性化阈值且持续一定时间，触发注意力失稳预警。阈值基于个性化基线的统计置信区间确定，而非经验固定值。</w:t>
      </w:r>
    </w:p>
    <w:p>
      <w:r>
        <w:rPr>
          <w:rFonts w:ascii="宋体" w:hAnsi="宋体" w:eastAsia="宋体"/>
          <w:b/>
          <w:sz w:val="22"/>
        </w:rPr>
        <w:t>（2）绩效关联</w:t>
      </w:r>
    </w:p>
    <w:p>
      <w:pPr>
        <w:spacing w:line="360" w:lineRule="auto"/>
        <w:ind w:firstLine="420"/>
      </w:pPr>
      <w:r>
        <w:rPr>
          <w:rFonts w:ascii="宋体" w:hAnsi="宋体" w:eastAsia="宋体"/>
          <w:b w:val="0"/>
          <w:sz w:val="22"/>
        </w:rPr>
        <w:t>结合后台X光机操作日志（漏检/误报率），验证注意力失稳与实际作业风险的关联性。证明"分布散→漏检多"，即注视分布处于高熵态（低关注）时，漏检事件显著增加，从而确立系统的实用价值。</w:t>
      </w:r>
    </w:p>
    <w:p>
      <w:r>
        <w:rPr>
          <w:rFonts w:ascii="黑体" w:hAnsi="黑体" w:eastAsia="黑体"/>
          <w:b/>
          <w:sz w:val="24"/>
        </w:rPr>
        <w:t>研究路线的逻辑串联</w:t>
      </w:r>
    </w:p>
    <w:p>
      <w:pPr>
        <w:spacing w:line="360" w:lineRule="auto"/>
        <w:ind w:firstLine="420"/>
      </w:pPr>
      <w:r>
        <w:rPr>
          <w:rFonts w:ascii="宋体" w:hAnsi="宋体" w:eastAsia="宋体"/>
          <w:b w:val="0"/>
          <w:sz w:val="22"/>
        </w:rPr>
        <w:t>三个阶段构成严密的因果链条：阶段一通过预标定建立"注视误差场"，使低质摄像头的输出获得准实验室精度，并确立个体化"零偏移"基线；阶段二在修正后的可信坐标上，通过锚点投票构建动态坐标系，以非参数统计量化注视点云从紧凑低熵态到弥散高熵态的拓扑相变；阶段三将相变检测结果与操作绩效关联，形成"标定→感知→预警→绩效验证"的完整闭环。其中误差场是精度基石，动态坐标系是建模载体，分布形态学是检测工具，三者环环相扣、缺一不可。</w:t>
      </w:r>
    </w:p>
    <w:p>
      <w:r>
        <w:rPr>
          <w:rFonts w:ascii="黑体" w:hAnsi="黑体" w:eastAsia="黑体"/>
          <w:b/>
          <w:sz w:val="28"/>
        </w:rPr>
        <w:t>四、验证方案：构建从机制到效度的无懈可击证据链</w:t>
      </w:r>
    </w:p>
    <w:p>
      <w:r>
        <w:rPr>
          <w:rFonts w:ascii="黑体" w:hAnsi="黑体" w:eastAsia="黑体"/>
          <w:b/>
          <w:sz w:val="24"/>
        </w:rPr>
        <w:t>1. 标定稳定性验证（Internal Validity）</w:t>
      </w:r>
    </w:p>
    <w:p>
      <w:pPr>
        <w:spacing w:line="360" w:lineRule="auto"/>
        <w:ind w:firstLine="420"/>
      </w:pPr>
      <w:r>
        <w:rPr>
          <w:rFonts w:ascii="宋体" w:hAnsi="宋体" w:eastAsia="宋体"/>
          <w:b w:val="0"/>
          <w:sz w:val="22"/>
        </w:rPr>
        <w:t>实验：第1天标定，第3、5天复用标定参数。</w:t>
      </w:r>
    </w:p>
    <w:p>
      <w:pPr>
        <w:spacing w:line="360" w:lineRule="auto"/>
        <w:ind w:firstLine="420"/>
      </w:pPr>
      <w:r>
        <w:rPr>
          <w:rFonts w:ascii="宋体" w:hAnsi="宋体" w:eastAsia="宋体"/>
          <w:b w:val="0"/>
          <w:sz w:val="22"/>
        </w:rPr>
        <w:t>指标：计算清醒状态下修正后注视点的重测信度（ICC）和落在置信区间的比例。</w:t>
      </w:r>
    </w:p>
    <w:p>
      <w:pPr>
        <w:spacing w:line="360" w:lineRule="auto"/>
        <w:ind w:firstLine="420"/>
      </w:pPr>
      <w:r>
        <w:rPr>
          <w:rFonts w:ascii="宋体" w:hAnsi="宋体" w:eastAsia="宋体"/>
          <w:b w:val="0"/>
          <w:sz w:val="22"/>
        </w:rPr>
        <w:t>目的：证明标定参数具有时间稳定性，无需每日重标，否则审稿人会质疑"如果每天误差都变，方法不实用"。</w:t>
      </w:r>
    </w:p>
    <w:p>
      <w:r>
        <w:rPr>
          <w:rFonts w:ascii="黑体" w:hAnsi="黑体" w:eastAsia="黑体"/>
          <w:b/>
          <w:sz w:val="24"/>
        </w:rPr>
        <w:t>2. 反事实因果验证（Causal Validity）</w:t>
      </w:r>
    </w:p>
    <w:p>
      <w:pPr>
        <w:spacing w:line="360" w:lineRule="auto"/>
        <w:ind w:firstLine="420"/>
      </w:pPr>
      <w:r>
        <w:rPr>
          <w:rFonts w:ascii="宋体" w:hAnsi="宋体" w:eastAsia="宋体"/>
          <w:b w:val="0"/>
          <w:sz w:val="22"/>
        </w:rPr>
        <w:t>设计：双盲反事实对照实验，排除"行李太难导致看得慢"的混淆变量。</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宋体" w:hAnsi="宋体" w:eastAsia="宋体"/>
                <w:b/>
                <w:sz w:val="20"/>
              </w:rPr>
              <w:t>条件</w:t>
            </w:r>
          </w:p>
        </w:tc>
        <w:tc>
          <w:tcPr>
            <w:tcW w:type="dxa" w:w="1728"/>
          </w:tcPr>
          <w:p>
            <w:r/>
            <w:r>
              <w:rPr>
                <w:rFonts w:ascii="宋体" w:hAnsi="宋体" w:eastAsia="宋体"/>
                <w:b/>
                <w:sz w:val="20"/>
              </w:rPr>
              <w:t>任务难度</w:t>
            </w:r>
          </w:p>
        </w:tc>
        <w:tc>
          <w:tcPr>
            <w:tcW w:type="dxa" w:w="1728"/>
          </w:tcPr>
          <w:p>
            <w:r/>
            <w:r>
              <w:rPr>
                <w:rFonts w:ascii="宋体" w:hAnsi="宋体" w:eastAsia="宋体"/>
                <w:b/>
                <w:sz w:val="20"/>
              </w:rPr>
              <w:t>工时</w:t>
            </w:r>
          </w:p>
        </w:tc>
        <w:tc>
          <w:tcPr>
            <w:tcW w:type="dxa" w:w="1728"/>
          </w:tcPr>
          <w:p>
            <w:r/>
            <w:r>
              <w:rPr>
                <w:rFonts w:ascii="宋体" w:hAnsi="宋体" w:eastAsia="宋体"/>
                <w:b/>
                <w:sz w:val="20"/>
              </w:rPr>
              <w:t>预期分布</w:t>
            </w:r>
          </w:p>
        </w:tc>
        <w:tc>
          <w:tcPr>
            <w:tcW w:type="dxa" w:w="1728"/>
          </w:tcPr>
          <w:p>
            <w:r/>
            <w:r>
              <w:rPr>
                <w:rFonts w:ascii="宋体" w:hAnsi="宋体" w:eastAsia="宋体"/>
                <w:b/>
                <w:sz w:val="20"/>
              </w:rPr>
              <w:t>预期结果</w:t>
            </w:r>
          </w:p>
        </w:tc>
      </w:tr>
      <w:tr>
        <w:tc>
          <w:tcPr>
            <w:tcW w:type="dxa" w:w="1728"/>
          </w:tcPr>
          <w:p>
            <w:r/>
            <w:r>
              <w:rPr>
                <w:rFonts w:ascii="宋体" w:hAnsi="宋体" w:eastAsia="宋体"/>
                <w:b w:val="0"/>
                <w:sz w:val="20"/>
              </w:rPr>
              <w:t>事实</w:t>
            </w:r>
          </w:p>
        </w:tc>
        <w:tc>
          <w:tcPr>
            <w:tcW w:type="dxa" w:w="1728"/>
          </w:tcPr>
          <w:p>
            <w:r/>
            <w:r>
              <w:rPr>
                <w:rFonts w:ascii="宋体" w:hAnsi="宋体" w:eastAsia="宋体"/>
                <w:b w:val="0"/>
                <w:sz w:val="20"/>
              </w:rPr>
              <w:t>高难度行李</w:t>
            </w:r>
          </w:p>
        </w:tc>
        <w:tc>
          <w:tcPr>
            <w:tcW w:type="dxa" w:w="1728"/>
          </w:tcPr>
          <w:p>
            <w:r/>
            <w:r>
              <w:rPr>
                <w:rFonts w:ascii="宋体" w:hAnsi="宋体" w:eastAsia="宋体"/>
                <w:b w:val="0"/>
                <w:sz w:val="20"/>
              </w:rPr>
              <w:t>长工时</w:t>
            </w:r>
          </w:p>
        </w:tc>
        <w:tc>
          <w:tcPr>
            <w:tcW w:type="dxa" w:w="1728"/>
          </w:tcPr>
          <w:p>
            <w:r/>
            <w:r>
              <w:rPr>
                <w:rFonts w:ascii="宋体" w:hAnsi="宋体" w:eastAsia="宋体"/>
                <w:b w:val="0"/>
                <w:sz w:val="20"/>
              </w:rPr>
              <w:t>分布发散</w:t>
            </w:r>
          </w:p>
        </w:tc>
        <w:tc>
          <w:tcPr>
            <w:tcW w:type="dxa" w:w="1728"/>
          </w:tcPr>
          <w:p>
            <w:r/>
            <w:r>
              <w:rPr>
                <w:rFonts w:ascii="宋体" w:hAnsi="宋体" w:eastAsia="宋体"/>
                <w:b w:val="0"/>
                <w:sz w:val="20"/>
              </w:rPr>
              <w:t>预测漏检</w:t>
            </w:r>
          </w:p>
        </w:tc>
      </w:tr>
      <w:tr>
        <w:tc>
          <w:tcPr>
            <w:tcW w:type="dxa" w:w="1728"/>
          </w:tcPr>
          <w:p>
            <w:r/>
            <w:r>
              <w:rPr>
                <w:rFonts w:ascii="宋体" w:hAnsi="宋体" w:eastAsia="宋体"/>
                <w:b w:val="0"/>
                <w:sz w:val="20"/>
              </w:rPr>
              <w:t>反事实1</w:t>
            </w:r>
          </w:p>
        </w:tc>
        <w:tc>
          <w:tcPr>
            <w:tcW w:type="dxa" w:w="1728"/>
          </w:tcPr>
          <w:p>
            <w:r/>
            <w:r>
              <w:rPr>
                <w:rFonts w:ascii="宋体" w:hAnsi="宋体" w:eastAsia="宋体"/>
                <w:b w:val="0"/>
                <w:sz w:val="20"/>
              </w:rPr>
              <w:t>高难度行李</w:t>
            </w:r>
          </w:p>
        </w:tc>
        <w:tc>
          <w:tcPr>
            <w:tcW w:type="dxa" w:w="1728"/>
          </w:tcPr>
          <w:p>
            <w:r/>
            <w:r>
              <w:rPr>
                <w:rFonts w:ascii="宋体" w:hAnsi="宋体" w:eastAsia="宋体"/>
                <w:b w:val="0"/>
                <w:sz w:val="20"/>
              </w:rPr>
              <w:t>短工时</w:t>
            </w:r>
          </w:p>
        </w:tc>
        <w:tc>
          <w:tcPr>
            <w:tcW w:type="dxa" w:w="1728"/>
          </w:tcPr>
          <w:p>
            <w:r/>
            <w:r>
              <w:rPr>
                <w:rFonts w:ascii="宋体" w:hAnsi="宋体" w:eastAsia="宋体"/>
                <w:b w:val="0"/>
                <w:sz w:val="20"/>
              </w:rPr>
              <w:t>分布收敛</w:t>
            </w:r>
          </w:p>
        </w:tc>
        <w:tc>
          <w:tcPr>
            <w:tcW w:type="dxa" w:w="1728"/>
          </w:tcPr>
          <w:p>
            <w:r/>
            <w:r>
              <w:rPr>
                <w:rFonts w:ascii="宋体" w:hAnsi="宋体" w:eastAsia="宋体"/>
                <w:b w:val="0"/>
                <w:sz w:val="20"/>
              </w:rPr>
              <w:t>正常检出</w:t>
            </w:r>
          </w:p>
        </w:tc>
      </w:tr>
      <w:tr>
        <w:tc>
          <w:tcPr>
            <w:tcW w:type="dxa" w:w="1728"/>
          </w:tcPr>
          <w:p>
            <w:r/>
            <w:r>
              <w:rPr>
                <w:rFonts w:ascii="宋体" w:hAnsi="宋体" w:eastAsia="宋体"/>
                <w:b w:val="0"/>
                <w:sz w:val="20"/>
              </w:rPr>
              <w:t>反事实2</w:t>
            </w:r>
          </w:p>
        </w:tc>
        <w:tc>
          <w:tcPr>
            <w:tcW w:type="dxa" w:w="1728"/>
          </w:tcPr>
          <w:p>
            <w:r/>
            <w:r>
              <w:rPr>
                <w:rFonts w:ascii="宋体" w:hAnsi="宋体" w:eastAsia="宋体"/>
                <w:b w:val="0"/>
                <w:sz w:val="20"/>
              </w:rPr>
              <w:t>低难度行李</w:t>
            </w:r>
          </w:p>
        </w:tc>
        <w:tc>
          <w:tcPr>
            <w:tcW w:type="dxa" w:w="1728"/>
          </w:tcPr>
          <w:p>
            <w:r/>
            <w:r>
              <w:rPr>
                <w:rFonts w:ascii="宋体" w:hAnsi="宋体" w:eastAsia="宋体"/>
                <w:b w:val="0"/>
                <w:sz w:val="20"/>
              </w:rPr>
              <w:t>长工时</w:t>
            </w:r>
          </w:p>
        </w:tc>
        <w:tc>
          <w:tcPr>
            <w:tcW w:type="dxa" w:w="1728"/>
          </w:tcPr>
          <w:p>
            <w:r/>
            <w:r>
              <w:rPr>
                <w:rFonts w:ascii="宋体" w:hAnsi="宋体" w:eastAsia="宋体"/>
                <w:b w:val="0"/>
                <w:sz w:val="20"/>
              </w:rPr>
              <w:t>分布收敛</w:t>
            </w:r>
          </w:p>
        </w:tc>
        <w:tc>
          <w:tcPr>
            <w:tcW w:type="dxa" w:w="1728"/>
          </w:tcPr>
          <w:p>
            <w:r/>
            <w:r>
              <w:rPr>
                <w:rFonts w:ascii="宋体" w:hAnsi="宋体" w:eastAsia="宋体"/>
                <w:b w:val="0"/>
                <w:sz w:val="20"/>
              </w:rPr>
              <w:t>正常检出</w:t>
            </w:r>
          </w:p>
        </w:tc>
      </w:tr>
    </w:tbl>
    <w:p>
      <w:pPr>
        <w:spacing w:line="360" w:lineRule="auto"/>
        <w:ind w:firstLine="420"/>
      </w:pPr>
      <w:r>
        <w:rPr>
          <w:rFonts w:ascii="宋体" w:hAnsi="宋体" w:eastAsia="宋体"/>
          <w:b w:val="0"/>
          <w:sz w:val="22"/>
        </w:rPr>
        <w:t>指标：分布偏移量（JS散度）与任务难度、工时的偏相关分析。</w:t>
      </w:r>
    </w:p>
    <w:p>
      <w:pPr>
        <w:spacing w:line="360" w:lineRule="auto"/>
        <w:ind w:firstLine="420"/>
      </w:pPr>
      <w:r>
        <w:rPr>
          <w:rFonts w:ascii="宋体" w:hAnsi="宋体" w:eastAsia="宋体"/>
          <w:b w:val="0"/>
          <w:sz w:val="22"/>
        </w:rPr>
        <w:t>目的：排除"任务难度"这一混淆变量，确立"工时累积导致注意力失稳"的因果机制。只有当"高难度"遇上"长工时"时分布才发散，这强力反驳"只是统计相关"的质疑。</w:t>
      </w:r>
    </w:p>
    <w:p>
      <w:r>
        <w:rPr>
          <w:rFonts w:ascii="黑体" w:hAnsi="黑体" w:eastAsia="黑体"/>
          <w:b/>
          <w:sz w:val="24"/>
        </w:rPr>
        <w:t>3. 预测效度验证（External Validity）</w:t>
      </w:r>
    </w:p>
    <w:p>
      <w:pPr>
        <w:spacing w:line="360" w:lineRule="auto"/>
        <w:ind w:firstLine="420"/>
      </w:pPr>
      <w:r>
        <w:rPr>
          <w:rFonts w:ascii="宋体" w:hAnsi="宋体" w:eastAsia="宋体"/>
          <w:b w:val="0"/>
          <w:sz w:val="22"/>
        </w:rPr>
        <w:t>实验：在模拟环境中植入特定违禁品，记录操作员漏检事件。</w:t>
      </w:r>
    </w:p>
    <w:p>
      <w:pPr>
        <w:spacing w:line="360" w:lineRule="auto"/>
        <w:ind w:firstLine="420"/>
      </w:pPr>
      <w:r>
        <w:rPr>
          <w:rFonts w:ascii="宋体" w:hAnsi="宋体" w:eastAsia="宋体"/>
          <w:b w:val="0"/>
          <w:sz w:val="22"/>
        </w:rPr>
        <w:t>指标：计算注意力失稳时段（高熵态）与漏检事件的时间重叠率和ROC曲线。</w:t>
      </w:r>
    </w:p>
    <w:p>
      <w:pPr>
        <w:spacing w:line="360" w:lineRule="auto"/>
        <w:ind w:firstLine="420"/>
      </w:pPr>
      <w:r>
        <w:rPr>
          <w:rFonts w:ascii="宋体" w:hAnsi="宋体" w:eastAsia="宋体"/>
          <w:b w:val="0"/>
          <w:sz w:val="22"/>
        </w:rPr>
        <w:t>目的：证明"分布散"确实能预测"漏检多"。这是系统的核心实用价值——无论注意力失稳的原因是什么，只要分布发散就能预警漏检风险。</w:t>
      </w:r>
    </w:p>
    <w:p>
      <w:r>
        <w:rPr>
          <w:rFonts w:ascii="黑体" w:hAnsi="黑体" w:eastAsia="黑体"/>
          <w:b/>
          <w:sz w:val="24"/>
        </w:rPr>
        <w:t>4. 小样本泛化验证（Generalization）</w:t>
      </w:r>
    </w:p>
    <w:p>
      <w:pPr>
        <w:spacing w:line="360" w:lineRule="auto"/>
        <w:ind w:firstLine="420"/>
      </w:pPr>
      <w:r>
        <w:rPr>
          <w:rFonts w:ascii="宋体" w:hAnsi="宋体" w:eastAsia="宋体"/>
          <w:b w:val="0"/>
          <w:sz w:val="22"/>
        </w:rPr>
        <w:t>策略：采用N-of-1元分析（Cross-subject Meta-analysis），不报告"N=10的平均准确率"，而是将每位安检员视为一个独立的Case Study。</w:t>
      </w:r>
    </w:p>
    <w:p>
      <w:pPr>
        <w:spacing w:line="360" w:lineRule="auto"/>
        <w:ind w:firstLine="420"/>
      </w:pPr>
      <w:r>
        <w:rPr>
          <w:rFonts w:ascii="宋体" w:hAnsi="宋体" w:eastAsia="宋体"/>
          <w:b w:val="0"/>
          <w:sz w:val="22"/>
        </w:rPr>
        <w:t>做法：对10名被试逐一进行单样本t检验，检验每个人的分布偏移量是否显著大于零，报告个体效应量（Cohen's d）。绘制森林图（Forest Plot），展示10人一致的效应趋势。</w:t>
      </w:r>
    </w:p>
    <w:p>
      <w:pPr>
        <w:spacing w:line="360" w:lineRule="auto"/>
        <w:ind w:firstLine="420"/>
      </w:pPr>
      <w:r>
        <w:rPr>
          <w:rFonts w:ascii="宋体" w:hAnsi="宋体" w:eastAsia="宋体"/>
          <w:b w:val="0"/>
          <w:sz w:val="22"/>
        </w:rPr>
        <w:t>目的：在小样本限制下，证明"规律的普遍性"而非"模型的普适性"。如果10名被试中有9名的分布偏移效应量d&gt;0.8（强效应），这种跨个体的效应一致性证明了规律的稳健性，而非数据的偶然性。森林图是医学和生物统计顶刊的标准做法，审稿人将其视为严谨科学实验的标志。</w:t>
      </w:r>
    </w:p>
    <w:p>
      <w:r>
        <w:rPr>
          <w:rFonts w:ascii="黑体" w:hAnsi="黑体" w:eastAsia="黑体"/>
          <w:b/>
          <w:sz w:val="24"/>
        </w:rPr>
        <w:t>5. 验证体系的逻辑完备性</w:t>
      </w:r>
    </w:p>
    <w:p>
      <w:pPr>
        <w:spacing w:line="360" w:lineRule="auto"/>
        <w:ind w:firstLine="420"/>
      </w:pPr>
      <w:r>
        <w:rPr>
          <w:rFonts w:ascii="宋体" w:hAnsi="宋体" w:eastAsia="宋体"/>
          <w:b w:val="0"/>
          <w:sz w:val="22"/>
        </w:rPr>
        <w:t>四个验证维度正交分解、层层递进：标定稳定性验证（6.1）证明"误差场模型时间稳定、可复用"；反事实因果验证（6.2）证明"分布偏移由注意力失稳导致，而非任务难度混淆"；预测效度验证（6.3）证明"注意力失稳能预测漏检"；小样本泛化验证（6.4）证明"规律跨个体一致"。四者同时成立，才能说明本研究真正解决了低质视觉条件下注意力失稳的量化与预警问题。</w:t>
      </w:r>
    </w:p>
    <w:p>
      <w:r>
        <w:rPr>
          <w:rFonts w:ascii="黑体" w:hAnsi="黑体" w:eastAsia="黑体"/>
          <w:b/>
          <w:sz w:val="28"/>
        </w:rPr>
        <w:t>五、预期的科学发现</w:t>
      </w:r>
    </w:p>
    <w:p>
      <w:pPr>
        <w:spacing w:line="360" w:lineRule="auto"/>
        <w:ind w:firstLine="420"/>
      </w:pPr>
      <w:r>
        <w:rPr>
          <w:rFonts w:ascii="宋体" w:hAnsi="宋体" w:eastAsia="宋体"/>
          <w:b w:val="0"/>
          <w:sz w:val="22"/>
        </w:rPr>
        <w:t>发现"认知迟滞效应"：注意力失稳（分布发散）往往先于操作绩效下降（漏检）出现，存在约30-60秒的超前预警窗口。这一发现意味着系统可以在漏检发生前发出预警，具有重大的安全价值。</w:t>
      </w:r>
    </w:p>
    <w:p>
      <w:pPr>
        <w:spacing w:line="360" w:lineRule="auto"/>
        <w:ind w:firstLine="420"/>
      </w:pPr>
      <w:r>
        <w:rPr>
          <w:rFonts w:ascii="宋体" w:hAnsi="宋体" w:eastAsia="宋体"/>
          <w:b w:val="0"/>
          <w:sz w:val="22"/>
        </w:rPr>
        <w:t>证实"非线性相变"：注意力衰退并非线性累积，而是在连续工作45-60分钟左右发生临界相变（Critical Phase Transition），分布形态从椭圆突变为圆形。这一发现将"检测状态"升维为"发现相变机制"，为早期预警提供了理论依据。</w:t>
      </w:r>
    </w:p>
    <w:p>
      <w:pPr>
        <w:spacing w:line="360" w:lineRule="auto"/>
        <w:ind w:firstLine="420"/>
      </w:pPr>
      <w:r>
        <w:rPr>
          <w:rFonts w:ascii="宋体" w:hAnsi="宋体" w:eastAsia="宋体"/>
          <w:b w:val="0"/>
          <w:sz w:val="22"/>
        </w:rPr>
        <w:t>揭示"误差-认知"解耦规律：通过误差场模型，证实注视点云的发散主要来自认知控制能力下降，而非摄像头误差增大。标定阶段建立的"精准关注"基线与后续失稳态的对比，从机制上区分了"系统性噪声"与"认知性发散"。</w:t>
      </w:r>
    </w:p>
    <w:p>
      <w:r>
        <w:rPr>
          <w:rFonts w:ascii="黑体" w:hAnsi="黑体" w:eastAsia="黑体"/>
          <w:b/>
          <w:sz w:val="28"/>
        </w:rPr>
        <w:t>六、原创价值</w:t>
      </w:r>
    </w:p>
    <w:p>
      <w:r>
        <w:rPr>
          <w:rFonts w:ascii="黑体" w:hAnsi="黑体" w:eastAsia="黑体"/>
          <w:b/>
          <w:sz w:val="24"/>
        </w:rPr>
        <w:t>1. 理论价值</w:t>
      </w:r>
    </w:p>
    <w:p>
      <w:pPr>
        <w:spacing w:line="360" w:lineRule="auto"/>
        <w:ind w:firstLine="420"/>
      </w:pPr>
      <w:r>
        <w:rPr>
          <w:rFonts w:ascii="宋体" w:hAnsi="宋体" w:eastAsia="宋体"/>
          <w:b w:val="0"/>
          <w:sz w:val="22"/>
        </w:rPr>
        <w:t>定义新范式：提出"注视误差场"概念，将计算机视觉中的几何标定与人因工程中的认知建模有机结合，为低质环境下的行为分析提供了新的理论框架。</w:t>
      </w:r>
    </w:p>
    <w:p>
      <w:pPr>
        <w:spacing w:line="360" w:lineRule="auto"/>
        <w:ind w:firstLine="420"/>
      </w:pPr>
      <w:r>
        <w:rPr>
          <w:rFonts w:ascii="宋体" w:hAnsi="宋体" w:eastAsia="宋体"/>
          <w:b w:val="0"/>
          <w:sz w:val="22"/>
        </w:rPr>
        <w:t>揭示机制：首次在非受控场景下证实了视觉搜索策略的拓扑相变现象，丰富了认知心理学中关于注意力稳定性的理论研究。将"检测疲劳"重构为"量化注意力失稳的相变"，规避了心理归因争议，确立了任务导向的行为计算范式。</w:t>
      </w:r>
    </w:p>
    <w:p>
      <w:r>
        <w:rPr>
          <w:rFonts w:ascii="黑体" w:hAnsi="黑体" w:eastAsia="黑体"/>
          <w:b/>
          <w:sz w:val="24"/>
        </w:rPr>
        <w:t>2. 应用价值</w:t>
      </w:r>
    </w:p>
    <w:p>
      <w:pPr>
        <w:spacing w:line="360" w:lineRule="auto"/>
        <w:ind w:firstLine="420"/>
      </w:pPr>
      <w:r>
        <w:rPr>
          <w:rFonts w:ascii="宋体" w:hAnsi="宋体" w:eastAsia="宋体"/>
          <w:b w:val="0"/>
          <w:sz w:val="22"/>
        </w:rPr>
        <w:t>低成本替代：仅利用现有单目摄像头，通过算法实现了接近眼动仪的监测精度，可直接集成到现有安检系统中，无需硬件改造。标定过程仅需5分钟一次性操作，具有工业可用性。</w:t>
      </w:r>
    </w:p>
    <w:p>
      <w:pPr>
        <w:spacing w:line="360" w:lineRule="auto"/>
        <w:ind w:firstLine="420"/>
      </w:pPr>
      <w:r>
        <w:rPr>
          <w:rFonts w:ascii="宋体" w:hAnsi="宋体" w:eastAsia="宋体"/>
          <w:b w:val="0"/>
          <w:sz w:val="22"/>
        </w:rPr>
        <w:t>去伦理风险：完全规避"疲劳监测"带来的隐私和劳工纠纷，以"注意力状态感知"的名义落地，安检站更愿意接受一个"注意力监测仪"而非"测谎仪"。</w:t>
      </w:r>
    </w:p>
    <w:p>
      <w:pPr>
        <w:spacing w:line="360" w:lineRule="auto"/>
        <w:ind w:firstLine="420"/>
      </w:pPr>
      <w:r>
        <w:rPr>
          <w:rFonts w:ascii="宋体" w:hAnsi="宋体" w:eastAsia="宋体"/>
          <w:b w:val="0"/>
          <w:sz w:val="22"/>
        </w:rPr>
        <w:t>泛化潜力：该技术范式可推广至驾驶员监测、手术室护士监控、工业质检目视检测、雷达屏幕持续监视等所有需要长时间注视屏幕的低动态高危作业场景。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